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57</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57</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57</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59</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59</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60</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61</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62</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62</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62</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62</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62</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63</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63</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63</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63</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64</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64</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64</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65</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66</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67</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68</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70</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77</w:t>
      </w:r>
    </w:p>
    <w:p w14:paraId="02CC94FF" w14:textId="73A2BE14" w:rsidR="000422CF" w:rsidRDefault="000422CF">
      <w:pPr>
        <w:pStyle w:val="TM1"/>
        <w:tabs>
          <w:tab w:val="right" w:leader="dot" w:pos="9066"/>
        </w:tabs>
        <w:rPr>
          <w:rFonts w:ascii="Aptos" w:eastAsia="Times New Roman" w:hAnsi="Aptos"/>
          <w:noProof/>
          <w:lang w:eastAsia="fr-FR"/>
        </w:rPr>
      </w:pPr>
      <w:r>
        <w:t>Glossaire</w:t>
        <w:tab/>
        <w:t>79</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 entretiens et rappels</w:t>
        <w:tab/>
        <w:t>55</w:t>
      </w:r>
    </w:p>
    <w:p w14:paraId="64C30683" w14:textId="082BDCCC" w:rsidR="005911B7" w:rsidRDefault="005911B7" w:rsidP="007B1E7D">
      <w:pPr>
        <w:tabs>
          <w:tab w:val="right" w:leader="dot" w:pos="9066"/>
        </w:tabs>
      </w:pPr>
      <w:r>
        <w:t xml:space="preserve">Figure 4.11 : Contre-signature RH d’un avis favorable « Valider l’embauche »</w:t>
        <w:tab/>
        <w:t>56</w:t>
      </w:r>
    </w:p>
    <w:p w14:paraId="64C30683" w14:textId="082BDCCC" w:rsidR="005911B7" w:rsidRDefault="005911B7" w:rsidP="007B1E7D">
      <w:pPr>
        <w:tabs>
          <w:tab w:val="right" w:leader="dot" w:pos="9066"/>
        </w:tabs>
      </w:pPr>
      <w:r>
        <w:t xml:space="preserve">Figure 4.12 : Contre-signature RH d’un refus proposé — modale « Confirmer le refus »</w:t>
        <w:tab/>
        <w:t>56</w:t>
      </w:r>
    </w:p>
    <w:p w14:paraId="64C30683" w14:textId="082BDCCC" w:rsidR="005911B7" w:rsidRDefault="005911B7" w:rsidP="007B1E7D">
      <w:pPr>
        <w:tabs>
          <w:tab w:val="right" w:leader="dot" w:pos="9066"/>
        </w:tabs>
      </w:pPr>
      <w:r>
        <w:t xml:space="preserve">Figure A.1 : Page de connexion</w:t>
        <w:tab/>
        <w:t>70</w:t>
      </w:r>
    </w:p>
    <w:p w14:paraId="64C30683" w14:textId="082BDCCC" w:rsidR="005911B7" w:rsidRDefault="005911B7" w:rsidP="007B1E7D">
      <w:pPr>
        <w:tabs>
          <w:tab w:val="right" w:leader="dot" w:pos="9066"/>
        </w:tabs>
      </w:pPr>
      <w:r>
        <w:t xml:space="preserve">Figure A.2 : Modification d’un dossier candidat</w:t>
        <w:tab/>
        <w:t>71</w:t>
      </w:r>
    </w:p>
    <w:p w14:paraId="64C30683" w14:textId="082BDCCC" w:rsidR="005911B7" w:rsidRDefault="005911B7" w:rsidP="007B1E7D">
      <w:pPr>
        <w:tabs>
          <w:tab w:val="right" w:leader="dot" w:pos="9066"/>
        </w:tabs>
      </w:pPr>
      <w:r>
        <w:t xml:space="preserve">Figure A.3 : Gestion des entretiens</w:t>
        <w:tab/>
        <w:t>72</w:t>
      </w:r>
    </w:p>
    <w:p w14:paraId="64C30683" w14:textId="082BDCCC" w:rsidR="005911B7" w:rsidRDefault="005911B7" w:rsidP="007B1E7D">
      <w:pPr>
        <w:tabs>
          <w:tab w:val="right" w:leader="dot" w:pos="9066"/>
        </w:tabs>
      </w:pPr>
      <w:r>
        <w:t xml:space="preserve">Figure A.4 : Gestion des feedbacks</w:t>
        <w:tab/>
        <w:t>72</w:t>
      </w:r>
    </w:p>
    <w:p w14:paraId="64C30683" w14:textId="082BDCCC" w:rsidR="005911B7" w:rsidRDefault="005911B7" w:rsidP="007B1E7D">
      <w:pPr>
        <w:tabs>
          <w:tab w:val="right" w:leader="dot" w:pos="9066"/>
        </w:tabs>
      </w:pPr>
      <w:r>
        <w:t xml:space="preserve">Figure A.5 : Journal d’audit</w:t>
        <w:tab/>
        <w:t>73</w:t>
      </w:r>
    </w:p>
    <w:p w14:paraId="64C30683" w14:textId="082BDCCC" w:rsidR="005911B7" w:rsidRDefault="005911B7" w:rsidP="007B1E7D">
      <w:pPr>
        <w:tabs>
          <w:tab w:val="right" w:leader="dot" w:pos="9066"/>
        </w:tabs>
      </w:pPr>
      <w:r>
        <w:t xml:space="preserve">Figure A.6 : Soumission d’une candidature avec dépôt de CV</w:t>
        <w:tab/>
        <w:t>73</w:t>
      </w:r>
    </w:p>
    <w:p w14:paraId="64C30683" w14:textId="082BDCCC" w:rsidR="005911B7" w:rsidRDefault="005911B7" w:rsidP="007B1E7D">
      <w:pPr>
        <w:tabs>
          <w:tab w:val="right" w:leader="dot" w:pos="9066"/>
        </w:tabs>
      </w:pPr>
      <w:r>
        <w:t xml:space="preserve">Figure A.7 : Espace Manager — candidatures relevant du périmètre du manager</w:t>
        <w:tab/>
        <w:t>74</w:t>
      </w:r>
    </w:p>
    <w:p w14:paraId="64C30683" w14:textId="082BDCCC" w:rsidR="005911B7" w:rsidRDefault="005911B7" w:rsidP="007B1E7D">
      <w:pPr>
        <w:tabs>
          <w:tab w:val="right" w:leader="dot" w:pos="9066"/>
        </w:tabs>
      </w:pPr>
      <w:r>
        <w:t xml:space="preserve">Figure A.8 : Console n8n — les trois flux d’automatisation publiés et leurs statistiques</w:t>
        <w:tab/>
        <w:t>75</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75</w:t>
      </w:r>
    </w:p>
    <w:p w14:paraId="64C30683" w14:textId="082BDCCC" w:rsidR="005911B7" w:rsidRDefault="005911B7" w:rsidP="007B1E7D">
      <w:pPr>
        <w:tabs>
          <w:tab w:val="right" w:leader="dot" w:pos="9066"/>
        </w:tabs>
      </w:pPr>
      <w:r>
        <w:t xml:space="preserve">Figure A.10 : E-mail automatique de confirmation de candidature reçu par le candidat</w:t>
        <w:tab/>
        <w:t>76</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58</w:t>
      </w:r>
    </w:p>
    <w:p w14:paraId="458518D7" w14:textId="5506CA71" w:rsidR="005911B7" w:rsidRDefault="001A53BF" w:rsidP="007B1E7D">
      <w:pPr>
        <w:tabs>
          <w:tab w:val="right" w:leader="dot" w:pos="9066"/>
        </w:tabs>
      </w:pPr>
      <w:r>
        <w:t>Tableau 4.2 : Matrice de confusion du Gold Set selon le seuil de décision</w:t>
        <w:tab/>
        <w:t>60</w:t>
      </w:r>
    </w:p>
    <w:p w14:paraId="458518D7" w14:textId="5506CA71" w:rsidR="005911B7" w:rsidRDefault="001A53BF" w:rsidP="007B1E7D">
      <w:pPr>
        <w:tabs>
          <w:tab w:val="right" w:leader="dot" w:pos="9066"/>
        </w:tabs>
      </w:pPr>
      <w:r>
        <w:t>Tableau 4.3 : Bilan des fonctionnalités réalisées</w:t>
        <w:tab/>
        <w:t>67</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width:278.3pt;height:616.4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width:345.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 périmètre de lecture d’un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width:394.7pt;height:302.7pt;visibility:visible">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width:453.3pt;height:289.7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557.5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width:769.9pt;height:398.9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les clés primaires sont préfixées d’un astérisque et les clés étrangères suffixées « FK ». On y lit les relations structurantes : un département rattache les utilisateurs et les offres, une offre reçoit les candidatures, chaque candidature dépose un CV et passe des entretiens qui donnent lieu à des feedbacks rédigés par les utilisateurs.</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r>
        <w:t xml:space="preserve"> Sa capture est reprise en annexe A (figure A.2).</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r>
        <w:t xml:space="preserve"> Sa capture est reprise en annexe A (figure A.3).</w:t>
      </w:r>
    </w:p>
    <w:p w14:paraId="70B615C4" w14:textId="77777777" w:rsidR="005911B7" w:rsidRDefault="008D5C06" w:rsidP="007B1E7D">
      <w:r>
        <w:t>Les feedbacks saisis par les managers sont centralisés ici, avec une étape de validation par le RH avant transmission au candidat.</w:t>
      </w:r>
      <w:r>
        <w:t xml:space="preserve"> Sa capture est reprise en annexe A (figure A.4).</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r>
        <w:t xml:space="preserve"> Sa capture est reprise en annexe A (figure A.5).</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Sa capture est reprise en annexe A (figure A.6).</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Au-delà du score global visible en liste (Figure 4.3),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952C15B" w14:textId="77777777" w:rsidR="00730833" w:rsidRDefault="00AF2881">
      <w:r>
        <w:t xml:space="preserve">Un manager ne voit que les candidatures relevant de son périmètre (département, ou à défaut famille de métier — voir ManagerRoutingService, section 3.5.4), à partir de leur entrée en évaluation technique (statut TECHNICAL_TEST), et non dès la validation du CV par le RH. Cette vue cloisonnée est distincte de la liste globale accessible au RH et à l’administrateur (Figure 4.3).</w:t>
      </w:r>
      <w:r>
        <w:t xml:space="preserve"> Sa capture est reprise en annexe A (figure A.7).</w:t>
      </w:r>
    </w:p>
    <w:p w14:paraId="2952C15B" w14:textId="77777777" w:rsidR="00730833" w:rsidRDefault="00AF2881">
      <w:r>
        <w:t>Le manager dispose en outre d’une page « Mon calendrier » qui centralise ses propres entretiens : prochaine session, lien de visioconférence, répartition par statut et vue mensuelle, avec un rappel automatique planifié deux heures avant chaque entretien dont il est intervieweur. La liste reste filtrée côté serveur selon son département, sa famille de métier ou son affectation, de sorte qu’aucun dossier hors de son périmètre ne peut y apparaître.</w:t>
      </w:r>
    </w:p>
    <w:p w14:paraId="234F2466" w14:textId="3397CEB3" w:rsidR="00730833" w:rsidRDefault="00CA1A9F">
      <w:pPr>
        <w:keepNext/>
        <w:jc w:val="center"/>
      </w:pPr>
      <w:r>
        <w:rPr>
          <w:noProof/>
        </w:rPr>
        <w:pict w14:anchorId="1ABB31E4">
          <v:shape id="Picture 17" o:spid="_x0000_i1060" type="#_x0000_t75" style="visibility:visible;mso-wrap-style:square;width:425.0pt;height:295.4pt">
            <v:imagedata r:id="rId902" o:title=""/>
          </v:shape>
        </w:pict>
      </w:r>
    </w:p>
    <w:p w14:paraId="213F627D" w14:textId="77777777" w:rsidR="00730833" w:rsidRDefault="00AF2881">
      <w:pPr>
        <w:jc w:val="center"/>
        <w:rPr>
          <w:i/>
          <w:sz w:val="21"/>
        </w:rPr>
      </w:pPr>
      <w:r>
        <w:rPr>
          <w:i/>
          <w:sz w:val="21"/>
        </w:rPr>
        <w:t xml:space="preserve">Figure 4.10 : Espace Manager — page « Mon calendrier », entretiens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411" o:spid="_x0000_i1911" type="#_x0000_t75" style="visibility:visible;mso-wrap-style:square;width:264.0pt;height:289.0pt">
            <v:imagedata r:id="rId960" o:title=""/>
          </v:shape>
        </w:pict>
      </w:r>
    </w:p>
    <w:p w14:paraId="213F627D" w14:textId="77777777" w:rsidR="00730833" w:rsidRDefault="00AF2881">
      <w:pPr>
        <w:jc w:val="center"/>
        <w:rPr>
          <w:i/>
          <w:sz w:val="21"/>
        </w:rPr>
      </w:pPr>
      <w:r>
        <w:rPr>
          <w:i/>
          <w:sz w:val="21"/>
        </w:rPr>
        <w:t xml:space="preserve">Figure 4.11 : Contre-signature RH d’un avis favorable « Valider l’embauche »</w:t>
      </w:r>
    </w:p>
    <w:p w14:paraId="2952C15B" w14:textId="77777777" w:rsidR="00730833" w:rsidRDefault="00AF2881">
      <w:r>
        <w:t xml:space="preserve">La date de présentation est obligatoire ; elle alimente l’e-mail de convocation.</w:t>
      </w:r>
    </w:p>
    <w:p w14:paraId="234F2466" w14:textId="3397CEB3" w:rsidR="00730833" w:rsidRDefault="00CA1A9F">
      <w:pPr>
        <w:keepNext/>
        <w:jc w:val="center"/>
      </w:pPr>
      <w:r>
        <w:rPr>
          <w:noProof/>
        </w:rPr>
        <w:pict w14:anchorId="1ABB31E4">
          <v:shape id="Picture 412" o:spid="_x0000_i1912" type="#_x0000_t75" style="visibility:visible;mso-wrap-style:square;width:264.0pt;height:279.4pt">
            <v:imagedata r:id="rId961" o:title=""/>
          </v:shape>
        </w:pict>
      </w:r>
    </w:p>
    <w:p w14:paraId="213F627D" w14:textId="77777777" w:rsidR="00730833" w:rsidRDefault="00AF2881">
      <w:pPr>
        <w:jc w:val="center"/>
        <w:rPr>
          <w:i/>
          <w:sz w:val="21"/>
        </w:rPr>
      </w:pPr>
      <w:r>
        <w:rPr>
          <w:i/>
          <w:sz w:val="21"/>
        </w:rPr>
        <w:t xml:space="preserve">Figure 4.12 : Contre-signature RH d’un refus proposé — modale « Confirmer le refus »</w:t>
      </w:r>
    </w:p>
    <w:p w14:paraId="2952C15B" w14:textId="77777777" w:rsidR="00730833" w:rsidRDefault="00AF2881">
      <w:r>
        <w:t xml:space="preserve">Le motif est obligatoire ; il alimente l’e-mail de refus final.</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12 classes de test pour un total de 121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 et un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et/ou aux parties prenantes internes. Le fractionnement de la décision en deux niveaux, et les erreurs renvoyées quand un manager tente de trancher seul, sont en outre figés par des tests unitaires côté back-end (classe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6 tentatives au total, ce qui évite de perdre un événement sans pour autant bloquer la requête initiale.</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817"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keepNext/>
              <w:rPr>
                <w:sz w:val="21"/>
              </w:rPr>
            </w:pPr>
            <w:r>
              <w:rPr>
                <w:sz w:val="21"/>
              </w:rPr>
              <w:t>Authentification et gestion des rôles (JWT, RBAC)</w:t>
            </w:r>
          </w:p>
        </w:tc>
        <w:tc>
          <w:tcPr>
            <w:tcW w:w="817" w:type="pct"/>
          </w:tcPr>
          <w:p w14:paraId="55B95671" w14:textId="77777777" w:rsidR="005911B7" w:rsidRPr="007B1E7D" w:rsidRDefault="005911B7" w:rsidP="007B1E7D">
            <w:pPr>
              <w:keepNext/>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keepNext/>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keepNext/>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keepNext/>
              <w:rPr>
                <w:sz w:val="21"/>
              </w:rPr>
            </w:pPr>
            <w:r>
              <w:rPr>
                <w:sz w:val="21"/>
              </w:rPr>
              <w:t>Gestion des candidatures et des CV</w:t>
            </w:r>
          </w:p>
        </w:tc>
        <w:tc>
          <w:tcPr>
            <w:tcW w:w="817" w:type="pct"/>
          </w:tcPr>
          <w:p w14:paraId="687F858E" w14:textId="77777777" w:rsidR="005911B7" w:rsidRPr="007B1E7D" w:rsidRDefault="005911B7" w:rsidP="007B1E7D">
            <w:pPr>
              <w:keepNext/>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keepNext/>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keepNext/>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keepNext/>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keepNext/>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keepNext/>
              <w:rPr>
                <w:sz w:val="21"/>
              </w:rPr>
            </w:pPr>
            <w:r>
              <w:rPr>
                <w:sz w:val="21"/>
              </w:rPr>
              <w:t>Gestion des feedbacks (saisie, validation RH)</w:t>
            </w:r>
          </w:p>
        </w:tc>
        <w:tc>
          <w:tcPr>
            <w:tcW w:w="817" w:type="pct"/>
          </w:tcPr>
          <w:p w14:paraId="47DFED35" w14:textId="77777777" w:rsidR="005911B7" w:rsidRPr="007B1E7D" w:rsidRDefault="005911B7" w:rsidP="007B1E7D">
            <w:pPr>
              <w:keepNext/>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keepNext/>
              <w:rPr>
                <w:sz w:val="21"/>
              </w:rPr>
            </w:pPr>
            <w:r>
              <w:rPr>
                <w:sz w:val="21"/>
              </w:rPr>
              <w:t xml:space="preserve">Routage automatique RH → manager par département (isolation stricte, repli famille de métier)</w:t>
            </w:r>
          </w:p>
        </w:tc>
        <w:tc>
          <w:tcPr>
            <w:tcW w:w="817" w:type="pct"/>
          </w:tcPr>
          <w:p w14:paraId="121300FF" w14:textId="77777777" w:rsidR="005911B7" w:rsidRPr="007B1E7D" w:rsidRDefault="005911B7" w:rsidP="007B1E7D">
            <w:pPr>
              <w:keepNext/>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keepNext/>
              <w:rPr>
                <w:sz w:val="21"/>
              </w:rPr>
            </w:pPr>
            <w:r>
              <w:rPr>
                <w:sz w:val="21"/>
              </w:rPr>
              <w:t>Notifications automatiques par e-mail (agents n8n)</w:t>
            </w:r>
          </w:p>
        </w:tc>
        <w:tc>
          <w:tcPr>
            <w:tcW w:w="817" w:type="pct"/>
          </w:tcPr>
          <w:p w14:paraId="3E627415" w14:textId="77777777" w:rsidR="005911B7" w:rsidRPr="007B1E7D" w:rsidRDefault="005911B7" w:rsidP="007B1E7D">
            <w:pPr>
              <w:keepNext/>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keepNext/>
              <w:rPr>
                <w:sz w:val="21"/>
              </w:rPr>
            </w:pPr>
            <w:r>
              <w:rPr>
                <w:sz w:val="21"/>
              </w:rPr>
              <w:t>Tableau de bord et pipeline de recrutement (Kanban)</w:t>
            </w:r>
          </w:p>
        </w:tc>
        <w:tc>
          <w:tcPr>
            <w:tcW w:w="817" w:type="pct"/>
          </w:tcPr>
          <w:p w14:paraId="7AD7F3A9" w14:textId="77777777" w:rsidR="005911B7" w:rsidRPr="007B1E7D" w:rsidRDefault="005911B7" w:rsidP="007B1E7D">
            <w:pPr>
              <w:keepNext/>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keepNext/>
              <w:rPr>
                <w:sz w:val="21"/>
              </w:rPr>
            </w:pPr>
            <w:r>
              <w:rPr>
                <w:sz w:val="21"/>
              </w:rPr>
              <w:t>Journal d’audit (traçabilité des actions)</w:t>
            </w:r>
          </w:p>
        </w:tc>
        <w:tc>
          <w:tcPr>
            <w:tcW w:w="817" w:type="pct"/>
          </w:tcPr>
          <w:p w14:paraId="00B702B8" w14:textId="77777777" w:rsidR="005911B7" w:rsidRPr="007B1E7D" w:rsidRDefault="005911B7" w:rsidP="007B1E7D">
            <w:pPr>
              <w:keepNext/>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keepNext/>
              <w:rPr>
                <w:sz w:val="21"/>
              </w:rPr>
            </w:pPr>
            <w:r>
              <w:rPr>
                <w:sz w:val="21"/>
              </w:rPr>
              <w:t xml:space="preserve">Matching « Job idéal » (suggestion d’offres à partir d’un CV)</w:t>
            </w:r>
          </w:p>
        </w:tc>
        <w:tc>
          <w:tcPr>
            <w:tcW w:w="817" w:type="pct"/>
          </w:tcPr>
          <w:p w14:paraId="2FFE87F4" w14:textId="77777777" w:rsidR="008A4E34" w:rsidRDefault="008A4E34" w:rsidP="007B1E7D">
            <w:pPr>
              <w:keepNext/>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keepNext/>
              <w:rPr>
                <w:sz w:val="21"/>
              </w:rPr>
            </w:pPr>
            <w:r>
              <w:rPr>
                <w:sz w:val="21"/>
              </w:rPr>
              <w:t>Entretien téléphonique RH obligatoire avant acceptation</w:t>
            </w:r>
          </w:p>
        </w:tc>
        <w:tc>
          <w:tcPr>
            <w:tcW w:w="817" w:type="pct"/>
          </w:tcPr>
          <w:p w14:paraId="5F7B83FD" w14:textId="77777777" w:rsidR="000F1AFA" w:rsidRDefault="000F1AFA" w:rsidP="007B1E7D">
            <w:pPr>
              <w:keepNext/>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keepNext/>
              <w:rPr>
                <w:sz w:val="21"/>
              </w:rPr>
            </w:pPr>
            <w:r>
              <w:rPr>
                <w:sz w:val="21"/>
              </w:rPr>
              <w:t>Calendrier manager dédié (lecture seule, cloisonné par périmètre)</w:t>
            </w:r>
          </w:p>
        </w:tc>
        <w:tc>
          <w:tcPr>
            <w:tcW w:w="817" w:type="pct"/>
          </w:tcPr>
          <w:p w14:paraId="63C3ED08" w14:textId="77777777" w:rsidR="000F1AFA" w:rsidRDefault="000F1AFA" w:rsidP="007B1E7D">
            <w:pPr>
              <w:keepNext/>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keepNext/>
              <w:rPr>
                <w:sz w:val="21"/>
              </w:rPr>
            </w:pPr>
            <w:r>
              <w:rPr>
                <w:sz w:val="21"/>
              </w:rPr>
              <w:t>Retrait de candidature en libre-service par le candidat</w:t>
            </w:r>
          </w:p>
        </w:tc>
        <w:tc>
          <w:tcPr>
            <w:tcW w:w="817" w:type="pct"/>
          </w:tcPr>
          <w:p w14:paraId="3CE2F2E7" w14:textId="77777777" w:rsidR="000F1AFA" w:rsidRDefault="000F1AFA" w:rsidP="007B1E7D">
            <w:pPr>
              <w:keepNext/>
              <w:rPr>
                <w:sz w:val="21"/>
              </w:rPr>
            </w:pPr>
            <w:r>
              <w:rPr>
                <w:sz w:val="21"/>
              </w:rPr>
              <w:t>Réalisée</w:t>
            </w:r>
          </w:p>
        </w:tc>
      </w:tr>
      <w:tr w:rsidR="00CE421D" w14:paraId="2B1407EA" w14:textId="77777777">
        <w:trPr>
          <w:cantSplit/>
        </w:trPr>
        <w:tc>
          <w:tcPr>
            <w:tcW w:w="4183" w:type="pct"/>
          </w:tcPr>
          <w:p w14:paraId="6C90A7D0" w14:textId="77777777" w:rsidR="00CE421D" w:rsidRDefault="00450284">
            <w:pPr>
              <w:keepNext/>
            </w:pPr>
            <w:r>
              <w:t>Assistant conversationnel candidat (chatbot IA via OpenRouter, connaissance des candidatures réelles et de la plateforme)</w:t>
            </w:r>
          </w:p>
        </w:tc>
        <w:tc>
          <w:tcPr>
            <w:tcW w:w="817" w:type="pct"/>
          </w:tcPr>
          <w:p w14:paraId="0482DAE4" w14:textId="77777777" w:rsidR="00CE421D" w:rsidRDefault="00450284">
            <w:pPr>
              <w:keepNext/>
            </w:pPr>
            <w:r>
              <w:t>Réalisée</w:t>
            </w:r>
          </w:p>
        </w:tc>
      </w:tr>
      <w:tr w:rsidR="00CE421D" w14:paraId="2B1407EA" w14:textId="77777777">
        <w:trPr>
          <w:cantSplit/>
        </w:trPr>
        <w:tc>
          <w:tcPr>
            <w:tcW w:w="4183" w:type="pct"/>
          </w:tcPr>
          <w:p w14:paraId="6C90A7D0" w14:textId="77777777" w:rsidR="00CE421D" w:rsidRDefault="00450284">
            <w:pPr>
              <w:keepNext/>
            </w:pPr>
            <w:r>
              <w:t xml:space="preserve">Évaluation du matching sur un Gold Set de seize CVs annotés</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pPr>
              <w:keepNext/>
            </w:pPr>
            <w:r>
              <w:t xml:space="preserve">Human-in-the-Loop : signalement des dossiers à arbitrer (needsHumanReview)</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121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Journal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