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le contexte transmis au modèle étant constitué côté serveur par une liste blanche de champs qui exclut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drawing on their own real data through a server-side allowlist of fields that excludes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18</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19</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19</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19</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19</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20</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21</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22</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24</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27</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29</w:t>
      </w:r>
    </w:p>
    <w:p w:rsidR="000422CF" w:rsidRDefault="000422CF">
      <w:pPr>
        <w:pStyle w:val="TM2"/>
        <w:tabs>
          <w:tab w:val="right" w:leader="dot" w:pos="9066"/>
        </w:tabs>
        <w:rPr>
          <w:rFonts w:ascii="Aptos" w:eastAsia="Times New Roman" w:hAnsi="Aptos"/>
          <w:noProof/>
          <w:lang w:eastAsia="fr-FR"/>
        </w:rPr>
      </w:pPr>
      <w:r>
        <w:t xml:space="preserve">2.3 Étude technique</w:t>
        <w:tab/>
        <w:t>29</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29</w:t>
      </w:r>
    </w:p>
    <w:p w:rsidR="000422CF" w:rsidRDefault="000422CF">
      <w:pPr>
        <w:pStyle w:val="TM3"/>
        <w:tabs>
          <w:tab w:val="right" w:leader="dot" w:pos="9066"/>
        </w:tabs>
        <w:rPr>
          <w:rFonts w:ascii="Aptos" w:eastAsia="Times New Roman" w:hAnsi="Aptos"/>
          <w:noProof/>
          <w:lang w:eastAsia="fr-FR"/>
        </w:rPr>
      </w:pPr>
      <w:r>
        <w:t xml:space="preserve">2.3.2 Côté client — Angular</w:t>
        <w:tab/>
        <w:t>30</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30</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31</w:t>
      </w:r>
    </w:p>
    <w:p w:rsidR="000422CF" w:rsidRDefault="000422CF">
      <w:pPr>
        <w:pStyle w:val="TM2"/>
        <w:tabs>
          <w:tab w:val="right" w:leader="dot" w:pos="9066"/>
        </w:tabs>
        <w:rPr>
          <w:rFonts w:ascii="Aptos" w:eastAsia="Times New Roman" w:hAnsi="Aptos"/>
          <w:noProof/>
          <w:lang w:eastAsia="fr-FR"/>
        </w:rPr>
      </w:pPr>
      <w:r>
        <w:t xml:space="preserve">2.4 Conclusion</w:t>
        <w:tab/>
        <w:t>31</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32</w:t>
      </w:r>
    </w:p>
    <w:p w:rsidR="000422CF" w:rsidRDefault="000422CF">
      <w:pPr>
        <w:pStyle w:val="TM2"/>
        <w:tabs>
          <w:tab w:val="right" w:leader="dot" w:pos="9066"/>
        </w:tabs>
        <w:rPr>
          <w:rFonts w:ascii="Aptos" w:eastAsia="Times New Roman" w:hAnsi="Aptos"/>
          <w:noProof/>
          <w:lang w:eastAsia="fr-FR"/>
        </w:rPr>
      </w:pPr>
      <w:r>
        <w:t xml:space="preserve">3.1 Introduction</w:t>
        <w:tab/>
        <w:t>32</w:t>
      </w:r>
    </w:p>
    <w:p w:rsidR="000422CF" w:rsidRDefault="000422CF">
      <w:pPr>
        <w:pStyle w:val="TM2"/>
        <w:tabs>
          <w:tab w:val="right" w:leader="dot" w:pos="9066"/>
        </w:tabs>
        <w:rPr>
          <w:rFonts w:ascii="Aptos" w:eastAsia="Times New Roman" w:hAnsi="Aptos"/>
          <w:noProof/>
          <w:lang w:eastAsia="fr-FR"/>
        </w:rPr>
      </w:pPr>
      <w:r>
        <w:t xml:space="preserve">3.2 Diagramme des paquetages</w:t>
        <w:tab/>
        <w:t>32</w:t>
      </w:r>
    </w:p>
    <w:p w:rsidR="000422CF" w:rsidRDefault="000422CF">
      <w:pPr>
        <w:pStyle w:val="TM2"/>
        <w:tabs>
          <w:tab w:val="right" w:leader="dot" w:pos="9066"/>
        </w:tabs>
        <w:rPr>
          <w:rFonts w:ascii="Aptos" w:eastAsia="Times New Roman" w:hAnsi="Aptos"/>
          <w:noProof/>
          <w:lang w:eastAsia="fr-FR"/>
        </w:rPr>
      </w:pPr>
      <w:r>
        <w:t xml:space="preserve">3.3 Diagrammes de classes</w:t>
        <w:tab/>
        <w:t>33</w:t>
      </w:r>
    </w:p>
    <w:p w:rsidR="000422CF" w:rsidRDefault="000422CF">
      <w:pPr>
        <w:pStyle w:val="TM2"/>
        <w:tabs>
          <w:tab w:val="right" w:leader="dot" w:pos="9066"/>
        </w:tabs>
        <w:rPr>
          <w:rFonts w:ascii="Aptos" w:eastAsia="Times New Roman" w:hAnsi="Aptos"/>
          <w:noProof/>
          <w:lang w:eastAsia="fr-FR"/>
        </w:rPr>
      </w:pPr>
      <w:r>
        <w:t>3.4 Séquence technique — Soumission asynchrone et scoring IA</w:t>
        <w:tab/>
        <w:t>37</w:t>
      </w:r>
    </w:p>
    <w:p w:rsidR="000422CF" w:rsidRDefault="000422CF">
      <w:pPr>
        <w:pStyle w:val="TM2"/>
        <w:tabs>
          <w:tab w:val="right" w:leader="dot" w:pos="9066"/>
        </w:tabs>
        <w:rPr>
          <w:rFonts w:ascii="Aptos" w:eastAsia="Times New Roman" w:hAnsi="Aptos"/>
          <w:noProof/>
          <w:lang w:eastAsia="fr-FR"/>
        </w:rPr>
      </w:pPr>
      <w:r>
        <w:t>3.5 Diagrammes de séquence objet</w:t>
        <w:tab/>
        <w:t>37</w:t>
      </w:r>
    </w:p>
    <w:p w:rsidR="000422CF" w:rsidRDefault="000422CF">
      <w:pPr>
        <w:pStyle w:val="TM3"/>
        <w:tabs>
          <w:tab w:val="right" w:leader="dot" w:pos="9066"/>
        </w:tabs>
        <w:rPr>
          <w:rFonts w:ascii="Aptos" w:eastAsia="Times New Roman" w:hAnsi="Aptos"/>
          <w:noProof/>
          <w:lang w:eastAsia="fr-FR"/>
        </w:rPr>
      </w:pPr>
      <w:r>
        <w:t>3.5.1 Planifier un entretien</w:t>
        <w:tab/>
        <w:t>38</w:t>
      </w:r>
    </w:p>
    <w:p w:rsidR="000422CF" w:rsidRDefault="000422CF">
      <w:pPr>
        <w:pStyle w:val="TM3"/>
        <w:tabs>
          <w:tab w:val="right" w:leader="dot" w:pos="9066"/>
        </w:tabs>
        <w:rPr>
          <w:rFonts w:ascii="Aptos" w:eastAsia="Times New Roman" w:hAnsi="Aptos"/>
          <w:noProof/>
          <w:lang w:eastAsia="fr-FR"/>
        </w:rPr>
      </w:pPr>
      <w:r>
        <w:t>3.5.2 Décision finale de recrutement</w:t>
        <w:tab/>
        <w:t>39</w:t>
      </w:r>
    </w:p>
    <w:p w:rsidR="000422CF" w:rsidRDefault="000422CF">
      <w:pPr>
        <w:pStyle w:val="TM3"/>
        <w:tabs>
          <w:tab w:val="right" w:leader="dot" w:pos="9066"/>
        </w:tabs>
        <w:rPr>
          <w:rFonts w:ascii="Aptos" w:eastAsia="Times New Roman" w:hAnsi="Aptos"/>
          <w:noProof/>
          <w:lang w:eastAsia="fr-FR"/>
        </w:rPr>
      </w:pPr>
      <w:r>
        <w:t>3.5.3 Analyse IA du CV (extraction, scoring via n8n et Cohere)</w:t>
        <w:tab/>
        <w:t>40</w:t>
      </w:r>
    </w:p>
    <w:p w:rsidR="000422CF" w:rsidRDefault="000422CF">
      <w:pPr>
        <w:pStyle w:val="TM3"/>
        <w:tabs>
          <w:tab w:val="right" w:leader="dot" w:pos="9066"/>
        </w:tabs>
        <w:rPr>
          <w:rFonts w:ascii="Aptos" w:eastAsia="Times New Roman" w:hAnsi="Aptos"/>
          <w:noProof/>
          <w:lang w:eastAsia="fr-FR"/>
        </w:rPr>
      </w:pPr>
      <w:r>
        <w:t>3.5.4 Passage en évaluation technique — routage et notification des managers</w:t>
        <w:tab/>
        <w:t>41</w:t>
      </w:r>
    </w:p>
    <w:p w:rsidR="000422CF" w:rsidRDefault="000422CF">
      <w:pPr>
        <w:pStyle w:val="TM2"/>
        <w:tabs>
          <w:tab w:val="right" w:leader="dot" w:pos="9066"/>
        </w:tabs>
        <w:rPr>
          <w:rFonts w:ascii="Aptos" w:eastAsia="Times New Roman" w:hAnsi="Aptos"/>
          <w:noProof/>
          <w:lang w:eastAsia="fr-FR"/>
        </w:rPr>
      </w:pPr>
      <w:r>
        <w:t>3.6 Diagramme d’états — Cycle de vie d’une candidature</w:t>
        <w:tab/>
        <w:t>42</w:t>
      </w:r>
    </w:p>
    <w:p w:rsidR="000422CF" w:rsidRDefault="000422CF">
      <w:pPr>
        <w:pStyle w:val="TM2"/>
        <w:tabs>
          <w:tab w:val="right" w:leader="dot" w:pos="9066"/>
        </w:tabs>
        <w:rPr>
          <w:rFonts w:ascii="Aptos" w:eastAsia="Times New Roman" w:hAnsi="Aptos"/>
          <w:noProof/>
          <w:lang w:eastAsia="fr-FR"/>
        </w:rPr>
      </w:pPr>
      <w:r>
        <w:t>3.7 Conception de la base de données</w:t>
        <w:tab/>
        <w:t>44</w:t>
      </w:r>
    </w:p>
    <w:p w:rsidR="000422CF" w:rsidRDefault="000422CF">
      <w:pPr>
        <w:pStyle w:val="TM2"/>
        <w:tabs>
          <w:tab w:val="right" w:leader="dot" w:pos="9066"/>
        </w:tabs>
        <w:rPr>
          <w:rFonts w:ascii="Aptos" w:eastAsia="Times New Roman" w:hAnsi="Aptos"/>
          <w:noProof/>
          <w:lang w:eastAsia="fr-FR"/>
        </w:rPr>
      </w:pPr>
      <w:r>
        <w:t>3.8 Diagramme de composants</w:t>
        <w:tab/>
        <w:t>46</w:t>
      </w:r>
    </w:p>
    <w:p w:rsidR="000422CF" w:rsidRDefault="000422CF">
      <w:pPr>
        <w:pStyle w:val="TM2"/>
        <w:tabs>
          <w:tab w:val="right" w:leader="dot" w:pos="9066"/>
        </w:tabs>
        <w:rPr>
          <w:rFonts w:ascii="Aptos" w:eastAsia="Times New Roman" w:hAnsi="Aptos"/>
          <w:noProof/>
          <w:lang w:eastAsia="fr-FR"/>
        </w:rPr>
      </w:pPr>
      <w:r>
        <w:t>3.9 Diagramme de déploiement</w:t>
        <w:tab/>
        <w:t>47</w:t>
      </w:r>
    </w:p>
    <w:p w:rsidR="000422CF" w:rsidRDefault="000422CF">
      <w:pPr>
        <w:pStyle w:val="TM2"/>
        <w:tabs>
          <w:tab w:val="right" w:leader="dot" w:pos="9066"/>
        </w:tabs>
        <w:rPr>
          <w:rFonts w:ascii="Aptos" w:eastAsia="Times New Roman" w:hAnsi="Aptos"/>
          <w:noProof/>
          <w:lang w:eastAsia="fr-FR"/>
        </w:rPr>
      </w:pPr>
      <w:r>
        <w:t>3.10 Conclusion</w:t>
        <w:tab/>
        <w:t>47</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48</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48</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48</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48</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48</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49</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49</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49</w:t>
      </w:r>
    </w:p>
    <w:p w:rsidR="000422CF" w:rsidRDefault="000422CF">
      <w:pPr>
        <w:pStyle w:val="TM3"/>
        <w:tabs>
          <w:tab w:val="right" w:leader="dot" w:pos="9066"/>
        </w:tabs>
        <w:rPr>
          <w:rFonts w:ascii="Aptos" w:eastAsia="Times New Roman" w:hAnsi="Aptos"/>
          <w:noProof/>
          <w:lang w:eastAsia="fr-FR"/>
        </w:rPr>
      </w:pPr>
      <w:r>
        <w:t>4.3.1 Accès public et espace candidat</w:t>
        <w:tab/>
        <w:t>50</w:t>
      </w:r>
    </w:p>
    <w:p w:rsidR="000422CF" w:rsidRDefault="000422CF">
      <w:pPr>
        <w:pStyle w:val="TM3"/>
        <w:tabs>
          <w:tab w:val="right" w:leader="dot" w:pos="9066"/>
        </w:tabs>
        <w:rPr>
          <w:rFonts w:ascii="Aptos" w:eastAsia="Times New Roman" w:hAnsi="Aptos"/>
          <w:noProof/>
          <w:lang w:eastAsia="fr-FR"/>
        </w:rPr>
      </w:pPr>
      <w:r>
        <w:t>4.3.2 Espace RH — suivi du processus de recrutement</w:t>
        <w:tab/>
        <w:t>53</w:t>
      </w:r>
    </w:p>
    <w:p w:rsidR="000422CF" w:rsidRDefault="000422CF">
      <w:pPr>
        <w:pStyle w:val="TM3"/>
        <w:tabs>
          <w:tab w:val="right" w:leader="dot" w:pos="9066"/>
        </w:tabs>
        <w:rPr>
          <w:rFonts w:ascii="Aptos" w:eastAsia="Times New Roman" w:hAnsi="Aptos"/>
          <w:noProof/>
          <w:lang w:eastAsia="fr-FR"/>
        </w:rPr>
      </w:pPr>
      <w:r>
        <w:t>4.3.3 Espace manager</w:t>
        <w:tab/>
        <w:t>58</w:t>
      </w:r>
    </w:p>
    <w:p w:rsidR="000422CF" w:rsidRDefault="000422CF">
      <w:pPr>
        <w:pStyle w:val="TM3"/>
        <w:tabs>
          <w:tab w:val="right" w:leader="dot" w:pos="9066"/>
        </w:tabs>
        <w:rPr>
          <w:rFonts w:ascii="Aptos" w:eastAsia="Times New Roman" w:hAnsi="Aptos"/>
          <w:noProof/>
          <w:lang w:eastAsia="fr-FR"/>
        </w:rPr>
      </w:pPr>
      <w:r>
        <w:t>4.3.4 Administrateur — comptes, paramétrage et traçabilité</w:t>
        <w:tab/>
        <w:t>60</w:t>
      </w:r>
    </w:p>
    <w:p w:rsidR="000422CF" w:rsidRDefault="000422CF">
      <w:pPr>
        <w:pStyle w:val="TM3"/>
        <w:tabs>
          <w:tab w:val="right" w:leader="dot" w:pos="9066"/>
        </w:tabs>
        <w:rPr>
          <w:rFonts w:ascii="Aptos" w:eastAsia="Times New Roman" w:hAnsi="Aptos"/>
          <w:noProof/>
          <w:lang w:eastAsia="fr-FR"/>
        </w:rPr>
      </w:pPr>
      <w:r>
        <w:t>4.3.5 Automatisation n8n et notification du candidat</w:t>
        <w:tab/>
        <w:t>61</w:t>
      </w:r>
    </w:p>
    <w:p w14:paraId="79B3FD09" w14:textId="77FE9BCD" w:rsidR="000422CF" w:rsidRDefault="000422CF">
      <w:pPr>
        <w:pStyle w:val="TM2"/>
        <w:tabs>
          <w:tab w:val="right" w:leader="dot" w:pos="9066"/>
        </w:tabs>
        <w:rPr>
          <w:rFonts w:ascii="Aptos" w:eastAsia="Times New Roman" w:hAnsi="Aptos"/>
          <w:noProof/>
          <w:lang w:eastAsia="fr-FR"/>
        </w:rPr>
      </w:pPr>
      <w:r>
        <w:t>4.4 Tests</w:t>
        <w:tab/>
        <w:t>63</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63</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64</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66</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66</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66</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68</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69</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69</w:t>
      </w:r>
    </w:p>
    <w:p w14:paraId="4C766FE2" w14:textId="4D99A644" w:rsidR="000422CF" w:rsidRDefault="000422CF">
      <w:pPr>
        <w:pStyle w:val="TM3"/>
        <w:tabs>
          <w:tab w:val="right" w:leader="dot" w:pos="9066"/>
        </w:tabs>
        <w:rPr>
          <w:rFonts w:ascii="Aptos" w:eastAsia="Times New Roman" w:hAnsi="Aptos"/>
          <w:noProof/>
          <w:lang w:eastAsia="fr-FR"/>
        </w:rPr>
      </w:pPr>
      <w:r>
        <w:t>4.5.2 Distinguer un avis manager d’une décision finale RH</w:t>
        <w:tab/>
        <w:t>69</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69</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70</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70</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70</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70</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71</w:t>
      </w:r>
    </w:p>
    <w:p w14:paraId="44459885" w14:textId="52E93975" w:rsidR="000422CF" w:rsidRDefault="000422CF">
      <w:pPr>
        <w:pStyle w:val="TM3"/>
        <w:tabs>
          <w:tab w:val="right" w:leader="dot" w:pos="9066"/>
        </w:tabs>
        <w:rPr>
          <w:rFonts w:ascii="Aptos" w:eastAsia="Times New Roman" w:hAnsi="Aptos"/>
          <w:noProof/>
          <w:lang w:eastAsia="fr-FR"/>
        </w:rPr>
      </w:pPr>
      <w:r>
        <w:t>4.5.9 Planification de l’entretien et statut du dossier</w:t>
        <w:tab/>
        <w:t>71</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71</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72</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72</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74</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75</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76</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78</w:t>
      </w:r>
    </w:p>
    <w:p w14:paraId="02CC94FF" w14:textId="73A2BE14" w:rsidR="000422CF" w:rsidRDefault="000422CF">
      <w:pPr>
        <w:pStyle w:val="TM1"/>
        <w:tabs>
          <w:tab w:val="right" w:leader="dot" w:pos="9066"/>
        </w:tabs>
        <w:rPr>
          <w:rFonts w:ascii="Aptos" w:eastAsia="Times New Roman" w:hAnsi="Aptos"/>
          <w:noProof/>
          <w:lang w:eastAsia="fr-FR"/>
        </w:rPr>
      </w:pPr>
      <w:r>
        <w:t>Glossaire</w:t>
        <w:tab/>
        <w:t>80</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1.1 : Diagramme de Gantt — Planification mensuelle des phases du projet</w:t>
        <w:tab/>
        <w:t>17</w:t>
      </w:r>
    </w:p>
    <w:p w:rsidR="005911B7" w:rsidRDefault="005911B7" w:rsidP="007B1E7D">
      <w:pPr>
        <w:keepNext/>
        <w:tabs>
          <w:tab w:val="right" w:leader="dot" w:pos="9066"/>
        </w:tabs>
      </w:pPr>
      <w:r>
        <w:t xml:space="preserve">Figure 2.1 : Diagramme d’activité — Vue d’ensemble du processus de recrutement</w:t>
        <w:tab/>
        <w:t>23</w:t>
      </w:r>
    </w:p>
    <w:p w:rsidR="005911B7" w:rsidRDefault="005911B7" w:rsidP="007B1E7D">
      <w:pPr>
        <w:keepNext/>
        <w:tabs>
          <w:tab w:val="right" w:leader="dot" w:pos="9066"/>
        </w:tabs>
      </w:pPr>
      <w:r>
        <w:t xml:space="preserve">Figure 2.2 : Diagramme de cas d’utilisation global</w:t>
        <w:tab/>
        <w:t>24</w:t>
      </w:r>
    </w:p>
    <w:p w:rsidR="005911B7" w:rsidRDefault="005911B7" w:rsidP="007B1E7D">
      <w:pPr>
        <w:keepNext/>
        <w:tabs>
          <w:tab w:val="right" w:leader="dot" w:pos="9066"/>
        </w:tabs>
      </w:pPr>
      <w:r>
        <w:t xml:space="preserve">Figure 2.3 : Diagramme de cas d’utilisation — Portail Candidat &amp; Visiteur</w:t>
        <w:tab/>
        <w:t>25</w:t>
      </w:r>
    </w:p>
    <w:p w:rsidR="005911B7" w:rsidRDefault="005911B7" w:rsidP="007B1E7D">
      <w:pPr>
        <w:keepNext/>
        <w:tabs>
          <w:tab w:val="right" w:leader="dot" w:pos="9066"/>
        </w:tabs>
      </w:pPr>
      <w:r>
        <w:t xml:space="preserve">Figure 2.4 : Diagramme de cas d’utilisation — Processus de Recrutement &amp; Évaluation</w:t>
        <w:tab/>
        <w:t>26</w:t>
      </w:r>
    </w:p>
    <w:p w:rsidR="005911B7" w:rsidRDefault="005911B7" w:rsidP="007B1E7D">
      <w:pPr>
        <w:keepNext/>
        <w:tabs>
          <w:tab w:val="right" w:leader="dot" w:pos="9066"/>
        </w:tabs>
      </w:pPr>
      <w:r>
        <w:t xml:space="preserve">Figure 2.5 : Diagramme de cas d’utilisation — Administration &amp; Paramétrage</w:t>
        <w:tab/>
        <w:t>27</w:t>
      </w:r>
    </w:p>
    <w:p w:rsidR="005911B7" w:rsidRDefault="005911B7" w:rsidP="007B1E7D">
      <w:pPr>
        <w:keepNext/>
        <w:tabs>
          <w:tab w:val="right" w:leader="dot" w:pos="9066"/>
        </w:tabs>
      </w:pPr>
      <w:r>
        <w:t xml:space="preserve">Figure 2.6 : Diagramme de séquence système — Soumettre une candidature (boîte noire)</w:t>
        <w:tab/>
        <w:t>29</w:t>
      </w:r>
    </w:p>
    <w:p w:rsidR="005911B7" w:rsidRDefault="005911B7" w:rsidP="007B1E7D">
      <w:pPr>
        <w:keepNext/>
        <w:tabs>
          <w:tab w:val="right" w:leader="dot" w:pos="9066"/>
        </w:tabs>
      </w:pPr>
      <w:r>
        <w:t xml:space="preserve">Figure 3.1 : Diagramme des paquetages</w:t>
        <w:tab/>
        <w:t>32</w:t>
      </w:r>
    </w:p>
    <w:p w:rsidR="005911B7" w:rsidRDefault="005911B7" w:rsidP="007B1E7D">
      <w:pPr>
        <w:keepNext/>
        <w:tabs>
          <w:tab w:val="right" w:leader="dot" w:pos="9066"/>
        </w:tabs>
      </w:pPr>
      <w:r>
        <w:t>Figure 3.2 : Diagramme de classes — vue globale du domaine métier</w:t>
        <w:tab/>
        <w:t>34</w:t>
      </w:r>
    </w:p>
    <w:p w:rsidR="005911B7" w:rsidRDefault="005911B7" w:rsidP="007B1E7D">
      <w:pPr>
        <w:keepNext/>
        <w:tabs>
          <w:tab w:val="right" w:leader="dot" w:pos="9066"/>
        </w:tabs>
      </w:pPr>
      <w:r>
        <w:t>Figure 3.2a : Diagramme de classes — modèle recrutement</w:t>
        <w:tab/>
        <w:t>35</w:t>
      </w:r>
    </w:p>
    <w:p w:rsidR="005911B7" w:rsidRDefault="005911B7" w:rsidP="007B1E7D">
      <w:pPr>
        <w:keepNext/>
        <w:tabs>
          <w:tab w:val="right" w:leader="dot" w:pos="9066"/>
        </w:tabs>
      </w:pPr>
      <w:r>
        <w:t>Figure 3.2b : Diagramme de classes — utilisateurs et sécurité</w:t>
        <w:tab/>
        <w:t>36</w:t>
      </w:r>
    </w:p>
    <w:p w:rsidR="005911B7" w:rsidRDefault="005911B7" w:rsidP="007B1E7D">
      <w:pPr>
        <w:keepNext/>
        <w:tabs>
          <w:tab w:val="right" w:leader="dot" w:pos="9066"/>
        </w:tabs>
      </w:pPr>
      <w:r>
        <w:t>Figure 3.3 : Diagramme de séquence technique — Soumission asynchrone et scoring IA</w:t>
        <w:tab/>
        <w:t>37</w:t>
      </w:r>
    </w:p>
    <w:p w:rsidR="005911B7" w:rsidRDefault="005911B7" w:rsidP="007B1E7D">
      <w:pPr>
        <w:keepNext/>
        <w:tabs>
          <w:tab w:val="right" w:leader="dot" w:pos="9066"/>
        </w:tabs>
      </w:pPr>
      <w:r>
        <w:t>Figure 3.4 : Diagramme de séquence objet — Planifier un entretien</w:t>
        <w:tab/>
        <w:t>38</w:t>
      </w:r>
    </w:p>
    <w:p w:rsidR="005911B7" w:rsidRDefault="005911B7" w:rsidP="007B1E7D">
      <w:pPr>
        <w:keepNext/>
        <w:tabs>
          <w:tab w:val="right" w:leader="dot" w:pos="9066"/>
        </w:tabs>
      </w:pPr>
      <w:r>
        <w:t>Figure 3.5 : Diagramme de séquence objet — Décision finale de recrutement</w:t>
        <w:tab/>
        <w:t>39</w:t>
      </w:r>
    </w:p>
    <w:p w:rsidR="005911B7" w:rsidRDefault="005911B7" w:rsidP="007B1E7D">
      <w:pPr>
        <w:keepNext/>
        <w:tabs>
          <w:tab w:val="right" w:leader="dot" w:pos="9066"/>
        </w:tabs>
      </w:pPr>
      <w:r>
        <w:t>Figure 3.6 : Diagramme de séquence objet — Analyse IA du CV</w:t>
        <w:tab/>
        <w:t>40</w:t>
      </w:r>
    </w:p>
    <w:p w:rsidR="005911B7" w:rsidRDefault="005911B7" w:rsidP="007B1E7D">
      <w:pPr>
        <w:keepNext/>
        <w:tabs>
          <w:tab w:val="right" w:leader="dot" w:pos="9066"/>
        </w:tabs>
      </w:pPr>
      <w:r>
        <w:t>Figure 3.7 : Diagramme de séquence objet — Routage et notification des managers</w:t>
        <w:tab/>
        <w:t>41</w:t>
      </w:r>
    </w:p>
    <w:p w:rsidR="005911B7" w:rsidRDefault="005911B7" w:rsidP="007B1E7D">
      <w:pPr>
        <w:keepNext/>
        <w:tabs>
          <w:tab w:val="right" w:leader="dot" w:pos="9066"/>
        </w:tabs>
      </w:pPr>
      <w:r>
        <w:t>Figure 3.8 : Diagramme d’états du cycle de vie d’une candidature</w:t>
        <w:tab/>
        <w:t>42</w:t>
      </w:r>
    </w:p>
    <w:p w:rsidR="005911B7" w:rsidRDefault="005911B7" w:rsidP="007B1E7D">
      <w:pPr>
        <w:keepNext/>
        <w:tabs>
          <w:tab w:val="right" w:leader="dot" w:pos="9066"/>
        </w:tabs>
      </w:pPr>
      <w:r>
        <w:t>Figure 3.9 : Schéma relationnel de la base de données PostgreSQL</w:t>
        <w:tab/>
        <w:t>45</w:t>
      </w:r>
    </w:p>
    <w:p w:rsidR="005911B7" w:rsidRDefault="005911B7" w:rsidP="007B1E7D">
      <w:pPr>
        <w:keepNext/>
        <w:tabs>
          <w:tab w:val="right" w:leader="dot" w:pos="9066"/>
        </w:tabs>
      </w:pPr>
      <w:r>
        <w:t>Figure 3.10 : Diagramme de composants de la plateforme JOB4YOU</w:t>
        <w:tab/>
        <w:t>46</w:t>
      </w:r>
    </w:p>
    <w:p w:rsidR="005911B7" w:rsidRDefault="005911B7" w:rsidP="007B1E7D">
      <w:pPr>
        <w:keepNext/>
        <w:tabs>
          <w:tab w:val="right" w:leader="dot" w:pos="9066"/>
        </w:tabs>
      </w:pPr>
      <w:r>
        <w:t>Figure 3.11 : Diagramme de déploiement de la plateforme JOB4YOU</w:t>
        <w:tab/>
        <w:t>47</w:t>
      </w:r>
    </w:p>
    <w:p w14:paraId="50335382" w14:textId="54EF0CDD" w:rsidR="005911B7" w:rsidRDefault="005911B7" w:rsidP="007B1E7D">
      <w:pPr>
        <w:tabs>
          <w:tab w:val="right" w:leader="dot" w:pos="9066"/>
        </w:tabs>
      </w:pPr>
      <w:r>
        <w:t>Figure 4.1 : Page d’accueil publique — recherche d’offres d’emploi</w:t>
        <w:tab/>
        <w:t>50</w:t>
      </w:r>
    </w:p>
    <w:p w14:paraId="0AFF955C" w14:textId="72F5DA5C" w:rsidR="005911B7" w:rsidRDefault="005911B7" w:rsidP="007B1E7D">
      <w:pPr>
        <w:tabs>
          <w:tab w:val="right" w:leader="dot" w:pos="9066"/>
        </w:tabs>
      </w:pPr>
      <w:r>
        <w:t>Figure 4.2 : Page de connexion</w:t>
        <w:tab/>
        <w:t>51</w:t>
      </w:r>
    </w:p>
    <w:p w14:paraId="0A11B2F5" w14:textId="59AA0FB2" w:rsidR="005911B7" w:rsidRDefault="005911B7" w:rsidP="007B1E7D">
      <w:pPr>
        <w:tabs>
          <w:tab w:val="right" w:leader="dot" w:pos="9066"/>
        </w:tabs>
      </w:pPr>
      <w:r>
        <w:t>Figure 4.3 : Soumission d’une candidature avec dépôt de CV</w:t>
        <w:tab/>
        <w:t>51</w:t>
      </w:r>
    </w:p>
    <w:p w14:paraId="17208FBD" w14:textId="3121B3AD" w:rsidR="005911B7" w:rsidRDefault="005911B7" w:rsidP="007B1E7D">
      <w:pPr>
        <w:tabs>
          <w:tab w:val="right" w:leader="dot" w:pos="9066"/>
        </w:tabs>
      </w:pPr>
      <w:r>
        <w:t>Figure 4.4 : Fonctionnalité « Job idéal » — suggestions d’offres selon le CV</w:t>
        <w:tab/>
        <w:t>52</w:t>
      </w:r>
    </w:p>
    <w:p w14:paraId="50337BA5" w14:textId="5EADD626" w:rsidR="005911B7" w:rsidRDefault="005911B7" w:rsidP="007B1E7D">
      <w:pPr>
        <w:tabs>
          <w:tab w:val="right" w:leader="dot" w:pos="9066"/>
        </w:tabs>
      </w:pPr>
      <w:r>
        <w:t>Figure 4.5 : Assistant conversationnel candidat (chatbot)</w:t>
        <w:tab/>
        <w:t>52</w:t>
      </w:r>
    </w:p>
    <w:p w14:paraId="621B3F2F" w14:textId="0A2FC2E9" w:rsidR="005911B7" w:rsidRDefault="005911B7" w:rsidP="007B1E7D">
      <w:pPr>
        <w:tabs>
          <w:tab w:val="right" w:leader="dot" w:pos="9066"/>
        </w:tabs>
      </w:pPr>
      <w:r>
        <w:t>Figure 4.6 : Gestion des offres d’emploi (espace RH)</w:t>
        <w:tab/>
        <w:t>53</w:t>
      </w:r>
    </w:p>
    <w:p w14:paraId="0B8DC928" w14:textId="006C02D8" w:rsidR="005911B7" w:rsidRDefault="005911B7" w:rsidP="007B1E7D">
      <w:pPr>
        <w:tabs>
          <w:tab w:val="right" w:leader="dot" w:pos="9066"/>
        </w:tabs>
      </w:pPr>
      <w:r>
        <w:t>Figure 4.7 : Gestion des candidats — vue liste avec score IA</w:t>
        <w:tab/>
        <w:t>54</w:t>
      </w:r>
    </w:p>
    <w:p w14:paraId="6F4BEA44" w14:textId="2416B8DA" w:rsidR="005911B7" w:rsidRDefault="005911B7" w:rsidP="007B1E7D">
      <w:pPr>
        <w:tabs>
          <w:tab w:val="right" w:leader="dot" w:pos="9066"/>
        </w:tabs>
      </w:pPr>
      <w:r>
        <w:t>Figure 4.8 : Analyse détaillée d’une candidature par intelligence artificielle</w:t>
        <w:tab/>
        <w:t>54</w:t>
      </w:r>
    </w:p>
    <w:p w14:paraId="4E671CA7" w14:textId="1C0781DB" w:rsidR="005911B7" w:rsidRDefault="005911B7" w:rsidP="007B1E7D">
      <w:pPr>
        <w:tabs>
          <w:tab w:val="right" w:leader="dot" w:pos="9066"/>
        </w:tabs>
      </w:pPr>
      <w:r>
        <w:t>Figure 4.9 : Modification d’un dossier candidat</w:t>
        <w:tab/>
        <w:t>55</w:t>
      </w:r>
    </w:p>
    <w:p w14:paraId="64C30683" w14:textId="082BDCCC" w:rsidR="005911B7" w:rsidRDefault="005911B7" w:rsidP="007B1E7D">
      <w:pPr>
        <w:tabs>
          <w:tab w:val="right" w:leader="dot" w:pos="9066"/>
        </w:tabs>
      </w:pPr>
      <w:r>
        <w:t>Figure 4.10 : Tableau Kanban du pipeline de recrutement</w:t>
        <w:tab/>
        <w:t>55</w:t>
      </w:r>
    </w:p>
    <w:p w14:paraId="64C30683" w14:textId="082BDCCC" w:rsidR="005911B7" w:rsidRDefault="005911B7" w:rsidP="007B1E7D">
      <w:pPr>
        <w:tabs>
          <w:tab w:val="right" w:leader="dot" w:pos="9066"/>
        </w:tabs>
      </w:pPr>
      <w:r>
        <w:t>Figure 4.11 : Gestion des entretiens (espace RH)</w:t>
        <w:tab/>
        <w:t>56</w:t>
      </w:r>
    </w:p>
    <w:p w14:paraId="64C30683" w14:textId="082BDCCC" w:rsidR="005911B7" w:rsidRDefault="005911B7" w:rsidP="007B1E7D">
      <w:pPr>
        <w:tabs>
          <w:tab w:val="right" w:leader="dot" w:pos="9066"/>
        </w:tabs>
      </w:pPr>
      <w:r>
        <w:t>Figure 4.12 : Gestion des feedbacks (espace RH)</w:t>
        <w:tab/>
        <w:t>57</w:t>
      </w:r>
    </w:p>
    <w:p w14:paraId="64C30683" w14:textId="082BDCCC" w:rsidR="005911B7" w:rsidRDefault="005911B7" w:rsidP="007B1E7D">
      <w:pPr>
        <w:tabs>
          <w:tab w:val="right" w:leader="dot" w:pos="9066"/>
        </w:tabs>
      </w:pPr>
      <w:r>
        <w:t>Figure 4.13 : Contre-signature RH d’un avis favorable « Valider l’embauche »</w:t>
        <w:tab/>
        <w:t>57</w:t>
      </w:r>
    </w:p>
    <w:p w14:paraId="64C30683" w14:textId="082BDCCC" w:rsidR="005911B7" w:rsidRDefault="005911B7" w:rsidP="007B1E7D">
      <w:pPr>
        <w:tabs>
          <w:tab w:val="right" w:leader="dot" w:pos="9066"/>
        </w:tabs>
      </w:pPr>
      <w:r>
        <w:t>Figure 4.14 : Contre-signature RH d’un refus proposé — modale « Confirmer le refus »</w:t>
        <w:tab/>
        <w:t>58</w:t>
      </w:r>
    </w:p>
    <w:p w14:paraId="64C30683" w14:textId="082BDCCC" w:rsidR="005911B7" w:rsidRDefault="005911B7" w:rsidP="007B1E7D">
      <w:pPr>
        <w:tabs>
          <w:tab w:val="right" w:leader="dot" w:pos="9066"/>
        </w:tabs>
      </w:pPr>
      <w:r>
        <w:t>Figure 4.15 : Espace Manager — candidatures relevant du périmètre du manager</w:t>
        <w:tab/>
        <w:t>58</w:t>
      </w:r>
    </w:p>
    <w:p w14:paraId="64C30683" w14:textId="082BDCCC" w:rsidR="005911B7" w:rsidRDefault="005911B7" w:rsidP="007B1E7D">
      <w:pPr>
        <w:tabs>
          <w:tab w:val="right" w:leader="dot" w:pos="9066"/>
        </w:tabs>
      </w:pPr>
      <w:r>
        <w:t>Figure 4.16 : Espace Manager — page « Mon calendrier d’entretiens », prochains entretiens, rappels et entretiens passés</w:t>
        <w:tab/>
        <w:t>59</w:t>
      </w:r>
    </w:p>
    <w:p w14:paraId="64C30683" w14:textId="082BDCCC" w:rsidR="005911B7" w:rsidRDefault="005911B7" w:rsidP="007B1E7D">
      <w:pPr>
        <w:tabs>
          <w:tab w:val="right" w:leader="dot" w:pos="9066"/>
        </w:tabs>
      </w:pPr>
      <w:r>
        <w:t>Figure 4.17 : Gestion des utilisateurs et des rôles (espace Administrateur)</w:t>
        <w:tab/>
        <w:t>60</w:t>
      </w:r>
    </w:p>
    <w:p w14:paraId="64C30683" w14:textId="082BDCCC" w:rsidR="005911B7" w:rsidRDefault="005911B7" w:rsidP="007B1E7D">
      <w:pPr>
        <w:tabs>
          <w:tab w:val="right" w:leader="dot" w:pos="9066"/>
        </w:tabs>
      </w:pPr>
      <w:r>
        <w:t>Figure 4.18 : Paramétrage du scoring IA par famille de métier</w:t>
        <w:tab/>
        <w:t>60</w:t>
      </w:r>
    </w:p>
    <w:p w14:paraId="64C30683" w14:textId="082BDCCC" w:rsidR="005911B7" w:rsidRDefault="005911B7" w:rsidP="007B1E7D">
      <w:pPr>
        <w:tabs>
          <w:tab w:val="right" w:leader="dot" w:pos="9066"/>
        </w:tabs>
      </w:pPr>
      <w:r>
        <w:t>Figure 4.19 : Historique d’audit</w:t>
        <w:tab/>
        <w:t>61</w:t>
      </w:r>
    </w:p>
    <w:p w14:paraId="64C30683" w14:textId="082BDCCC" w:rsidR="005911B7" w:rsidRDefault="005911B7" w:rsidP="007B1E7D">
      <w:pPr>
        <w:tabs>
          <w:tab w:val="right" w:leader="dot" w:pos="9066"/>
        </w:tabs>
      </w:pPr>
      <w:r>
        <w:t>Figure 4.20 : Console n8n — les trois flux d’automatisation publiés et leurs statistiques</w:t>
        <w:tab/>
        <w:t>61</w:t>
      </w:r>
    </w:p>
    <w:p w14:paraId="64C30683" w14:textId="082BDCCC" w:rsidR="005911B7" w:rsidRDefault="005911B7" w:rsidP="007B1E7D">
      <w:pPr>
        <w:tabs>
          <w:tab w:val="right" w:leader="dot" w:pos="9066"/>
        </w:tabs>
      </w:pPr>
      <w:r>
        <w:t>Figure 4.21 : Flux n8n de l’Agent 1 — webhook de candidature, appel du scoring Cohere puis e-mail au candidat</w:t>
        <w:tab/>
        <w:t>62</w:t>
      </w:r>
    </w:p>
    <w:p w14:paraId="64C30683" w14:textId="082BDCCC" w:rsidR="005911B7" w:rsidRDefault="005911B7" w:rsidP="007B1E7D">
      <w:pPr>
        <w:tabs>
          <w:tab w:val="right" w:leader="dot" w:pos="9066"/>
        </w:tabs>
      </w:pPr>
      <w:r>
        <w:t>Figure 4.22 : E-mail automatique de confirmation de candidature reçu par le candidat</w:t>
        <w:tab/>
        <w:t>63</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 xml:space="preserve">Tableau 1.2 : Backlog reconstitué des user stories par phase</w:t>
        <w:tab/>
        <w:t>17</w:t>
      </w:r>
    </w:p>
    <w:p w14:paraId="0F0EF9EC" w14:textId="77777777" w:rsidR="005911B7" w:rsidRDefault="005911B7" w:rsidP="007B1E7D">
      <w:pPr>
        <w:tabs>
          <w:tab w:val="right" w:leader="dot" w:pos="9066"/>
        </w:tabs>
      </w:pPr>
      <w:r>
        <w:t>Tableau 2.1 : Matrice des responsabilités par rôle</w:t>
        <w:tab/>
        <w:t>20</w:t>
      </w:r>
    </w:p>
    <w:p w14:paraId="0F0EF9EC" w14:textId="77777777" w:rsidR="005911B7" w:rsidRDefault="005911B7" w:rsidP="007B1E7D">
      <w:pPr>
        <w:tabs>
          <w:tab w:val="right" w:leader="dot" w:pos="9066"/>
        </w:tabs>
      </w:pPr>
      <w:r>
        <w:t xml:space="preserve">Tableau 2.2 : Description textuelle de deux cas d’utilisation représentatifs</w:t>
        <w:tab/>
        <w:t>28</w:t>
      </w:r>
    </w:p>
    <w:p w14:paraId="0F0EF9EC" w14:textId="77777777" w:rsidR="005911B7" w:rsidRDefault="005911B7" w:rsidP="007B1E7D">
      <w:pPr>
        <w:tabs>
          <w:tab w:val="right" w:leader="dot" w:pos="9066"/>
        </w:tabs>
      </w:pPr>
      <w:r>
        <w:t xml:space="preserve">Tableau 2.3 : Rôle des agents d’automatisation n8n</w:t>
        <w:tab/>
        <w:t>30</w:t>
      </w:r>
    </w:p>
    <w:p w14:paraId="4C96854F" w14:textId="5739EA8D" w:rsidR="005911B7" w:rsidRDefault="005911B7" w:rsidP="007B1E7D">
      <w:pPr>
        <w:tabs>
          <w:tab w:val="right" w:leader="dot" w:pos="9066"/>
        </w:tabs>
      </w:pPr>
      <w:r>
        <w:t>Tableau 4.1 : Synthèse des tests fonctionnels réalisés</w:t>
        <w:tab/>
        <w:t>64</w:t>
      </w:r>
    </w:p>
    <w:p w14:paraId="458518D7" w14:textId="5506CA71" w:rsidR="005911B7" w:rsidRDefault="001A53BF" w:rsidP="007B1E7D">
      <w:pPr>
        <w:tabs>
          <w:tab w:val="right" w:leader="dot" w:pos="9066"/>
        </w:tabs>
      </w:pPr>
      <w:r>
        <w:t>Tableau 4.2 : Matrice de confusion du Gold Set selon le seuil de décision</w:t>
        <w:tab/>
        <w:t>67</w:t>
      </w:r>
    </w:p>
    <w:p w14:paraId="458518D7" w14:textId="5506CA71" w:rsidR="005911B7" w:rsidRDefault="001A53BF" w:rsidP="007B1E7D">
      <w:pPr>
        <w:tabs>
          <w:tab w:val="right" w:leader="dot" w:pos="9066"/>
        </w:tabs>
      </w:pPr>
      <w:r>
        <w:t>Tableau 4.3 : Bilan des fonctionnalités réalisées</w:t>
        <w:tab/>
        <w:t>74</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période de développement de ce Projet de Fin d’Études.</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 xml:space="preserve">Le Responsable RH, qui publie et gère les offres d’emploi, examine les candidatures reçues, valide les dossiers, planifie les entretiens et contre-signe la décision finale — embauche (avec date de présentation des documents) ou refus motivé —, seule étape qui déclenche l’e-mail de réponse au candidat.</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fournit un feedback structuré et émet un avis — favorable (ACCEPTED) ou refus proposé (MANAGER_REJECTED) — sur les dossiers de son périmètre ; cet avis est tracé dans le journal d’audit et transmis au RH, qui le contre-signe.</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r>
        <w:t xml:space="preserve"> Le rythme de ces itérations et le contenu du backlog associé sont retracés en section 1.8 (figure 1.1 et tableau 1.2).</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 xml:space="preserve">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1.1.</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 xml:space="preserve">Repère mensuel</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47C7FCB1" w14:textId="77777777" w:rsidR="005911B7" w:rsidRDefault="00DD75A5" w:rsidP="007B1E7D">
      <w:pPr/>
      <w:r>
        <w:t xml:space="preserve">La figure 1.1 reprend cette macro-planification sur un calendrier mensuel, d’après les repères mensuels du tableau 1.1.</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158.7pt;visibility:visible">
            <v:imagedata r:id="rId950" o:title=""/>
          </v:shape>
        </w:pict>
      </w:r>
    </w:p>
    <w:p w14:paraId="5857B543" w14:textId="77777777" w:rsidR="005911B7" w:rsidRDefault="005911B7" w:rsidP="007B1E7D">
      <w:pPr>
        <w:jc w:val="center"/>
        <w:rPr>
          <w:i/>
          <w:sz w:val="21"/>
        </w:rPr>
        <w:spacing w:before="0" w:after="160" w:line="240" w:lineRule="auto"/>
      </w:pPr>
      <w:r>
        <w:rPr>
          <w:i/>
          <w:sz w:val="21"/>
        </w:rPr>
        <w:t xml:space="preserve">Figure 1.1 : Diagramme de Gantt — Planification mensuelle des phases du projet</w:t>
      </w:r>
    </w:p>
    <w:p w14:paraId="47C7FCB1" w14:textId="77777777" w:rsidR="005911B7" w:rsidRDefault="00DD75A5" w:rsidP="007B1E7D">
      <w:pPr/>
      <w:r>
        <w:t xml:space="preserve">Le tableau 1.2 reconstitue les user stories des principales fonctionnalités livrées, par acteur et par phase du tableau 1.1.</w:t>
      </w:r>
    </w:p>
    <w:p>
      <w:pPr>
        <w:keepNext/>
        <w:jc w:val="center"/>
        <w:rPr>
          <w:i/>
          <w:sz w:val="21"/>
        </w:rPr>
      </w:pPr>
      <w:r>
        <w:rPr>
          <w:i/>
          <w:sz w:val="21"/>
        </w:rPr>
        <w:t xml:space="preserve">Tableau 1.2 : Backlog reconstitué des user stories par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User story</w:t>
            </w:r>
          </w:p>
        </w:tc>
        <w:tc>
          <w:tcPr>
            <w:tcW w:w="1667" w:type="pct"/>
            <w:shd w:val="clear" w:color="auto" w:fill="D9D9D9"/>
          </w:tcPr>
          <w:p w14:paraId="1F5770AA" w14:textId="77777777" w:rsidR="005911B7" w:rsidRPr="007B1E7D" w:rsidRDefault="005911B7" w:rsidP="007B1E7D">
            <w:pPr>
              <w:keepNext/>
              <w:rPr>
                <w:b/>
                <w:sz w:val="21"/>
              </w:rPr>
            </w:pPr>
            <w:r>
              <w:rPr>
                <w:b/>
                <w:sz w:val="21"/>
              </w:rPr>
              <w:t>Acteur bénéficiaire</w:t>
            </w:r>
          </w:p>
        </w:tc>
        <w:tc>
          <w:tcPr>
            <w:tcW w:w="1667" w:type="pct"/>
            <w:shd w:val="clear" w:color="auto" w:fill="D9D9D9"/>
          </w:tcPr>
          <w:p w14:paraId="7889E46C" w14:textId="77777777" w:rsidR="005911B7" w:rsidRPr="007B1E7D" w:rsidRDefault="005911B7" w:rsidP="007B1E7D">
            <w:pPr>
              <w:keepNext/>
              <w:rPr>
                <w:b/>
                <w:sz w:val="21"/>
              </w:rPr>
            </w:pPr>
            <w:r>
              <w:rPr>
                <w:b/>
                <w:sz w:val="21"/>
              </w:rPr>
              <w:t>Phase de réalisation</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Créer un compte et postuler à une offre (dépôt du CV)</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Suivre l’avancement de sa candidature à chaque étape</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Publier et gérer les offres d’emploi du périmètre RH</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Faire présélectionner les CV par un score IA paramétrable</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 xml:space="preserve">Planifier les entretiens, émettre un avis et le contre-signer</w:t>
            </w:r>
          </w:p>
        </w:tc>
        <w:tc>
          <w:tcPr>
            <w:tcW w:w="1667" w:type="pct"/>
          </w:tcPr>
          <w:p w14:paraId="4ACD40FB" w14:textId="77777777" w:rsidR="005911B7" w:rsidRPr="007B1E7D" w:rsidRDefault="005911B7" w:rsidP="007B1E7D">
            <w:pPr>
              <w:rPr>
                <w:sz w:val="21"/>
              </w:rPr>
            </w:pPr>
            <w:r>
              <w:rPr>
                <w:sz w:val="21"/>
              </w:rPr>
              <w:t>RH et 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Consulter le tableau Kanban et le journal d’audit</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Disposer d’un calendrier d’entretiens avec rappels</w:t>
            </w:r>
          </w:p>
        </w:tc>
        <w:tc>
          <w:tcPr>
            <w:tcW w:w="1667" w:type="pct"/>
          </w:tcPr>
          <w:p w14:paraId="4ACD40FB" w14:textId="77777777" w:rsidR="005911B7" w:rsidRPr="007B1E7D" w:rsidRDefault="005911B7" w:rsidP="007B1E7D">
            <w:pPr>
              <w:rPr>
                <w:sz w:val="21"/>
              </w:rPr>
            </w:pPr>
            <w:r>
              <w:rPr>
                <w:sz w:val="21"/>
              </w:rPr>
              <w:t>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Bénéficier des suggestions « Job idéal » et du chatbot</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Évaluer, corriger et expliquer le scoring IA</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Tests, corrections et finalisation</w:t>
            </w:r>
          </w:p>
        </w:tc>
      </w:tr>
    </w:tbl>
    <w:p w14:paraId="47C7FCB1" w14:textId="77777777" w:rsidR="005911B7" w:rsidRDefault="00DD75A5" w:rsidP="007B1E7D">
      <w:pPr/>
      <w:r>
        <w:rPr>
          <w:i/>
          <w:iCs/>
          <w:sz w:val="18"/>
        </w:rPr>
        <w:t xml:space="preserve">Backlog reconstitué a posteriori à partir de l’historique Git, non tenu en temps réel durant le projet.</w:t>
      </w:r>
    </w:p>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 xml:space="preserve">Le Responsable RH : acteur central du processus, il publie les offres, examine et valide les candidatures, planifie les entretiens et contre-signe la décision finale (embauche ou refus), seul moment où le candidat est notifié.</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émet un avis (favorable ou refus proposé) sur les dossiers de son périmètre, qui reste à contre-signer par le RH.</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 xml:space="preserve">Le tableau 2.1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Avis sur la candidature (favorable / refus proposé)</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Décision finale contre-signée (HIRED / REJECTED)</w:t>
            </w:r>
          </w:p>
        </w:tc>
        <w:tc>
          <w:tcPr>
            <w:tcW w:w="1000" w:type="pct"/>
          </w:tcPr>
          <w:p w14:paraId="3BA12504" w14:textId="77777777" w:rsidR="005911B7" w:rsidRPr="007B1E7D" w:rsidRDefault="005911B7" w:rsidP="007B1E7D">
            <w:pPr>
              <w:keepNext/>
              <w:rPr>
                <w:sz w:val="21"/>
              </w:rPr>
            </w:pPr>
            <w:r>
              <w:rPr>
                <w:sz w:val="21"/>
              </w:rPr>
              <w:t xml:space="preserve">Oui</w:t>
            </w:r>
          </w:p>
        </w:tc>
        <w:tc>
          <w:tcPr>
            <w:tcW w:w="1000" w:type="pct"/>
          </w:tcPr>
          <w:p w14:paraId="3015D382" w14:textId="77777777" w:rsidR="005911B7" w:rsidRPr="007B1E7D" w:rsidRDefault="005911B7" w:rsidP="007B1E7D">
            <w:pPr>
              <w:keepNext/>
              <w:rPr>
                <w:sz w:val="21"/>
              </w:rPr>
            </w:pPr>
            <w:r>
              <w:rPr>
                <w:sz w:val="21"/>
              </w:rPr>
              <w:t xml:space="preserve">Non</w:t>
            </w:r>
          </w:p>
        </w:tc>
        <w:tc>
          <w:tcPr>
            <w:tcW w:w="1000" w:type="pct"/>
          </w:tcPr>
          <w:p w14:paraId="505FFFE3" w14:textId="77777777" w:rsidR="005911B7" w:rsidRPr="007B1E7D" w:rsidRDefault="005911B7" w:rsidP="007B1E7D">
            <w:pPr>
              <w:keepNext/>
              <w:rPr>
                <w:sz w:val="21"/>
              </w:rPr>
            </w:pPr>
            <w:r>
              <w:rPr>
                <w:sz w:val="21"/>
              </w:rPr>
              <w:t xml:space="preserve">Oui</w:t>
            </w:r>
          </w:p>
        </w:tc>
        <w:tc>
          <w:tcPr>
            <w:tcW w:w="1000" w:type="pct"/>
          </w:tcPr>
          <w:p w14:paraId="0DE88341" w14:textId="77777777" w:rsidR="005911B7" w:rsidRPr="007B1E7D" w:rsidRDefault="005911B7" w:rsidP="007B1E7D">
            <w:pPr>
              <w:keepNext/>
              <w:rPr>
                <w:sz w:val="21"/>
              </w:rPr>
            </w:pPr>
            <w:r>
              <w:rPr>
                <w:sz w:val="21"/>
              </w:rPr>
              <w:t xml:space="preserve">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la main sur l’ensemble du cycle : ils peuvent enregistrer un avis comme le ferait le manager — pour corriger ou débloquer un dossier en son absence — et sont seuls à pouvoir contre-signer la décision finale. Un compte purement manager ne peut écrire ni l’embauche (HIRED) ni un statut du pipeline : la plateforme le refuse par une erreur 403. Qui a réellement pris chaque décision reste visible dans le journal d’audit.</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 xml:space="preserve">Décision à deux niveaux : le manager émet un avis (favorable ou refus proposé) que le RH ou l’Administrateur contre-signe pour produire la décision finale — embauche avec date de présentation des documents, ou refus motivé —, avec garde-fou empêchant toute décision sur un dossier non validé par le RH et toute validation finale par un compte purement manager.</w:t>
      </w:r>
    </w:p>
    <w:p w14:paraId="5C8620EA" w14:textId="77777777" w:rsidR="005911B7" w:rsidRDefault="005911B7" w:rsidP="005911B7">
      <w:pPr>
        <w:pStyle w:val="Paragraphedeliste"/>
        <w:numPr>
          <w:ilvl w:val="0"/>
          <w:numId w:val="19"/>
        </w:numPr>
      </w:pPr>
      <w:r>
        <w:t xml:space="preserve">Notifications automatiques par e-mail à chaque étape clé du processus (confirmation de candidature, invitation à un entretien, décision finale) ; l’e-mail de décision finale n’est adressé au candidat qu’après le contreseing du RH, l’avis du manager notifiant le RH ; seule exception, le refus prononcé par l’agent IA, notifié dès le statut AUTO_REJECTED et qui n’est pas doublé lorsque le RH se borne à le confirmer.</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 Cette différence de plafond est volontaire : la validation du formulaire est un confort offert à l’utilisateur, la limite serveur est la véritable barrière de sécurité, seule opposée à un client qui contournerait l’interface.</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 xml:space="preserve">Fiabilité : garde-fous métier empêchant les transitions de statut incohérentes (ex. acceptation avant l’entretien téléphonique RH, validation finale sans avis manager en attente, embauche sans date de présentation des documents,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Le diagramme d’activité de la figure 2.1 (page suivante) rend explicite un point que le texte seul rendait moins visible : l’entretien téléphonique RH est un passage obligé avant toute évaluation technique (section 4.5.8), et la transmission au manager désigné par le RH (section 3.5.4) n’intervient qu’à ce moment-là, pas dès la validation du CV — conformément à la correction décrite en section 4.5.5. Le rejet automatique par l’IA n’y constitue pas une fin de parcours distincte : il rejoint, comme la contre-signature du RH, l’étape commune de notification et de journalisation, et admet deux issues humaines distinctes, toutes deux portées par la transition « AUTO_REJECTED » de la figure 3.8 : le RH confirme le refus après examen, ou le conteste par un override justifié qui le réintègre dans le pipeline, à condition que la note corrigée atteigne le seuil de 60/100.</w:t>
      </w:r>
      <w:r>
        <w:t xml:space="preserve"/>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visibility:visible;visibility:visible;width:746.8pt;height:465.0pt;">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99.2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14:paraId="47C7FCB1" w14:textId="77777777" w:rsidR="005911B7" w:rsidRDefault="00DD75A5" w:rsidP="007B1E7D">
      <w:pPr/>
      <w:r>
        <w:rPr>
          <w:i/>
          <w:iCs/>
        </w:rPr>
        <w:t xml:space="preserve">Seuls 7 cas d’usage représentatifs sont reliés à « S’authentifier » pour la lisibilité ; l’authentification s’applique à tout l’espace interne.</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contre-signer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avis du manager puis contre-signature RH de la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405.6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Le troisième zoom isole le périmètre d’administration : comptes et rôles, rattachement d’un utilisateur à un département ou à une famille de métier, pondérations du scoring IA et journal d’audit (figure 2.5). Le référentiel lui-même n’est pas administrable : les départements sont créés au démarrage et exposés en lecture seule, les familles de métier sont un énuméré figé dans le code.</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visibility:visible;visibility:visible;width:425.8pt;height:488.9pt">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Avis manager, puis décision finale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 xml:space="preserve">Manager (avis), puis Responsable RH (contreseing)</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a été transmis au manager pour évaluation technique : un avis favorable (ACCEPTED) comme un refus proposé (MANAGER_REJECTED) sont admis sur les seuls statuts TECHNICAL_TEST, INTERVIEW et FINAL_INTERVIEW, c’est-à-dire après le pré-filtrage téléphonique du RH.</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 xml:space="preserve">Le manager consulte le dossier du candidat, ses scores et ses éventuels feedbacks, puis émet un avis — favorable, ou refus proposé accompagné d’un motif. Le RH, averti par e-mail et dans sa liste de candidats, contre-signe cet avis : embauche (HIRED) avec date de présentation des documents, ou refus final (REJECTED) motivé.</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 xml:space="preserve">L’avis est enregistré (ACCEPTED ou MANAGER_REJECTED) et notifié au RH ; la décision finale (HIRED ou REJECTED) n’est acquise qu’après son contreseing, seul moment où le candidat reçoit un e-mail.</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 xml:space="preserve">Dossier à un statut qui n’autorise pas la décision demandée — par exemple un avis favorable avant l’entretien téléphonique RH — ou refus manager sans motif : le système retourne une erreur 400. Un compte purement manager qui appelle le point d’entrée de validation finale reçoit une erreur 403.</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Le diagramme de la figure 2.6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 l’essentiel des notifications (SMTP) ; le back-end envoie toutefois ses propres courriels, via JavaMailSender, pour la réinitialisation du mot de passe et les rappels d’entretien. Il appelle aussi directement l’API de Cohere [11] (scoring IA) et l’API OpenRouter [12] (assistant conversationnel). Cette organisation physique est détaillée au chapitre 3 (figures 3.10 et 3.11) ; le tableau 2.3 précise le rôle de chaque agent.</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la convocation au candidat comme la confirmation à l’intervieweur.</w:t>
            </w:r>
          </w:p>
        </w:tc>
      </w:tr>
      <w:tr>
        <w:trPr>
          <w:cantSplit/>
        </w:trPr>
        <w:tc>
          <w:tcPr>
            <w:tcW w:w="1667" w:type="pct"/>
          </w:tcPr>
          <w:p>
            <w:pPr>
              <w:rPr>
                <w:sz w:val="21"/>
              </w:rPr>
            </w:pPr>
            <w:r>
              <w:rPr>
                <w:sz w:val="21"/>
              </w:rPr>
              <w:t xml:space="preserve">Agent 3 — « RH vers Manager (dossier validé) » (notification du manager désigné)</w:t>
            </w:r>
          </w:p>
        </w:tc>
        <w:tc>
          <w:tcPr>
            <w:tcW w:w="1667" w:type="pct"/>
          </w:tcPr>
          <w:p>
            <w:pPr>
              <w:rPr>
                <w:sz w:val="21"/>
              </w:rPr>
            </w:pPr>
            <w:r>
              <w:rPr>
                <w:sz w:val="21"/>
              </w:rPr>
              <w:t xml:space="preserve">Webhooks déclenchés à l’entrée en évaluation technique (TECHNICAL_TEST), au rejet automatique et au retrait d’une candidature</w:t>
            </w:r>
          </w:p>
        </w:tc>
        <w:tc>
          <w:tcPr>
            <w:tcW w:w="1667" w:type="pct"/>
          </w:tcPr>
          <w:p>
            <w:pPr>
              <w:rPr>
                <w:sz w:val="21"/>
              </w:rPr>
            </w:pPr>
            <w:r>
              <w:rPr>
                <w:sz w:val="21"/>
              </w:rPr>
              <w:t xml:space="preserve">Notifie le manager désigné par le RH, résolu et gelé sur le dossier par le back-end (ManagerRoutingService), sans dupliquer l’e-mail candidat ; les e-mails de décision — avis transmis au RH, convocation ou refus final adressé au candidat — sont émis par le back-end via NotificationService.</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3.1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La figure 3.2 donne une vue d’ensemble du modèle de données : neuf entités métier principales de la plateforme, leurs attributs caractéristiques et les associations réellement mappées par JPA. Quatorze entités JPA sont persistées au total ; les cinq restantes — notes internes, profils de pondération du scoring, file d’attente n8n, rappels et jetons de réinitialisation — sont des tables d’accompagnement, que l’on retrouve sur le schéma relationnel de la figure 3.9.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98.2pt;height:514.2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278.3pt;height:641.1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visibility:visible;visibility:visible;width:400.6pt;height:446.3pt;">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La vue sécurité isole les entités d’authentification et d’audit : chaque utilisateur porte un ou plusieurs rôles (ERole) et, le cas échéant, un rattachement à un département, ManagerRoutingService gèle sur la candidature le manager désigné par le RH, ManagerScopeService lit cette destination pour borner la visibilité du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des figures 3.4, 3.5, 3.6 et 3.7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387.0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Trois garde-fous ressortent de ce diagramme : la planification écarte un dossier clos (rejeté ou retiré) comme une candidature encore au stade APPLIED dont le CV n’a pas été examiné, et refuse tout créneau chevauchant un entretien déjà réservé du même intervieweur — plusieurs entretiens le même jour restent possibles, jamais au même horaire. Un manager ne planifie enfin que dans son propre agenda, et pour un dossier de son périmètre.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visibility:visible;width:453.3pt;height:463.2pt">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Ce second diagramme illustre le garde-fou central du processus, dont la décision est désormais répartie sur deux niveaux. Le manager consulte le dossier et émet un avis : un refus proposé (MANAGER_REJECTED), à condition d’être motivé, comme un avis favorable (ACCEPTED), ne sont admis que sur un dossier transmis pour évaluation technique (TECHNICAL_TEST, INTERVIEW ou FINAL_INTERVIEW) — les étapes encore côté RH, dont la présélection du CV, ne sont pas instruites par le manager. L’avis est journalisé et notifie le RH par e-mail et dans sa liste de candidats, sans aucun envoi au candidat. Le RH ou l’Administrateur contre-signe ensuite via PATCH /api/candidates/{id}/final-validation : HIRED exige la date de présentation des documents et déclenche la convocation, REJECTED exige un motif — enregistré sur le dossier et journalisé, non communiqué au candidat — et déclenche l’e-mail de réponse. Un compte purement manager qui appelle ce point d’entrée, qu’il écrive HIRED ou un statut du pipeline, reçoit une erreur 403. L’ensemble empêche qu’une candidature soit acceptée sans ce premier filtre humain (section 4.5.8), et qu’un manager clôture seul le processus.</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72.0pt;height:460.4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Ce diagramme détaille, au niveau objet, le cheminement du scoring : le texte du CV est extrait par le back-end au moment même de la soumission, puis la candidature (statut APPLIED) est placée dans la file d’attente interne ; l’agent « CV Parser » n8n est déclenché en arrière-plan et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 sauf si le dossier est signalé pour arbitrage, comme le décrit la suite du diagramme. Deux étapes complémentaires figurent sur le diagramme. Avant l’appel au modèle, SkillNormalizationService harmonise les compétences extraites (k8s devient Kubernetes, postgres devient PostgreSQL) et conserve, après nettoyage, les termes absents du dictionnaire d’alias, afin qu’une compétence rare ne disparaisse pas du comparatif. Après le calcul, le service positionne le drapeau needsHumanReview lorsque le texte extrait est absent ou plus court de cinquante caractères, lorsqu’un écart de séniorité sévère plafonne le score, lorsque celui-ci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visibility:visible;visibility:visible;width:381.3pt;height:290.0pt;">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 xml:space="preserve">Ce diagramme détaille la destination et la notification (section 4.5.5). La résolution structurelle de ManagerRoutingService — manager désigné sur l’offre, puis département, puis famille de métier, puis ancien champ e-mail — ne produit plus qu’une proposition, pré-sélectionnée dans la modale de transmission : c’est le RH qui désigne le destinataire. Sans désignation, le back-end refuse la transition (erreur 400) et le dossier reste à son statut précédent. Le compte désigné est vérifié — rôle MANAGER, e-mail renseigné — puis gelé sur la candidature avec la base MANUAL ; c’est cette destination, et non le département courant de l’offre, qui borne la visibilité du manager via ManagerScopeService. Un choix hors proposition reste possible : il est journalisé ROUTING_MANUAL.</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Tout au long du processus de recrutement, le statut d’un candidat évolue selon une machine à états précise, représentée à la figure 3.8. Le diagramme ne dessine que les transitions les plus représentatives ; les autres transitions autorisées par le garde-fou métier sont détaillées dans le reste de cette section.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477.2pt">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32D370E4" w14:textId="77777777" w:rsidR="005911B7" w:rsidRDefault="00EA224E" w:rsidP="007B1E7D">
      <w:r>
        <w:t xml:space="preserve">Note – le statut INTERVIEW_SCHEDULED suit ACCEPTED : il matérialise la confirmation de l’agenda et précède l’état HIRED ; il ne désigne pas un entretien d’évaluation, les étapes du pipeline étant closes dès INTERVIEW et FINAL_INTERVIEW, et rien n’est modélisé pour l’onboarding. Planifier un entretien fait en revanche avancer le dossier à l’étape du type retenu (téléphonique, test, entretien, entretien final) ; une avancée que la machine à états refuse laisse le dossier en place, sans annuler l’entretien.</w:t>
      </w:r>
    </w:p>
    <w:p w14:paraId="7F957492" w14:textId="77777777" w:rsidR="005911B7" w:rsidRDefault="00C80EB9" w:rsidP="007B1E7D">
      <w:pPr/>
      <w:r>
        <w:t>On y distingue notamment un embranchement automatique piloté par le score de l’analyse IA : le dossier passe en CV_REVIEWED lorsque le score atteint le seuil de 60/100, en AUTO_REJECTED lorsqu’il descend sous ce seuil. Les dossiers signalés par le drapeau needsHumanReview — texte de CV inexploitable, écart de séniorité sévère plafonnant le score, zone grise de 55 à 65 ou mode dégradé — font exception à cette règle : ils rejoignent CV_REVIEWED pour un arbitrage RH et ne sont jamais rejetés automatiquement (section 4.4.6). Le statut CV_REVIEWED y garde un sens unique, le dossier est prêt pour l’examen humain, mais la plateforme ne distingue pas par un état séparé le cas où le score suffit et le cas où un arbitrage est requis : ces deux situations sont signalées par le drapeau et par le motif enregistrés, non par le statut. La décision elle-même est à deux niveaux : ACCEPTED et MANAGER_REJECTED ne sont que des avis du manager, en attente du contreseing du RH, qui seul atteint HIRED (moyennant la date de présentation des documents) ou REJECTED (moyennant un motif) ; le RH peut aussi prononcer un refus final depuis n’importe quelle étape d’évaluation, et le candidat peut se retirer (WITHDRAWN) tant que le dossier n’est pas clos. Les états véritablement terminaux (HIRED, REJECTED, WITHDRAWN) n’admettent plus aucune modification depuis l’interface d’administration ; AUTO_REJECTED ne fait plus partie de cette liste et reste entièrement révisable par le RH, qui confirme le refus après examen — REJECTED motivé, sans seconde notification au candidat — ou corrige le score, ce qui réintègre le dossier en CV_REVIEWED ; la transition vers INTERVIEW_SCHEDULED, qui suit l’avis favorable, est définie dans la note sous la figure 3.8.</w:t>
      </w:r>
    </w:p>
    <w:p w14:paraId="23A60325" w14:textId="77777777" w:rsidR="00EA224E" w:rsidRDefault="00C80EB9" w:rsidP="007B1E7D">
      <w:r>
        <w:t>Ce rejet automatique n’a rien de définitif, ni d’entièrement hors de contrôle humain : à tout moment, le RH ou l’Administrateur dispose de deux issues. Soit il confirme le refus après examen : le dossier passe alors en REJECTED avec un motif obligatoire, et le candidat ne reçoit pas second e-mail, la notification ayant déjà été émise par l’agent IA. Soit il corrige manuellement le score via un mécanisme de surcharge (manualScore) : la justification y est obligatoire, la correction est journalisée dans l’audit, et le dossier reprend la règle de l’embranchement automatique — une note corrigée à 60 ou plus le réintègre en CV_REVIEWED et le remet dans le pipeline, une note corrigée sous le seuil le replonge en AUTO_REJECTED, cette fois sous décision humaine assumée. Le score IA joue ainsi un rôle de filtre de présélection assisté — pas celui d’une autorité décisionnelle autonome.</w:t>
      </w:r>
    </w:p>
    <w:p w14:paraId="32D370E4" w14:textId="77777777" w:rsidR="005911B7" w:rsidRDefault="00EA224E" w:rsidP="007B1E7D">
      <w:r>
        <w:t>Le cheminement d’une candidature à travers le scoring IA peut se résumer ainsi : CV candidat → dépôt et extraction du texte du CV par le back-end → mise en file d’attente et déclenchement asynchrone de l’agent n8n « CV Parser » → rappel du back-end via POST /api/candidates/{id}/ai-score/recompute → AiScoringService + CohereClient qui interrogent l’API de Cohere → calcul du score global sur 100 → orientation automatique vers CV_REVIEWED (score ≥ 60, ou dossier signalé needsHumanReview) ou AUTO_REJECTED (score &lt; 60 hors zone grise) → arbitrage humain possible via le mécanisme de surcharge (manualScore).</w:t>
      </w:r>
    </w:p>
    <w:p w14:paraId="32D370E4" w14:textId="77777777" w:rsidR="005911B7" w:rsidRDefault="00EA224E" w:rsidP="007B1E7D">
      <w:r>
        <w:t xml:space="preserve">Sur le plan de la méthode, le score n’est pas produit par une recherche de similarité vectorielle : la plateforme ne calcule aucun embedding, aucune distance cosinus, et n’exécute aucun modèle entraîné localement. Le back-end appelle le point d’entrée POST /v2/chat de l’API de Cohere (modèle command-a-03-2025, température nulle, deux cents jetons au plus, sortie contrainte au format JSON) avec un unique message qui fixe le rôle du modèle, impose le schéma de réponse {technique, communication, séniorité}, définit ces trois critères et interdit le zéro par défaut : faute d’information exploitable, le modèle doit renvoyer la valeur neutre de 50. Ce message porte les trois champs descriptifs de l’offre (poste, niveau requis, compétences requises) et le texte intégral du CV, lettre de motivation comprise.</w:t>
      </w:r>
      <w:r>
        <w:t xml:space="preserve"> Les travaux publiés sur l’appariement automatique de CV et d’offres reposent le plus souvent sur une recherche de similarité vectorielle fondée sur des plongements [22] ; la solution décrite ici s’en écarte, le score étant produit par un modèle de langage et décomposé en trois critères lisibles plutôt que par une distance entre vecteurs.</w:t>
      </w:r>
    </w:p>
    <w:p w14:paraId="32D370E4" w14:textId="77777777" w:rsidR="005911B7" w:rsidRDefault="00EA224E" w:rsidP="007B1E7D">
      <w:r>
        <w:t>La réponse est ensuite relue côté serveur : le bloc JSON est extrait du texte renvoyé, les intitulés de clés sont tolérants aux variantes et une note écrite sous forme de texte numérique (« 86/100 ») est relue comme le nombre 86, avant bornage entre 0 et 100. En revanche, aucune valeur n’est inventée : si l’une des trois clés manque ou n’est pas lisible, l’appel échoue et le mode dégradé local prend le relais, le score étant marqué SIMULATED et signalé pour arbitrage humain (section 4.4.6). La valeur neutre de 50 demandée au modèle reste donc une consigne du prompt, non une garantie du serveur : une note absente fait échouer l’appel plutôt que d’être remplacée par un chiffre plus favorable, et un 0 explicitement renvoyé est accepté tel quel. Le score final sur 100 est la moyenne pondérée arrondie (technique × w1 + communication × w2 + séniorité × w3), où les trois poids proviennent du profil de pondération associé à la famille de métier et au niveau de séniorité de l’offre (table scoring_weight_profiles, douze profils initialisés, valeurs par défaut 0,5 / 0,2 / 0,3, somme contrôlée à 1 à ±0,01 près). Un CV noté 80 en technique, 70 en communication et 60 en séniorité obtient ainsi 72 avec les poids par défaut, ce que vérifie un test dédié. Les compétences présentées comme correspondantes ou manquantes (matchedSkills / missingSkills), en revanche, ne sont pas revendiquées par le modèle : elles sont calculées localement par le service de normalisation des compétences, à partir d’un dictionnaire d’alias et de recherches à frontière de mot, afin de ne pas reposer sur la seule parole du LLM.</w:t>
      </w:r>
    </w:p>
    <w:p w14:paraId="32D370E4" w14:textId="77777777" w:rsidR="005911B7" w:rsidRDefault="00EA224E" w:rsidP="007B1E7D">
      <w:r>
        <w:t xml:space="preserve">Ce choix de prestataire répond d’abord à une contrainte d’environnement : l’API d’inférence de Hugging Face était bloquée par la politique réseau de l’entreprise, tandis que le point d’entrée de Cohere a été vérifié accessible ; le service est managé, sans dépendance lourde ni poids de modèle à déployer, et sans GPU. La sortie contrainte au format JSON et la température nulle visent à réduire la variabilité des réponses, sans garantir une reproductibilité parfaite tant le modèle et le service externe peuvent évoluer ; la source du score (COHERE ou SIMULATED) est conservée, tandis que la version du modèle, celle du prompt et la réponse brute ne sont pas encore archivées, un enregistrement à prévoir pour rendre une évaluation réellement rejouable, et le classement des offres par compatibilité est regroupé en un seul appel pour un lot d’au plus vingt offres afin de maîtriser le quota. Un modèle embarqué du type sentence-transformers aurait supposé une infrastructure d’exécution et un entraînement adaptés au français des offres ; le besoin réel était une présélection assistée, réversible et expliquée, adossée à un service dont l’indisponibilité est déjà couverte par le mode dégradé local décrit plus haut.</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job_offer.hiring_manager_id, candidate.routed_to_manager_id,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Le schéma relationnel de la figure 3.9 présente l’ensemble des tables générées à partir des entités JPA, avec les clés primaires et étrangères qui matérialisent les relations décrites plus haut.</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visibility:visible;width:769.9pt;height:426.1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clés primaires préfixées d’un astérisque, clés étrangères suffixées « FK ». On y lit les relations structurantes — département, offres, candidatures, CV, entretiens, feedbacks — et la destination du routage, figée sur le dossier au moment de la transmission (routed_to_manager_id, routed_manager_emails, routing_basis, routed_at).</w:t>
      </w:r>
    </w:p>
    <w:p w14:paraId="325FB205" w14:textId="77777777" w:rsidR="005911B7" w:rsidRDefault="005911B7" w:rsidP="007B1E7D">
      <w:pPr>
        <w:pStyle w:val="Titre2"/>
        <w:pageBreakBefore/>
      </w:pPr>
      <w:bookmarkStart w:id="43" w:name="_Toc240315733"/>
      <w:r>
        <w:t>3.8 Diagramme de composants</w:t>
      </w:r>
      <w:bookmarkEnd w:id="43"/>
    </w:p>
    <w:p w14:paraId="1C3D2563" w14:textId="77777777" w:rsidR="005911B7" w:rsidRDefault="00C80EB9" w:rsidP="007B1E7D">
      <w:pPr/>
      <w:r>
        <w:t xml:space="preserve">Le diagramme de la figure 3.10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7.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 xml:space="preserve">Le diagramme de la figure 3.11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4.4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z-ai/glm-5.3-flash,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 xml:space="preserve">Cette section présente les interfaces de la plateforme, regroupées par acteur : l’accès public et l’espace candidat (figures 4.1 à 4.5), l’espace RH et le suivi du processus de recrutement (figures 4.6 à 4.14), l’espace manager (figures 4.15 et 4.16), l’espace administrateur et la traçabilité (figures 4.17 à 4.19), enfin la chaîne d’automatisation n8n (figures 4.20 à 4.22). Toutes ces captures proviennent de l’application en fonctionnement.</w:t>
      </w:r>
    </w:p>
    <w:p w:rsidR="005911B7" w:rsidRDefault="005911B7" w:rsidP="007B1E7D">
      <w:pPr>
        <w:pStyle w:val="Titre3"/>
      </w:pPr>
      <w:r>
        <w:t>4.3.1 Accès public et espace candidat</w:t>
      </w:r>
    </w:p>
    <w:p w14:paraId="5FCBA3EC" w14:textId="77777777" w:rsidR="005911B7" w:rsidRDefault="00CA1A9F" w:rsidP="007B1E7D">
      <w:pPr>
        <w:keepNext/>
        <w:spacing w:after="40" w:before="0"/>
        <w:jc w:val="center"/>
      </w:pPr>
      <w:r>
        <w:rPr>
          <w:noProof/>
        </w:rPr>
        <w:pict w14:anchorId="650581FA">
          <v:shape id="Image 13" o:spid="_x0000_i1040" type="#_x0000_t75" style="width:453.3pt;height:275.5pt;visibility:visible;mso-wrap-style:square">
            <v:imagedata r:id="rId26" o:title=""/>
          </v:shape>
        </w:pict>
      </w:r>
    </w:p>
    <w:p w14:paraId="225C7432" w14:textId="77777777" w:rsidR="005911B7" w:rsidRDefault="005911B7" w:rsidP="007B1E7D">
      <w:pPr>
        <w:jc w:val="center"/>
        <w:rPr>
          <w:i/>
          <w:sz w:val="21"/>
        </w:rPr>
      </w:pPr>
      <w:r>
        <w:rPr>
          <w:i/>
          <w:sz w:val="21"/>
        </w:rPr>
        <w:t xml:space="preserve">Figure 4.1 : Page d’accueil publique — recherche d’offres d’emploi</w:t>
      </w:r>
    </w:p>
    <w:p w14:paraId="3B57EB18" w14:textId="77777777" w:rsidR="005911B7" w:rsidRDefault="008D5C06" w:rsidP="007B1E7D">
      <w:r>
        <w:t>Accessible sans authentification, la page d’accueil de la figure 4.1 propose un cartouche de « Recherche rapide » par mot-clé et par localisation et présente, sous le titre « Offres en vedette » — « Découvrez les dernières opportunités professionnelles » —, les offres les plus récemment publiées : chaque carte porte l’intitulé du poste, son type de contrat, son lieu, l’expérience demandée, ses compétences clés, sa date de publication, un extrait de la description et un bouton « Voir les détails ».</w:t>
      </w:r>
    </w:p>
    <w:p w14:paraId="36E2BBAE" w14:textId="77777777" w:rsidR="005911B7" w:rsidRDefault="00CA1A9F" w:rsidP="007B1E7D">
      <w:pPr>
        <w:keepNext/>
        <w:spacing w:after="40" w:before="0"/>
        <w:jc w:val="center"/>
      </w:pPr>
      <w:r>
        <w:rPr>
          <w:noProof/>
        </w:rPr>
        <w:pict w14:anchorId="5BF0AF37">
          <v:shape id="Image 14" o:spid="_x0000_i1041" type="#_x0000_t75" style="width:138.2pt;height:276.0pt;visibility:visible;mso-wrap-style:square">
            <v:imagedata r:id="rId27" o:title=""/>
          </v:shape>
        </w:pict>
      </w:r>
    </w:p>
    <w:p w14:paraId="3346D263" w14:textId="77777777" w:rsidR="005911B7" w:rsidRDefault="005911B7" w:rsidP="007B1E7D">
      <w:pPr>
        <w:jc w:val="center"/>
        <w:rPr>
          <w:i/>
          <w:sz w:val="21"/>
        </w:rPr>
      </w:pPr>
      <w:r>
        <w:rPr>
          <w:i/>
          <w:sz w:val="21"/>
        </w:rPr>
        <w:t xml:space="preserve">Figure 4.2 : Page de connexion</w:t>
      </w:r>
    </w:p>
    <w:p w14:paraId="4624902F" w14:textId="77777777" w:rsidR="005911B7" w:rsidRDefault="008D5C06" w:rsidP="007B1E7D">
      <w:r>
        <w:t xml:space="preserve">La page de connexion de la figure 4.2 est le point d’entrée des espaces sécurisés : l’authentification s’y fait par nom d’utilisateur et mot de passe, et le jeton JWT renvoyé par le back-end sécurise ensuite l’ensemble des requêtes vers l’API.</w:t>
      </w:r>
      <w:r>
        <w:t xml:space="preserve"/>
      </w:r>
    </w:p>
    <w:p w14:paraId="609C1A12" w14:textId="7262CE25" w:rsidR="00C90533" w:rsidRDefault="00CA1A9F">
      <w:pPr>
        <w:keepNext/>
        <w:spacing w:after="40" w:before="0"/>
        <w:jc w:val="center"/>
      </w:pPr>
      <w:r>
        <w:rPr>
          <w:noProof/>
        </w:rPr>
        <w:pict w14:anchorId="65301F00">
          <v:shape id="Picture 8" o:spid="_x0000_i1051" type="#_x0000_t75" style="visibility:visible;mso-wrap-style:square;width:290.1pt;height:294.0pt">
            <v:imagedata r:id="rId37" o:title=""/>
          </v:shape>
        </w:pict>
      </w:r>
    </w:p>
    <w:p w14:paraId="438164E7" w14:textId="77777777" w:rsidR="00730833" w:rsidRDefault="00AF2881">
      <w:pPr>
        <w:jc w:val="center"/>
        <w:rPr>
          <w:i/>
          <w:sz w:val="21"/>
        </w:rPr>
      </w:pPr>
      <w:r>
        <w:rPr>
          <w:i/>
          <w:sz w:val="21"/>
        </w:rPr>
        <w:t xml:space="preserve">Figure 4.3 : Soumission d’une candidature avec dépôt de CV</w:t>
      </w:r>
    </w:p>
    <w:p w14:paraId="2B525994" w14:textId="77777777" w:rsidR="00730833" w:rsidRDefault="00AF2881">
      <w:r>
        <w:t xml:space="preserve">Comme le montre la figure 4.3, 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r>
        <w:t xml:space="preserve"/>
      </w:r>
    </w:p>
    <w:p w14:paraId="607DF564" w14:textId="7B6895C0" w:rsidR="00730833" w:rsidRDefault="00CA1A9F">
      <w:pPr>
        <w:keepNext/>
        <w:spacing w:after="40" w:before="0"/>
        <w:jc w:val="center"/>
      </w:pPr>
      <w:r>
        <w:rPr>
          <w:noProof/>
        </w:rPr>
        <w:pict w14:anchorId="580FE8B9">
          <v:shape id="Picture 5" o:spid="_x0000_i1052" type="#_x0000_t75" style="width:424.8pt;height:191.2pt;visibility:visible;mso-wrap-style:square">
            <v:imagedata r:id="rId38" o:title=""/>
          </v:shape>
        </w:pict>
      </w:r>
    </w:p>
    <w:p w14:paraId="268E66AF" w14:textId="77777777" w:rsidR="00730833" w:rsidRDefault="00AF2881">
      <w:pPr>
        <w:jc w:val="center"/>
        <w:rPr>
          <w:i/>
          <w:sz w:val="21"/>
        </w:rPr>
      </w:pPr>
      <w:r>
        <w:rPr>
          <w:i/>
          <w:sz w:val="21"/>
        </w:rPr>
        <w:t xml:space="preserve">Figure 4.4 : Fonctionnalité « Job idéal » — suggestions d’offres selon le CV</w:t>
      </w:r>
    </w:p>
    <w:p w14:paraId="4511BEA1" w14:textId="77777777" w:rsidR="00730833" w:rsidRDefault="00AF2881">
      <w:r>
        <w:t xml:space="preserve">Comme l’illustre la figure 4.4, un visiteur ou un candidat qui ne postule à aucune offre précise peut déposer son CV et recevoir une liste des offres actives classées par pourcentage de compatibilité, calculée par l’API de Cohere (badge « Analyse IA (Cohere) », avec repli automatique sur un classement par mots-clés si l’IA est indisponible).</w:t>
      </w:r>
    </w:p>
    <w:p w14:paraId="607DF564" w14:textId="7B6895C0" w:rsidR="00730833" w:rsidRDefault="00CA1A9F">
      <w:pPr>
        <w:keepNext/>
        <w:jc w:val="center"/>
        <w:spacing w:before="0" w:after="40" w:line="240" w:lineRule="auto"/>
      </w:pPr>
      <w:r>
        <w:rPr>
          <w:noProof/>
        </w:rPr>
        <w:pict w14:anchorId="580FE8B9">
          <v:shape id="Picture 5" o:spid="_x0000_i1052" type="#_x0000_t75" style="visibility:visible;mso-wrap-style:square;width:222.5pt;height:300.0pt;visibility:visible">
            <v:imagedata r:id="rId900" o:title=""/>
          </v:shape>
        </w:pict>
      </w:r>
    </w:p>
    <w:p w14:paraId="00903B0C" w14:textId="77777777" w:rsidR="00CE421D" w:rsidRDefault="00450284">
      <w:pPr>
        <w:jc w:val="center"/>
        <w:rPr>
          <w:i/>
          <w:sz w:val="21"/>
        </w:rPr>
      </w:pPr>
      <w:r>
        <w:rPr>
          <w:i/>
          <w:sz w:val="21"/>
        </w:rPr>
        <w:t xml:space="preserve">Figure 4.5 : Assistant conversationnel candidat (chatbot)</w:t>
      </w:r>
    </w:p>
    <w:p w14:paraId="0646AE5F" w14:textId="77777777" w:rsidR="00CE421D" w:rsidRDefault="00450284">
      <w:r>
        <w:t xml:space="preserve">Disponible uniquement pour un candidat authentifié, le widget de la figure 4.5 permet de poser des questions en langage naturel sur le suivi de ses propres candidatures ou sur le fonctionnement général de la plateforme (offres, Job idéal, retrait de candidature, etc.). Les réponses sont générées par un modèle de raisonnement (z-ai/glm-5.3-flash, via l’API OpenRouter) à partir d’un contexte constitué côté serveur par une liste blanche de champs : intitulé du poste, libellé du statut, date de candidature, entretiens et, le cas échéant, les feedbacks explicitement transmis au candidat. Les champs internes (score et résumé générés par l’agent de scoring, correction manuelle du RH, identité de l’intervieweur, notes internes d’entretien) n’entrent pas dans cette liste et ne quittent donc pas le back-end vers le prompt ; ce filtre structurel, complété par les consignes du message système, a été vérifié sur les scénarios testés, y compris une tentative d’injection de prompt.</w:t>
      </w:r>
    </w:p>
    <w:p w:rsidR="005911B7" w:rsidRDefault="005911B7" w:rsidP="007B1E7D">
      <w:pPr>
        <w:pStyle w:val="Titre3"/>
      </w:pPr>
      <w:r>
        <w:t>4.3.2 Espace RH — suivi du processus de recrutement</w:t>
      </w:r>
    </w:p>
    <w:p w14:paraId="03BC45B4" w14:textId="77777777" w:rsidR="005911B7" w:rsidRDefault="00CA1A9F" w:rsidP="007B1E7D">
      <w:pPr>
        <w:keepNext/>
        <w:spacing w:after="40" w:before="0"/>
        <w:jc w:val="center"/>
      </w:pPr>
      <w:r>
        <w:rPr>
          <w:noProof/>
        </w:rPr>
        <w:pict w14:anchorId="1EEBD083">
          <v:shape id="Image 15" o:spid="_x0000_i1042" type="#_x0000_t75" style="width:453.3pt;height:226.7pt;visibility:visible;mso-wrap-style:square">
            <v:imagedata r:id="rId28" o:title=""/>
          </v:shape>
        </w:pict>
      </w:r>
    </w:p>
    <w:p w14:paraId="68CAA9B5" w14:textId="77777777" w:rsidR="005911B7" w:rsidRDefault="005911B7" w:rsidP="007B1E7D">
      <w:pPr>
        <w:jc w:val="center"/>
        <w:rPr>
          <w:i/>
          <w:sz w:val="21"/>
        </w:rPr>
      </w:pPr>
      <w:r>
        <w:rPr>
          <w:i/>
          <w:sz w:val="21"/>
        </w:rPr>
        <w:t xml:space="preserve">Figure 4.6 : Gestion des offres d’emploi (espace RH)</w:t>
      </w:r>
    </w:p>
    <w:p w14:paraId="69D54197" w14:textId="77777777" w:rsidR="005911B7" w:rsidRDefault="008D5C06" w:rsidP="007B1E7D">
      <w:r>
        <w:t xml:space="preserve">Comme le montre la figure 4.6, le responsable RH crée, modifie et suit le statut de chaque offre depuis une table filtrable par mot-clé, par statut et par type de contrat, avec un accès direct à la consultation, à la modification et à la suppression ; la bascule en « expirée » se fait automatiquement une fois la date limite dépassée.</w:t>
      </w:r>
    </w:p>
    <w:p w14:paraId="35421A65" w14:textId="77777777" w:rsidR="005911B7" w:rsidRDefault="00CA1A9F" w:rsidP="007B1E7D">
      <w:pPr>
        <w:keepNext/>
        <w:spacing w:after="40" w:before="0"/>
        <w:jc w:val="center"/>
      </w:pPr>
      <w:r>
        <w:rPr>
          <w:noProof/>
        </w:rPr>
        <w:pict w14:anchorId="131B476D">
          <v:shape id="Image 16" o:spid="_x0000_i1043" type="#_x0000_t75" style="width:453.3pt;height:226.7pt;visibility:visible;mso-wrap-style:square">
            <v:imagedata r:id="rId29" o:title=""/>
          </v:shape>
        </w:pict>
      </w:r>
    </w:p>
    <w:p w14:paraId="43FB54AE" w14:textId="77777777" w:rsidR="005911B7" w:rsidRDefault="005911B7" w:rsidP="007B1E7D">
      <w:pPr>
        <w:jc w:val="center"/>
        <w:rPr>
          <w:i/>
          <w:sz w:val="21"/>
        </w:rPr>
      </w:pPr>
      <w:r>
        <w:rPr>
          <w:i/>
          <w:sz w:val="21"/>
        </w:rPr>
        <w:t xml:space="preserve">Figure 4.7 : Gestion des candidats — vue liste avec score IA</w:t>
      </w:r>
    </w:p>
    <w:p w14:paraId="596C0960" w14:textId="77777777" w:rsidR="005911B7" w:rsidRDefault="008D5C06" w:rsidP="007B1E7D">
      <w:r>
        <w:t>La figure 4.7 reproduit la liste des dossiers de l’espace RH : pour chacun apparaissent le contact, l’offre visée, le statut courant, le score de l’agent IA — coloré selon son niveau — et les actions rapides (consultation en ligne du CV, téléchargement, modification, envoi d’e-mail, suppression). Le bandeau supérieur résume l’état du vivier par quatre compteurs cliquables — « À valider », « Rejetés », « Retirées », « Embauchés » — qui basculent la liste sur le filtre correspondant.</w:t>
      </w:r>
    </w:p>
    <w:p w14:paraId="0BC41D96" w14:textId="636DDE35" w:rsidR="00C90533" w:rsidRDefault="00CA1A9F">
      <w:pPr>
        <w:keepNext/>
        <w:spacing w:after="40" w:before="0"/>
        <w:jc w:val="center"/>
      </w:pPr>
      <w:r>
        <w:rPr>
          <w:noProof/>
        </w:rPr>
        <w:pict w14:anchorId="6E2178D7">
          <v:shape id="Picture 9" o:spid="_x0000_i1053" type="#_x0000_t75" style="visibility:visible;mso-wrap-style:square;width:309.8pt;height:280.0pt;visibility:visible">
            <v:imagedata r:id="rId39" o:title=""/>
          </v:shape>
        </w:pict>
      </w:r>
    </w:p>
    <w:p w14:paraId="5A138DDE" w14:textId="77777777" w:rsidR="00730833" w:rsidRDefault="00AF2881">
      <w:pPr>
        <w:jc w:val="center"/>
        <w:rPr>
          <w:i/>
          <w:sz w:val="21"/>
        </w:rPr>
      </w:pPr>
      <w:r>
        <w:rPr>
          <w:i/>
          <w:sz w:val="21"/>
        </w:rPr>
        <w:t xml:space="preserve">Figure 4.8 : Analyse détaillée d’une candidature par intelligence artificielle</w:t>
      </w:r>
    </w:p>
    <w:p w14:paraId="2F6820D7" w14:textId="77777777" w:rsidR="00730833" w:rsidRDefault="00AF2881">
      <w:r>
        <w:t xml:space="preserve">Le détail d’une candidature, reproduit en figure 4.8, expose, au-delà du score global visible en liste (figure 4.7), la répartition par critère — technique, communication, adéquation séniorité —, le bouton « Corriger le score » et, le cas échéant, la correction manuelle appliquée par un RH avec sa justification, conformément au principe de contrôle humain décrit en section 4.6. Y figurent également les notes internes, réservées aux rôles RH et administrateur, et l’activité des agents n8n sur le dossier.</w:t>
      </w:r>
    </w:p>
    <w:p w14:paraId="20B08E4E" w14:textId="77777777" w:rsidR="005911B7" w:rsidRDefault="00CA1A9F" w:rsidP="007B1E7D">
      <w:pPr>
        <w:keepNext/>
        <w:spacing w:after="40" w:before="0"/>
        <w:jc w:val="center"/>
      </w:pPr>
      <w:r>
        <w:rPr>
          <w:noProof/>
        </w:rPr>
        <w:pict w14:anchorId="0B44AC1E">
          <v:shape id="Image 17" o:spid="_x0000_i1044" type="#_x0000_t75" style="visibility:visible;mso-wrap-style:square;width:277.3pt;height:295.0pt">
            <v:imagedata r:id="rId30" o:title=""/>
          </v:shape>
        </w:pict>
      </w:r>
    </w:p>
    <w:p w14:paraId="3050056D" w14:textId="77777777" w:rsidR="005911B7" w:rsidRDefault="005911B7" w:rsidP="007B1E7D">
      <w:pPr>
        <w:jc w:val="center"/>
        <w:rPr>
          <w:i/>
          <w:sz w:val="21"/>
        </w:rPr>
      </w:pPr>
      <w:r>
        <w:rPr>
          <w:i/>
          <w:sz w:val="21"/>
        </w:rPr>
        <w:t xml:space="preserve">Figure 4.9 : Modification d’un dossier candidat</w:t>
      </w:r>
    </w:p>
    <w:p w14:paraId="06E05E3E" w14:textId="77777777" w:rsidR="005911B7" w:rsidRDefault="008D5C06" w:rsidP="007B1E7D">
      <w:r>
        <w:t xml:space="preserve">Le formulaire de modification (figure 4.9) permet de corriger un dossier candidat (coordonnées, lettre, statut, offre associée) ; la fiche de consultation associée regroupe le CV, consultable en ligne sans téléchargement, l’analyse IA détaillée (technique, communication, séniorité) et l’historique des agents n8n sur ce dossier.</w:t>
      </w:r>
      <w:r>
        <w:t xml:space="preserve"/>
      </w:r>
    </w:p>
    <w:p w14:paraId="688C2C17" w14:textId="77777777" w:rsidR="005911B7" w:rsidRDefault="00CA1A9F" w:rsidP="007B1E7D">
      <w:pPr>
        <w:keepNext/>
        <w:spacing w:after="40" w:before="0"/>
        <w:jc w:val="center"/>
      </w:pPr>
      <w:r>
        <w:rPr>
          <w:noProof/>
        </w:rPr>
        <w:pict w14:anchorId="3DE79FED">
          <v:shape id="Image 18" o:spid="_x0000_i1045" type="#_x0000_t75" style="width:453.3pt;height:226.7pt;visibility:visible;mso-wrap-style:square">
            <v:imagedata r:id="rId31" o:title=""/>
          </v:shape>
        </w:pict>
      </w:r>
    </w:p>
    <w:p w14:paraId="648457B4" w14:textId="77777777" w:rsidR="005911B7" w:rsidRDefault="005911B7" w:rsidP="007B1E7D">
      <w:pPr>
        <w:jc w:val="center"/>
        <w:rPr>
          <w:i/>
          <w:sz w:val="21"/>
        </w:rPr>
      </w:pPr>
      <w:r>
        <w:rPr>
          <w:i/>
          <w:sz w:val="21"/>
        </w:rPr>
        <w:t xml:space="preserve">Figure 4.10 : Tableau Kanban du pipeline de recrutement</w:t>
      </w:r>
    </w:p>
    <w:p w14:paraId="6D3BC57F" w14:textId="77777777" w:rsidR="005911B7" w:rsidRDefault="008D5C06" w:rsidP="007B1E7D">
      <w:r>
        <w:t xml:space="preserve">Le tableau Kanban de la figure 4.10, intitulé « Pipeline de recrutement », donne une vue synthétique et interactive de toutes les candidatures réparties par statut : chaque colonne porte le nombre de dossiers qu’elle contient et chaque carte le nom du candidat, l’offre visée et son score IA. Toutes les colonnes ne tenant pas à l’écran, le tableau se fait défiler horizontalement. Glisser une carte d’une colonne à une autre déclenche automatiquement la mise à jour du statut, sous réserve des garde-fous métier décrits au chapitre 3 pour les décisions finales.</w:t>
      </w:r>
    </w:p>
    <w:p w14:paraId="29148E8D" w14:textId="77777777" w:rsidR="005911B7" w:rsidRDefault="00CA1A9F" w:rsidP="007B1E7D">
      <w:pPr>
        <w:keepNext/>
        <w:spacing w:after="40" w:before="0"/>
        <w:jc w:val="center"/>
      </w:pPr>
      <w:r>
        <w:rPr>
          <w:noProof/>
        </w:rPr>
        <w:pict w14:anchorId="61C2271E">
          <v:shape id="Image 19" o:spid="_x0000_i1046" type="#_x0000_t75" style="width:453.3pt;height:290.4pt;visibility:visible;mso-wrap-style:square">
            <v:imagedata r:id="rId32" o:title=""/>
          </v:shape>
        </w:pict>
      </w:r>
    </w:p>
    <w:p w14:paraId="14AD82FA" w14:textId="77777777" w:rsidR="005911B7" w:rsidRDefault="005911B7" w:rsidP="007B1E7D">
      <w:pPr>
        <w:jc w:val="center"/>
        <w:rPr>
          <w:i/>
          <w:sz w:val="21"/>
        </w:rPr>
      </w:pPr>
      <w:r>
        <w:rPr>
          <w:i/>
          <w:sz w:val="21"/>
        </w:rPr>
        <w:t xml:space="preserve">Figure 4.11 : Gestion des entretiens (espace RH)</w:t>
      </w:r>
    </w:p>
    <w:p w14:paraId="456E7EFE" w14:textId="77777777" w:rsidR="005911B7" w:rsidRDefault="008D5C06" w:rsidP="007B1E7D">
      <w:r>
        <w:t>L’écran de gestion des entretiens de la figure 4.11 permet de planifier, filtrer et suivre les entretiens par candidat, offre, type, interviewer et statut, avec des actions contextuelles comme le démarrage, l’annulation, la reprogrammation ou l’ajout d’un feedback une fois l’entretien terminé.</w:t>
      </w:r>
      <w:r>
        <w:t xml:space="preserve"/>
      </w:r>
    </w:p>
    <w:p w14:paraId="3B0AAACB" w14:textId="77777777" w:rsidR="005911B7" w:rsidRDefault="00CA1A9F" w:rsidP="007B1E7D">
      <w:pPr>
        <w:keepNext/>
        <w:spacing w:after="40" w:before="0"/>
        <w:jc w:val="center"/>
      </w:pPr>
      <w:r>
        <w:rPr>
          <w:noProof/>
        </w:rPr>
        <w:pict w14:anchorId="4A63A72C">
          <v:shape id="Image 20" o:spid="_x0000_i1047" type="#_x0000_t75" style="width:453.3pt;height:290.4pt;visibility:visible;mso-wrap-style:square">
            <v:imagedata r:id="rId33" o:title=""/>
          </v:shape>
        </w:pict>
      </w:r>
    </w:p>
    <w:p w14:paraId="23470364" w14:textId="77777777" w:rsidR="005911B7" w:rsidRDefault="005911B7" w:rsidP="007B1E7D">
      <w:pPr>
        <w:jc w:val="center"/>
        <w:rPr>
          <w:i/>
          <w:sz w:val="21"/>
        </w:rPr>
      </w:pPr>
      <w:r>
        <w:rPr>
          <w:i/>
          <w:sz w:val="21"/>
        </w:rPr>
        <w:t xml:space="preserve">Figure 4.12 : Gestion des feedbacks (espace RH)</w:t>
      </w:r>
    </w:p>
    <w:p w14:paraId="70B615C4" w14:textId="77777777" w:rsidR="005911B7" w:rsidRDefault="008D5C06" w:rsidP="007B1E7D">
      <w:r>
        <w:t>La figure 4.12 centralise les feedbacks saisis par les managers, notés de 1 à 5 étoiles et assortis d’un commentaire, avec une étape de validation par le RH avant transmission au candidat.</w:t>
      </w:r>
      <w:r>
        <w:t xml:space="preserve"/>
      </w:r>
    </w:p>
    <w:p w14:paraId="234F2466" w14:textId="3397CEB3" w:rsidR="00730833" w:rsidRDefault="00CA1A9F">
      <w:pPr>
        <w:keepNext/>
        <w:spacing w:after="40" w:before="0"/>
        <w:jc w:val="center"/>
      </w:pPr>
      <w:r>
        <w:rPr>
          <w:noProof/>
        </w:rPr>
        <w:pict w14:anchorId="1ABB31E4">
          <v:shape id="Picture 411" o:spid="_x0000_i1911" type="#_x0000_t75" style="visibility:visible;mso-wrap-style:square;width:240.2pt;height:263.0pt">
            <v:imagedata r:id="rId960" o:title=""/>
          </v:shape>
        </w:pict>
      </w:r>
    </w:p>
    <w:p w14:paraId="213F627D" w14:textId="77777777" w:rsidR="00730833" w:rsidRDefault="00AF2881">
      <w:pPr>
        <w:jc w:val="center"/>
        <w:rPr>
          <w:i/>
          <w:sz w:val="21"/>
        </w:rPr>
      </w:pPr>
      <w:r>
        <w:rPr>
          <w:i/>
          <w:sz w:val="21"/>
        </w:rPr>
        <w:t xml:space="preserve">Figure 4.13 : Contre-signature RH d’un avis favorable « Valider l’embauche »</w:t>
      </w:r>
    </w:p>
    <w:p w14:paraId="2952C15B" w14:textId="77777777" w:rsidR="00730833" w:rsidRDefault="00AF2881">
      <w:r>
        <w:t xml:space="preserve">La modale de la figure 4.13 : le RH contre-signe l’avis favorable du manager avant l’embauche ; la date de présentation y est obligatoire, car elle alimente l’e-mail de convocation.</w:t>
      </w:r>
    </w:p>
    <w:p w14:paraId="234F2466" w14:textId="3397CEB3" w:rsidR="00730833" w:rsidRDefault="00CA1A9F">
      <w:pPr>
        <w:keepNext/>
        <w:spacing w:after="40" w:before="0"/>
        <w:jc w:val="center"/>
      </w:pPr>
      <w:r>
        <w:rPr>
          <w:noProof/>
        </w:rPr>
        <w:pict w14:anchorId="1ABB31E4">
          <v:shape id="Picture 412" o:spid="_x0000_i1912" type="#_x0000_t75" style="visibility:visible;mso-wrap-style:square;width:240.0pt;height:254.0pt">
            <v:imagedata r:id="rId961" o:title=""/>
          </v:shape>
        </w:pict>
      </w:r>
    </w:p>
    <w:p w14:paraId="213F627D" w14:textId="77777777" w:rsidR="00730833" w:rsidRDefault="00AF2881">
      <w:pPr>
        <w:jc w:val="center"/>
        <w:rPr>
          <w:i/>
          <w:sz w:val="21"/>
        </w:rPr>
      </w:pPr>
      <w:r>
        <w:rPr>
          <w:i/>
          <w:sz w:val="21"/>
        </w:rPr>
        <w:t xml:space="preserve">Figure 4.14 : Contre-signature RH d’un refus proposé — modale « Confirmer le refus »</w:t>
      </w:r>
    </w:p>
    <w:p w14:paraId="2952C15B" w14:textId="77777777" w:rsidR="00730833" w:rsidRDefault="00AF2881">
      <w:r>
        <w:t>La modale « Confirmer le refus » de la figure 4.14 : le RH contre-signe le refus proposé par le manager. Le motif y est obligatoire, mais il ne part pas dans l’e-mail adressé au candidat — celui-ci ne reprend que le nom du candidat et l’intitulé de l’offre : le motif est la trace humaine de la décision, enregistrée sur le dossier (statusReason) et journalisée dans l’audit.</w:t>
      </w:r>
    </w:p>
    <w:p w:rsidR="005911B7" w:rsidRDefault="005911B7" w:rsidP="007B1E7D">
      <w:pPr>
        <w:pStyle w:val="Titre3"/>
      </w:pPr>
      <w:r>
        <w:t>4.3.3 Espace manager</w:t>
      </w:r>
    </w:p>
    <w:p w14:paraId="234F2466" w14:textId="3397CEB3" w:rsidR="00730833" w:rsidRDefault="00CA1A9F">
      <w:pPr>
        <w:keepNext/>
        <w:spacing w:after="40" w:before="0"/>
        <w:jc w:val="center"/>
      </w:pPr>
      <w:r>
        <w:rPr>
          <w:noProof/>
        </w:rPr>
        <w:pict w14:anchorId="1ABB31E4">
          <v:shape id="Picture 7" o:spid="_x0000_i1054" type="#_x0000_t75" style="visibility:visible;mso-wrap-style:square;width:453.3pt;height:252.5pt">
            <v:imagedata r:id="rId40" o:title=""/>
          </v:shape>
        </w:pict>
      </w:r>
    </w:p>
    <w:p w14:paraId="213F627D" w14:textId="77777777" w:rsidR="00730833" w:rsidRDefault="00AF2881">
      <w:pPr>
        <w:jc w:val="center"/>
        <w:rPr>
          <w:i/>
          <w:sz w:val="21"/>
        </w:rPr>
      </w:pPr>
      <w:r>
        <w:rPr>
          <w:i/>
          <w:sz w:val="21"/>
        </w:rPr>
        <w:t xml:space="preserve">Figure 4.15 : Espace Manager — candidatures relevant du périmètre du manager</w:t>
      </w:r>
    </w:p>
    <w:p w14:paraId="2952C15B" w14:textId="77777777" w:rsidR="00730833" w:rsidRDefault="00AF2881">
      <w:r>
        <w:t xml:space="preserve">Un manager ne voit que les dossiers relevant de son périmètre — le destinataire désigné par le RH, gelé sur la candidature (base MANUAL) et lu par ManagerScopeService (3.5.4) —, à partir de leur entrée en évaluation technique. La figure 4.15 montre cette vue, distincte de la liste RH (figure 4.7) : les colonnes ne rognent plus, chaque ligne se déplie sur le score, les compétences et l’analyse IA, et porte « Planifier l’entretien ».</w:t>
      </w:r>
    </w:p>
    <w:p w14:paraId="234F2466" w14:textId="3397CEB3" w:rsidR="00730833" w:rsidRDefault="00CA1A9F">
      <w:pPr>
        <w:keepNext/>
        <w:spacing w:after="40" w:before="0"/>
        <w:jc w:val="center"/>
      </w:pPr>
      <w:r>
        <w:rPr>
          <w:noProof/>
        </w:rPr>
        <w:pict w14:anchorId="1ABB31E4">
          <v:shape id="Picture 17" o:spid="_x0000_i1060" type="#_x0000_t75" style="visibility:visible;mso-wrap-style:square;width:453.3pt;height:298.5pt">
            <v:imagedata r:id="rId902" o:title=""/>
          </v:shape>
        </w:pict>
      </w:r>
    </w:p>
    <w:p w14:paraId="213F627D" w14:textId="77777777" w:rsidR="00730833" w:rsidRDefault="00AF2881">
      <w:pPr>
        <w:jc w:val="center"/>
        <w:rPr>
          <w:i/>
          <w:sz w:val="21"/>
        </w:rPr>
      </w:pPr>
      <w:r>
        <w:rPr>
          <w:i/>
          <w:sz w:val="21"/>
        </w:rPr>
        <w:t xml:space="preserve">Figure 4.16 : Espace Manager — page « Mon calendrier d’entretiens », prochains entretiens, rappels et entretiens passés</w:t>
      </w:r>
    </w:p>
    <w:p w14:paraId="6E5C99B1" w14:textId="77777777" w:rsidR="005911B7" w:rsidRDefault="00161004" w:rsidP="007B1E7D">
      <w:r>
        <w:t xml:space="preserve">La page « Mon calendrier d’entretiens » (figure 4.16) n’affiche que ce qui regarde l’intervieweur connecté : filtrage côté serveur sur sa seule identité, reprise du jeton, et même contrôle d’accès au dossier que pour la liste des dossiers. Elle n’est pas figée pour autant : le manager peut y marquer un entretien comme effectué et y reprendre un dossier encore instruit.</w:t>
      </w:r>
    </w:p>
    <w:p w14:paraId="2952C15B" w14:textId="77777777" w:rsidR="00730833" w:rsidRDefault="00AF2881">
      <w:r>
        <w:t xml:space="preserve">La partie haute de la figure 4.16 donne les trois prochains rendez-vous actifs, chacun avec l’heure, la date, le candidat, le poste, le format et, une fois le lien produit par l’agent de planification, le bouton « Rejoindre le lien Google Meet » ; l’encart « Rappels » annonce un e-mail deux heures avant chaque entretien dont l’utilisateur est l’intervieweur. La section « Entretiens passés ce mois-ci » permet de reprendre un dossier déjà vu : le manager peut y marquer l’entretien comme effectué et, tant que le dossier est encore en cours d’instruction, l’ouvrir par le bouton « Donner mon avis », qui amène la fiche où l’avis se saisit. Lorsque l’avis a déjà été rendu ou que le dossier est clôturé, ce bouton disparaît et la carte affiche l’état courant (« Dossier clôturé : candidat embauché », « Dossier clôturé : refus validé par le RH »), pour ne jamais laisser le manager devant une commande sans effet. Plus bas, une grille mensuelle — non reproduite ici — complète la page : chaque créneau y est coloré selon l’état du dossier, verrouillé et grisé une fois la décision du RH tombée, ambré et marqué d’un sablier tant que l’avis du manager attend son contreseing. Chaque événement ouvre une fenêtre de détail (candidat, poste, format, date, heure, durée, lieu, notes) où le lien Meet reste derrière un bouton explicite « Rejoindre l’entretien », tant que le créneau court : consulter le planning ne déclenche pas d’appel visio, et l’écran sans lien produit le dit au lieu d’afficher un bouton vide.</w:t>
      </w:r>
    </w:p>
    <w:p w:rsidR="005911B7" w:rsidRDefault="005911B7" w:rsidP="007B1E7D">
      <w:pPr>
        <w:pStyle w:val="Titre3"/>
      </w:pPr>
      <w:r>
        <w:t>4.3.4 Administrateur — comptes, paramétrage et traçabilité</w:t>
      </w:r>
    </w:p>
    <w:p w14:paraId="146E0641" w14:textId="77777777" w:rsidR="005911B7" w:rsidRDefault="00CA1A9F" w:rsidP="007B1E7D">
      <w:pPr>
        <w:keepNext/>
        <w:spacing w:after="40" w:before="0"/>
        <w:jc w:val="center"/>
      </w:pPr>
      <w:r>
        <w:rPr>
          <w:noProof/>
        </w:rPr>
        <w:pict w14:anchorId="1C64D113">
          <v:shape id="Image 21" o:spid="_x0000_i1048" type="#_x0000_t75" style="width:453.3pt;height:245.5pt;visibility:visible;mso-wrap-style:square">
            <v:imagedata r:id="rId34" o:title=""/>
          </v:shape>
        </w:pict>
      </w:r>
    </w:p>
    <w:p w14:paraId="5BF29D70" w14:textId="77777777" w:rsidR="005911B7" w:rsidRDefault="005911B7" w:rsidP="007B1E7D">
      <w:pPr>
        <w:jc w:val="center"/>
        <w:rPr>
          <w:i/>
          <w:sz w:val="21"/>
        </w:rPr>
      </w:pPr>
      <w:r>
        <w:rPr>
          <w:i/>
          <w:sz w:val="21"/>
        </w:rPr>
        <w:t xml:space="preserve">Figure 4.17 : Gestion des utilisateurs et des rôles (espace Administrateur)</w:t>
      </w:r>
    </w:p>
    <w:p w14:paraId="51E35756" w14:textId="77777777" w:rsidR="005911B7" w:rsidRDefault="008D5C06" w:rsidP="007B1E7D">
      <w:r>
        <w:t>L’écran de la figure 4.17 permet à l’administrateur de gérer l’ensemble des comptes de la plateforme et leurs rôles — un même compte pouvant en cumuler plusieurs —, ainsi que leur rattachement à un département ou, à défaut pour un manager, à une famille de métier.</w:t>
      </w:r>
    </w:p>
    <w:p w14:paraId="199A6A97" w14:textId="77777777" w:rsidR="005911B7" w:rsidRDefault="00CA1A9F" w:rsidP="007B1E7D">
      <w:pPr>
        <w:keepNext/>
        <w:spacing w:after="40" w:before="0"/>
        <w:jc w:val="center"/>
      </w:pPr>
      <w:r>
        <w:rPr>
          <w:noProof/>
        </w:rPr>
        <w:pict w14:anchorId="30680820">
          <v:shape id="Image 22" o:spid="_x0000_i1049" type="#_x0000_t75" style="width:453.3pt;height:247.9pt;visibility:visible;mso-wrap-style:square">
            <v:imagedata r:id="rId35" o:title=""/>
          </v:shape>
        </w:pict>
      </w:r>
    </w:p>
    <w:p w14:paraId="53F7EF5B" w14:textId="77777777" w:rsidR="005911B7" w:rsidRDefault="005911B7" w:rsidP="007B1E7D">
      <w:pPr>
        <w:jc w:val="center"/>
        <w:rPr>
          <w:i/>
          <w:sz w:val="21"/>
        </w:rPr>
      </w:pPr>
      <w:r>
        <w:rPr>
          <w:i/>
          <w:sz w:val="21"/>
        </w:rPr>
        <w:t xml:space="preserve">Figure 4.18 : Paramétrage du scoring IA par famille de métier</w:t>
      </w:r>
    </w:p>
    <w:p w14:paraId="2EF1BE18" w14:textId="77777777" w:rsidR="005911B7" w:rsidRDefault="008D5C06" w:rsidP="007B1E7D">
      <w:r>
        <w:t>Réservé à l’administrateur, l’écran de la figure 4.18 permet d’ajuster, pour chaque famille de métier et chaque niveau de séniorité, la pondération technique / communication / séniorité utilisée par l’agent IA pour calculer le score d’une candidature ; une colonne de contrôle vérifie avant l’enregistrement que les trois poids somment bien à 100 %.</w:t>
      </w:r>
    </w:p>
    <w:p w14:paraId="0B1676FD" w14:textId="77777777" w:rsidR="005911B7" w:rsidRDefault="00CA1A9F" w:rsidP="007B1E7D">
      <w:pPr>
        <w:keepNext/>
        <w:spacing w:after="40" w:before="0"/>
        <w:jc w:val="center"/>
      </w:pPr>
      <w:r>
        <w:rPr>
          <w:noProof/>
        </w:rPr>
        <w:pict w14:anchorId="66625CE5">
          <v:shape id="Image 23" o:spid="_x0000_i1050" type="#_x0000_t75" style="width:453.3pt;height:290.4pt;visibility:visible;mso-wrap-style:square">
            <v:imagedata r:id="rId36" o:title=""/>
          </v:shape>
        </w:pict>
      </w:r>
    </w:p>
    <w:p w14:paraId="77DF7A55" w14:textId="77777777" w:rsidR="005911B7" w:rsidRDefault="005911B7" w:rsidP="007B1E7D">
      <w:pPr>
        <w:jc w:val="center"/>
        <w:rPr>
          <w:i/>
          <w:sz w:val="21"/>
        </w:rPr>
      </w:pPr>
      <w:r>
        <w:rPr>
          <w:i/>
          <w:sz w:val="21"/>
        </w:rPr>
        <w:t xml:space="preserve">Figure 4.19 : Historique d’audit</w:t>
      </w:r>
    </w:p>
    <w:p w14:paraId="6867BA22" w14:textId="77777777" w:rsidR="000F1AFA" w:rsidRDefault="008D5C06" w:rsidP="007B1E7D">
      <w:r>
        <w:t>L’historique d’audit reproduit en figure 4.19 trace tous les changements significatifs d’un dossier — statut, score, routage vers un manager, contre-signature de la décision finale — en précisant la date, l’entité concernée, la nature de l’action, la valeur précédente, la nouvelle valeur et l’auteur de la modification, qu’elle soit initiée manuellement par un utilisateur ou automatiquement par le système (agents n8n) ; les lignes ROUTING et ROUTING_MANUAL y rappellent le destinataire retenu et la proposition écartée, ce qui garantit la traçabilité de chaque décision.</w:t>
      </w:r>
      <w:r>
        <w:t xml:space="preserve"/>
      </w:r>
    </w:p>
    <w:p w:rsidR="005911B7" w:rsidRDefault="005911B7" w:rsidP="007B1E7D">
      <w:pPr>
        <w:pStyle w:val="Titre3"/>
      </w:pPr>
      <w:r>
        <w:t>4.3.5 Automatisation n8n et notification du candidat</w:t>
      </w:r>
    </w:p>
    <w:p w14:paraId="234F2466" w14:textId="3397CEB3" w:rsidR="00730833" w:rsidRDefault="00CA1A9F">
      <w:pPr>
        <w:keepNext/>
        <w:spacing w:after="40" w:before="0"/>
        <w:jc w:val="center"/>
      </w:pPr>
      <w:r>
        <w:rPr>
          <w:noProof/>
        </w:rPr>
        <w:pict w14:anchorId="1ABB31E4">
          <v:shape id="Picture 18" o:spid="_x0000_i1061" type="#_x0000_t75" style="width:425.0pt;height:224.2pt;visibility:visible;mso-wrap-style:square">
            <v:imagedata r:id="rId903" o:title=""/>
          </v:shape>
        </w:pict>
      </w:r>
    </w:p>
    <w:p w14:paraId="213F627D" w14:textId="77777777" w:rsidR="00730833" w:rsidRDefault="00AF2881">
      <w:pPr>
        <w:jc w:val="center"/>
        <w:rPr>
          <w:i/>
          <w:sz w:val="21"/>
        </w:rPr>
      </w:pPr>
      <w:r>
        <w:rPr>
          <w:i/>
          <w:sz w:val="21"/>
        </w:rPr>
        <w:t xml:space="preserve">Figure 4.20 : Console n8n — les trois flux d’automatisation publiés et leurs statistiques</w:t>
      </w:r>
    </w:p>
    <w:p w14:paraId="2952C15B" w14:textId="77777777" w:rsidR="00730833" w:rsidRDefault="00AF2881">
      <w:r>
        <w:t xml:space="preserve">Au-delà des interfaces de la plateforme, la chaîne d’automatisation a été vérifiée dans la console n8n elle-même. La figure 4.20 montre les trois flux déclarés dans l’application — « Agent 1 — CV Parser + Score IA + Email Candidat », « Agent 2 — Planification entretien + Email participants » et « Agent 3 — RH vers Manager (dossier validé) » — tous trois à l’état Publié ; le bandeau de la console affiche 119 exécutions de production, 30 en échec, un taux d’échec de 25,2 % et une durée moyenne de 4,2 s ; ces compteurs proviennent de l’agrégat interne d’n8n, qui dénombre moins d’exécutions que la table (119 contre 154) mais converge exactement sur les trente échecs. Reprise directement dans la table d’exécutions de l’instance à la date de finalisation du rapport, la mesure de référence porte sur 154 exécutions déclenchées par webhook : 124 abouties et 30 en échec. Ces trente échecs sont tous imputables à Agent 2 et concentrés sur la période de calibration des 15 et 18 octobre (identifiants SMTP Gmail refusés, échec du callback de sauvegarde du lien Meet, accès aux variables d’environnement bloqué dans les nœuds) ; ces trois causes ont été corrigées depuis, et aucune exécution en échec n’est postérieure au 18 octobre. La durée moyenne d’une exécution réussie est alors de 5,6 s, Agent 1 et Agent 3 étant les plus lents (respectivement 6,0 s et 6,2 s, l’analyse Cohere et les envois d’e-mail étant exécutés en série). Ces mesures relèvent d’un environnement local et non d’une exploitation en production ; l’échantillon reste trop limité pour valoir test de charge ou garantie de disponibilité.</w:t>
      </w:r>
    </w:p>
    <w:p w14:paraId="234F2466" w14:textId="3397CEB3" w:rsidR="00730833" w:rsidRDefault="00CA1A9F">
      <w:pPr>
        <w:keepNext/>
        <w:spacing w:after="40" w:before="0"/>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 xml:space="preserve">Figure 4.21 : Flux n8n de l’Agent 1 — webhook de candidature, appel du scoring Cohere puis e-mail au candidat</w:t>
      </w:r>
    </w:p>
    <w:p w14:paraId="2952C15B" w14:textId="77777777" w:rsidR="00730833" w:rsidRDefault="00AF2881">
      <w:r>
        <w:t xml:space="preserve">Le détail de l’Agent 1 (figure 4.21)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34F2466" w14:textId="3397CEB3" w:rsidR="00730833" w:rsidRDefault="00CA1A9F">
      <w:pPr>
        <w:keepNext/>
        <w:spacing w:after="40" w:before="0"/>
        <w:jc w:val="center"/>
      </w:pPr>
      <w:r>
        <w:rPr>
          <w:noProof/>
        </w:rPr>
        <w:pict w14:anchorId="1ABB31E4">
          <v:shape id="Picture 110" o:spid="_x0000_i1063" type="#_x0000_t75" style="width:371.0pt;height:172.3pt;visibility:visible;mso-wrap-style:square">
            <v:imagedata r:id="rId905" o:title=""/>
          </v:shape>
        </w:pict>
      </w:r>
    </w:p>
    <w:p w14:paraId="213F627D" w14:textId="77777777" w:rsidR="00730833" w:rsidRDefault="00AF2881">
      <w:pPr>
        <w:jc w:val="center"/>
        <w:rPr>
          <w:i/>
          <w:sz w:val="21"/>
        </w:rPr>
      </w:pPr>
      <w:r>
        <w:rPr>
          <w:i/>
          <w:sz w:val="21"/>
        </w:rPr>
        <w:t xml:space="preserve">Figure 4.22 : E-mail automatique de confirmation de candidature reçu par le candidat</w:t>
      </w:r>
    </w:p>
    <w:p w14:paraId="2952C15B" w14:textId="77777777" w:rsidR="00730833" w:rsidRDefault="00AF2881">
      <w:r>
        <w:t>Côté candidat, la notification produite par ce flux arrive bien dans sa boîte de réception : le corps du message reproduit à la figure 4.22 est celui généré par l’agent pour une candidature réelle, celle du dossier présenté à la figure 4.3 — accusé de réception nominatif pour le poste visé, score d’analyse IA obtenu et horodatage du traitement, avec la mention « Cet email a été envoyé automatiquement par la plateforme JOB4YOU ». Lorsque l’analyse n’a pas abouti, le bloc score est remplacé dans le même message par l’encart « profil en cours d’analyse » décrit en section 4.6.</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Au-delà des vérifications manuelles, la couche service et une partie de la couche controller sont couvertes par une suite de tests automatisés écrite avec JUnit 5 et Mockito [16], exécutée via Maven. Elle comprend 20 classes de test pour un total de 249 méthodes, toutes exécutées sans échec : CandidateServiceTest, JobOfferServiceTest, ManagerRoutingServiceTest, ManagerScopeServiceTest, CandidateManualRoutingTest, DepartmentProposalServiceTest, N8nServiceTest, N8nServiceOutboxKeyTest, ScoringWeightProfileServiceTest, AiScoringServiceTest, SkillNormalizationServiceTest, CohereClientParsingTest, MatchingServiceTest, ExperienceLevelNormsTest,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les routes anonymes et la sécurité d’accès au lien Google Meet d’un entretien. Ces tests couvrent en particulier la résolution des managers destinataires et son blocage lorsqu’aucun niveau ne propose, le refus de transmission sans désignation et la journalisation ROUTING_MANUAL d’un choix hors de la proposition retenue, l’isolation stricte de la visibilité à la liste gelée, le calcul du score IA et ses seuils de décision, la neutralisation d’une compétence que le CV nie explicitement, l’orientation de tout score en zone grise vers un arbitrage humain, l’avancée du dossier à l’étape effectivement planifiée, le refus du créneau qui en chevauche un autre à l’agenda du même intervieweur, l’arbitrage RH d’un dossier rejeté par l’agent IA — confirmation motivée ou correction du score —, l’absence de double notification quand le RH confirme un refus déjà notifié par l’IA,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spacing w:before="0" w:after="0" w:line="240" w:lineRule="auto"/>
              <w:rPr>
                <w:rFonts w:ascii="Consolas" w:hAnsi="Consolas"/>
                <w:sz w:val="18"/>
              </w:rPr>
            </w:pPr>
            <w:r>
              <w:rPr>
                <w:rFonts w:ascii="Consolas" w:hAnsi="Consolas"/>
                <w:sz w:val="18"/>
              </w:rPr>
              <w:t>@Test</w:t>
            </w:r>
          </w:p>
          <w:p w14:paraId="5AFAC82A" w14:textId="3009874B" w:rsidR="005911B7" w:rsidRDefault="005911B7" w:rsidP="007B1E7D">
            <w:pPr>
              <w:spacing w:before="0" w:after="0" w:line="240" w:lineRule="auto"/>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spacing w:before="0" w:after="0" w:line="240" w:lineRule="auto"/>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spacing w:before="0" w:after="0" w:line="240" w:lineRule="auto"/>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spacing w:before="0" w:after="0" w:line="240" w:lineRule="auto"/>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spacing w:before="0" w:after="0" w:line="240" w:lineRule="auto"/>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spacing w:before="0" w:after="0" w:line="240" w:lineRule="auto"/>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spacing w:before="0" w:after="0" w:line="240" w:lineRule="auto"/>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spacing w:before="0" w:after="0" w:line="240" w:lineRule="auto"/>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spacing w:before="0" w:after="0" w:line="240" w:lineRule="auto"/>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spacing w:before="0" w:after="0" w:line="240" w:lineRule="auto"/>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spacing w:before="0" w:after="0" w:line="240" w:lineRule="auto"/>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 xml:space="preserve">Avis manager sur un dossier non encore validé par le RH</w:t>
            </w:r>
          </w:p>
        </w:tc>
        <w:tc>
          <w:tcPr>
            <w:tcW w:w="1667" w:type="pct"/>
          </w:tcPr>
          <w:p w14:paraId="7B26BC3A" w14:textId="77777777" w:rsidR="005911B7" w:rsidRPr="007B1E7D" w:rsidRDefault="005911B7" w:rsidP="007B1E7D">
            <w:pPr>
              <w:rPr>
                <w:sz w:val="21"/>
              </w:rPr>
            </w:pPr>
            <w:r>
              <w:rPr>
                <w:sz w:val="21"/>
              </w:rPr>
              <w:t xml:space="preserve">Erreur 400, avis bloqué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 xml:space="preserve">Avis manager après validation RH</w:t>
            </w:r>
          </w:p>
        </w:tc>
        <w:tc>
          <w:tcPr>
            <w:tcW w:w="1667" w:type="pct"/>
          </w:tcPr>
          <w:p w14:paraId="61A7BC4F" w14:textId="77777777" w:rsidR="005911B7" w:rsidRPr="007B1E7D" w:rsidRDefault="005911B7" w:rsidP="007B1E7D">
            <w:pPr>
              <w:rPr>
                <w:sz w:val="21"/>
              </w:rPr>
            </w:pPr>
            <w:r>
              <w:rPr>
                <w:sz w:val="21"/>
              </w:rPr>
              <w:t xml:space="preserve">Avis enregistré (ACCEPTED ou MANAGER_REJECTED) et notifié au RH, sans e-mail au candidat</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 xml:space="preserve">Notification par e-mail au candidat après la décision finale contre-signée par le RH</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Transmission RH → manager : l’aiguillage propose, le RH désigne le destinataire</w:t>
            </w:r>
          </w:p>
        </w:tc>
        <w:tc>
          <w:tcPr>
            <w:tcW w:w="1667" w:type="pct"/>
          </w:tcPr>
          <w:p w14:paraId="4EF70E9D" w14:textId="77777777" w:rsidR="005911B7" w:rsidRPr="007B1E7D" w:rsidRDefault="001110FA" w:rsidP="007B1E7D">
            <w:pPr>
              <w:rPr>
                <w:sz w:val="21"/>
              </w:rPr>
            </w:pPr>
            <w:r>
              <w:rPr>
                <w:sz w:val="21"/>
              </w:rPr>
              <w:t xml:space="preserve">Sans désignation : 400, dossier immobile ; le manager choisi est seul notifié ; choix hors proposition : ROUTING_MANUAL</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 xml:space="preserve">Le manager désigné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 xml:space="preserve">Aucun dossier hors de la liste gelée des destinataires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Chevauchement de deux entretiens d’un même intervieweur</w:t>
            </w:r>
          </w:p>
        </w:tc>
        <w:tc>
          <w:tcPr>
            <w:tcW w:w="1667" w:type="pct"/>
          </w:tcPr>
          <w:p w14:paraId="55B01654" w14:textId="77777777" w:rsidR="000F1AFA" w:rsidRDefault="000F1AFA" w:rsidP="007B1E7D">
            <w:pPr>
              <w:rPr>
                <w:sz w:val="21"/>
              </w:rPr>
            </w:pPr>
            <w:r>
              <w:rPr>
                <w:sz w:val="21"/>
              </w:rPr>
              <w:t>Erreur 400 ; le même jour reste possible</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r w:rsidR="00CE421D" w14:paraId="2276B10A" w14:textId="77777777">
        <w:trPr>
          <w:cantSplit/>
        </w:trPr>
        <w:tc>
          <w:tcPr>
            <w:tcW w:w="3070" w:type="dxa"/>
          </w:tcPr>
          <w:p w14:paraId="52CA3834" w14:textId="77777777" w:rsidR="00CE421D" w:rsidRDefault="00450284">
            <w:r>
              <w:t xml:space="preserve">Avis manager puis contre-signature RH (HIRED avec date / REJECTED motivé)</w:t>
            </w:r>
          </w:p>
        </w:tc>
        <w:tc>
          <w:tcPr>
            <w:tcW w:w="3069" w:type="dxa"/>
          </w:tcPr>
          <w:p w14:paraId="32DB0FB0" w14:textId="77777777" w:rsidR="00CE421D" w:rsidRDefault="00450284">
            <w:r>
              <w:t xml:space="preserve">E-mail de convocation ou de refus motivé au candidat ; erreur 400 si la date ou le motif manque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Transmission aux deux managers d’un dossier et relance d’un envoi échoué</w:t>
            </w:r>
          </w:p>
        </w:tc>
        <w:tc>
          <w:tcPr>
            <w:tcW w:w="3069" w:type="dxa"/>
          </w:tcPr>
          <w:p w14:paraId="32DB0FB0" w14:textId="77777777" w:rsidR="00CE421D" w:rsidRDefault="00450284">
            <w:r>
              <w:t xml:space="preserve">Deux événements distincts, un par destinataire ; la relance émet une nouvelle clé et non un second silence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Arbitrage RH d’un dossier rejeté automatiquement par l’agent IA</w:t>
            </w:r>
          </w:p>
        </w:tc>
        <w:tc>
          <w:tcPr>
            <w:tcW w:w="3069" w:type="dxa"/>
          </w:tcPr>
          <w:p w14:paraId="32DB0FB0" w14:textId="77777777" w:rsidR="00CE421D" w:rsidRDefault="00450284">
            <w:r>
              <w:t xml:space="preserve">Confirmation du refus (REJECTED motivé, sans second e-mail au candidat) ou correction du score (retour en CV_REVIEWED) ; erreur 400 si le motif manque</w:t>
            </w:r>
          </w:p>
        </w:tc>
        <w:tc>
          <w:tcPr>
            <w:tcW w:w="3067" w:type="dxa"/>
          </w:tcPr>
          <w:p w14:paraId="18F5A2E4" w14:textId="77777777" w:rsidR="00CE421D" w:rsidRDefault="00450284">
            <w:r>
              <w:t xml:space="preserve">OK, vérifié le 17/10 en local</w:t>
            </w:r>
          </w:p>
        </w:tc>
      </w:tr>
    </w:tbl>
    <w:p w14:paraId="18E2834B" w14:textId="77777777" w:rsidR="005911B7" w:rsidRDefault="008D5C06" w:rsidP="007B1E7D">
      <w:r>
        <w:t xml:space="preserve">Ce tableau atteste de l’exécution des vingt-trois scénarios listés, tous concluants ; il ne constitue pas pour autant une garantie globale de qualité. Des cas nominaux et des cas d’erreur qui réussissent ne prouvent ni l’absence de défauts sur les chemins non exercés, ni le comportement de la plateforme sous charge. Ces tests vérifient des fonctionnalités et des règles d’accès : la pertinence du scoring IA, elle, est mesurée en section 4.4.5. Aucun test de charge n’a mesuré les exigences de temps de réponse fixées en section 2.2.3 (moins de 500 ms en lecture, moins de 2 s en écriture), qui restent à valider en préproduction.</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avis du manager puis contre-signature du RH — chaque étape déclenchant la notification par e-mail attendue, au candidat et aux parties prenantes internes. Une vidéo de démonstration commentée de ce parcours, courriels remis à l’appui, a été transmise à l’encadrant. Le fractionnement de la décision en deux niveaux, et les erreurs renvoyées quand un manager tente de trancher seul, sont figés par des tests côté back-end (CandidateServiceTest, section 4.4.1).</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[21] — de vingt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vingt profils se répartissent sur les trois familles de métiers visées par la plateforme, chacune rattachée à une offre cible : Développeur Backend Java/Spring (offre 115, sept profils), DevOps Engineer (offre 117, six profils) et Business Analyst (offre 122, sept profils). Chaque CV porte une vérité terrain binaire, PERTINENT ou NON_PERTINENT, arrêtée sur des critères objectifs — compétences techniques indispensables et séniorité — et non d’après la sortie du modèle : onze profils sont pertinents, neuf sont volontairement hors cible (compétences d’un autre domaine, séniorité insuffisante, outillage sans rapport avec l’offre). Quatre cas (GOLD_17 à GOLD_20) ont été écrits pour cette re-evaluation, dont deux construits pour se situer au voisinage immédiat du seuil de décision.</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11</w:t>
            </w:r>
          </w:p>
        </w:tc>
        <w:tc>
          <w:tcPr>
            <w:tcW w:w="2163" w:type="dxa"/>
          </w:tcPr>
          <w:p w14:paraId="5B60ED76" w14:textId="77777777" w:rsidR="005911B7" w:rsidRPr="007B1E7D" w:rsidRDefault="005911B7" w:rsidP="007B1E7D">
            <w:pPr>
              <w:rPr>
                <w:sz w:val="21"/>
              </w:rPr>
              <w:jc w:val="center"/>
            </w:pPr>
            <w:r>
              <w:rPr>
                <w:sz w:val="21"/>
              </w:rPr>
              <w:t xml:space="preserve">11</w:t>
            </w:r>
          </w:p>
        </w:tc>
        <w:tc>
          <w:tcPr>
            <w:tcW w:w="2119" w:type="dxa"/>
          </w:tcPr>
          <w:p w14:paraId="5B60ED76" w14:textId="77777777" w:rsidR="005911B7" w:rsidRPr="007B1E7D" w:rsidRDefault="005911B7" w:rsidP="007B1E7D">
            <w:pPr>
              <w:rPr>
                <w:sz w:val="21"/>
              </w:rPr>
              <w:jc w:val="center"/>
            </w:pPr>
            <w:r>
              <w:rPr>
                <w:sz w:val="21"/>
              </w:rPr>
              <w:t xml:space="preserve">10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1</w:t>
            </w:r>
          </w:p>
        </w:tc>
        <w:tc>
          <w:tcPr>
            <w:tcW w:w="2163" w:type="dxa"/>
          </w:tcPr>
          <w:p w14:paraId="5B60ED76" w14:textId="77777777" w:rsidR="005911B7" w:rsidRPr="007B1E7D" w:rsidRDefault="005911B7" w:rsidP="007B1E7D">
            <w:pPr>
              <w:rPr>
                <w:sz w:val="21"/>
              </w:rPr>
              <w:jc w:val="center"/>
            </w:pPr>
            <w:r>
              <w:rPr>
                <w:sz w:val="21"/>
              </w:rPr>
              <w:t xml:space="preserve">1</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8</w:t>
            </w:r>
          </w:p>
        </w:tc>
        <w:tc>
          <w:tcPr>
            <w:tcW w:w="2163" w:type="dxa"/>
          </w:tcPr>
          <w:p w14:paraId="5B60ED76" w14:textId="77777777" w:rsidR="005911B7" w:rsidRPr="007B1E7D" w:rsidRDefault="005911B7" w:rsidP="007B1E7D">
            <w:pPr>
              <w:rPr>
                <w:sz w:val="21"/>
              </w:rPr>
              <w:jc w:val="center"/>
            </w:pPr>
            <w:r>
              <w:rPr>
                <w:sz w:val="21"/>
              </w:rPr>
              <w:t xml:space="preserve">8</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91,7 %</w:t>
            </w:r>
          </w:p>
        </w:tc>
        <w:tc>
          <w:tcPr>
            <w:tcW w:w="2163" w:type="dxa"/>
          </w:tcPr>
          <w:p w14:paraId="5B60ED76" w14:textId="77777777" w:rsidR="005911B7" w:rsidRPr="007B1E7D" w:rsidRDefault="005911B7" w:rsidP="007B1E7D">
            <w:pPr>
              <w:rPr>
                <w:sz w:val="21"/>
              </w:rPr>
              <w:jc w:val="center"/>
            </w:pPr>
            <w:r>
              <w:rPr>
                <w:sz w:val="21"/>
              </w:rPr>
              <w:t xml:space="preserve">91,7 %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95,7 %</w:t>
            </w:r>
          </w:p>
        </w:tc>
        <w:tc>
          <w:tcPr>
            <w:tcW w:w="2163" w:type="dxa"/>
          </w:tcPr>
          <w:p w14:paraId="5B60ED76" w14:textId="77777777" w:rsidR="005911B7" w:rsidRPr="007B1E7D" w:rsidRDefault="005911B7" w:rsidP="007B1E7D">
            <w:pPr>
              <w:rPr>
                <w:sz w:val="21"/>
              </w:rPr>
              <w:jc w:val="center"/>
            </w:pPr>
            <w:r>
              <w:rPr>
                <w:sz w:val="21"/>
              </w:rPr>
              <w:t xml:space="preserve">95,7 %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95 %</w:t>
            </w:r>
          </w:p>
        </w:tc>
        <w:tc>
          <w:tcPr>
            <w:tcW w:w="2163" w:type="dxa"/>
          </w:tcPr>
          <w:p w14:paraId="5B60ED76" w14:textId="77777777" w:rsidR="005911B7" w:rsidRPr="007B1E7D" w:rsidRDefault="005911B7" w:rsidP="007B1E7D">
            <w:pPr>
              <w:rPr>
                <w:sz w:val="21"/>
              </w:rPr>
              <w:jc w:val="center"/>
            </w:pPr>
            <w:r>
              <w:rPr>
                <w:sz w:val="21"/>
              </w:rPr>
              <w:t xml:space="preserve">95 %</w:t>
            </w:r>
          </w:p>
        </w:tc>
        <w:tc>
          <w:tcPr>
            <w:tcW w:w="2119" w:type="dxa"/>
          </w:tcPr>
          <w:p w14:paraId="5B60ED76" w14:textId="77777777" w:rsidR="005911B7" w:rsidRPr="007B1E7D" w:rsidRDefault="005911B7" w:rsidP="007B1E7D">
            <w:pPr>
              <w:rPr>
                <w:sz w:val="21"/>
              </w:rPr>
              <w:jc w:val="center"/>
            </w:pPr>
            <w:r>
              <w:rPr>
                <w:sz w:val="21"/>
              </w:rPr>
              <w:t xml:space="preserve">90 %</w:t>
            </w:r>
          </w:p>
        </w:tc>
      </w:tr>
    </w:tbl>
    <w:p w14:paraId="18E2834B" w14:textId="77777777" w:rsidR="005911B7" w:rsidRDefault="008D5C06" w:rsidP="007B1E7D">
      <w:r>
        <w:t xml:space="preserve">Avec le seuil retenu de 60/100, le système prend dix-neuf bonnes décisions sur vingt : aucun profil pertinent n’est écarté (rappel de 100 %). Un profil volontairement hors cible est en revanche retenu à 71/100 — GOLD_18, ingénieure DevOps dont l’outillage d’intégration continue recouvre une large part des compétences attendues par l’offre, alors que son dossier déclare aucune expérience des plateformes cloud managées —, d’où une précision de 91,7 %. Abaisser le seuil à 50 ne change rien sur ce jeu, les deux seuils y sont donc indiscernables ; le relever à 70, outre ce même faux positif, fait apparaître un faux négatif — le profil GOLD_14, développeuse Java dont le dossier est pourtant jugé pertinent et scoré 67/100 — et fait chuter le rappel à 90,9 %.</w:t>
      </w:r>
    </w:p>
    <w:p w14:paraId="18E2834B" w14:textId="77777777" w:rsidR="005911B7" w:rsidRDefault="008D5C06" w:rsidP="007B1E7D">
      <w:r>
        <w:t xml:space="preserve">Le seuil de 60 est cohérent avec la distribution des scores obtenus, à une exception près : huit des neuf profils hors cible s’arrêtent à 47/100 ou moins, soit treize points au moins sous le seuil, tandis que le plus faible profil pertinent atteint 67/100, soit sept points au-dessus. Les deux familles sont donc nettement séparées de part et d’autre de la frontière, sauf GOLD_18, dont l’outillage recouvre celui de l’offre visée.</w:t>
      </w:r>
    </w:p>
    <w:p w14:paraId="18E2834B" w14:textId="77777777" w:rsidR="005911B7" w:rsidRDefault="008D5C06" w:rsidP="007B1E7D">
      <w:r>
        <w:t xml:space="preserve">Ce qui précède établit le seuil de 60/100 comme paramètre opérationnel pour cette version de la plateforme, non comme un optimum démontré. Sur les vingt profils du Gold Set, 60 et 50 produisent exactement les mêmes classifications, faux positif compris : leur écart n’est donc pas observable sur ce jeu, et rien n’y établit la supériorité de 60 sur 50. Seule la remontée à 70 s’en distingue, en introduisant un faux négatif. Le faux positif de GOLD_18, lui, se retrouve aux trois seuils : il ne relève pas du réglage de la frontière, mais de la proximité sémantique entre deux métiers voisins, que seul l’arbitrage du recruteur tranche.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vingt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 Les deux mécanismes sont complémentaires et non contradictoires : un score de 62 franchit le seuil de décision et bascule la candidature en CV_REVIEWED, tout en tombant dans la zone grise, ce qui allume également le drapeau d’arbitrage ; inversement, un score de 57 reste sous le seuil mais, signalé en zone grise, il est lui aussi orienté vers CV_REVIEWED plutôt que vers AUTO_REJECTED, pour être tranché par un recruteur. Ce second chemin est désormais le même que le score provienne du recalcul complet du dossier ou de la transmission d’un score calculé hors platforme : les deux entrées partagent la même règle de décision et la même bande d’incertitude, définie par deux constantes uniques dans le service de scoring. Reste à en mesurer l’effet réel : sur les vingt cas du Gold Set, aucun n’est tombé dans la bande 55-65, le score le plus proche du seuil s’arrêtant à 67/100. La zone grise est donc un filet de sécurité établi par test unitaire en mode simulé, non une étape effectivement rencontrée par le jeu de référence.</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La présence d’une compétence est en outre examinée segment par segment : une mention placée sous une négation — « aucune expérience des plateformes cloud managées » — n’est plus comptée comme acquise, ce qui évite que la liste présentée au recruteur crédite un candidat d’une compétence dont son propre CV déclare l’absence. Ces éléments alimentent les badges affichés dans le détail d’une candidature (figure 4.8) et la synthèse enregistrée dans aiSummary [23].</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 un dossier bloqué en zone grise repart ainsi normalement dans le pipeline, tandis qu’une correction ramenant le score sous le seuil le maintient en AUTO_REJECTED sans nouvelle notification au candidat, le refus ayant déjà été envoyé par l’agent IA.</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l’historique d’audit (figure 4.19).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Deux effets de bord du même genre sont apparus au passage : la clé d’idempotence de la file d’attente interne était identique pour tous les managers d’un dossier, ce qui faisait silencieusement absorber le second envoi par la déduplication, et la destination continuait de dépendre d’attributs mutables de l’offre. La clé intègre désormais l’adresse du destinataire, et le routage a été rendu explicite et stable : ManagerRoutingService résout les destinataires par priorité (manager désigné sur l’offre, puis département, puis famille de métier, puis ancien champ e-mail), la transmission est bloquée et journalisée si aucun niveau ne résout de manager, et la destination est gelée sur le dossier ; depuis, le RH la désigne lui-même dans la modale de transmission.</w:t>
      </w:r>
    </w:p>
    <w:p w14:paraId="0622333D" w14:textId="77777777" w:rsidR="005911B7" w:rsidRDefault="005911B7" w:rsidP="007B1E7D">
      <w:pPr>
        <w:pStyle w:val="Titre3"/>
      </w:pPr>
      <w:bookmarkStart w:id="61" w:name="_Toc240315751"/>
      <w:r>
        <w:t xml:space="preserve">4.5.2 Distinguer un avis manager d’une décision finale RH</w:t>
      </w:r>
      <w:bookmarkEnd w:id="61"/>
    </w:p>
    <w:p w14:paraId="691450D9" w14:textId="77777777" w:rsidR="005911B7" w:rsidRDefault="005911B7" w:rsidP="007B1E7D">
      <w:r>
        <w:t xml:space="preserve">Le tableau de bord devait afficher séparément les rejets RH et les rejets manager, ces derniers ventilés par famille de métier, alors que le modèle ne connaissait qu’un statut unique pour les deux. Plutôt que d’empiler des statuts, j’ai fait porter la distinction par le cycle de vie lui-même : MANAGER_REJECTED désigne aujourd’hui un refus proposé par le manager, en attente de contreseing, tandis que REJECTED désigne le refus final prononcé ou contre-signé par le RH, et HIRED l’embauche validée par lui. Le motif enregistré (statusReason) et l’auteur de l’écriture complètent l’information ; le journal d’audit, où chaque changement de statut est déjà associé à l’utilisateur qui l’a effectué, reste croisé avec son rôle réel pour ventiler les rejets manager par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 xml:space="preserve">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dans un service unique, ManagerScopeService, qui lit la liste des destinataires gelée sur le dossier plutôt que les attributs toujours modifiables de l’offre : l’aiguillage et la visibilité partagent désormais la même source, et aucune route de lecture ne peut s’en écarter. Des tests unitaires dédiés (section 4.4.1) figent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 Le déplacement du moment ne retire rien au contrôle : avant validation, la modale pré-sélectionne le manager proposé par l’aiguillage (GET /api/candidates/{id}/routing-preview) et le RH le désigne ; après l’envoi, le destinataire est confirmé avec l’état de chaque événement (GET /api/candidates/{id}/routing-status : PENDING, SENT ou FAILED, nombre de tentatives, dernière erreur), et un envoi échoué peut être relancé (POST /api/candidates/{id}/reroute-notification) avec une clé renouvelée que la déduplication ne peut pas absorber.</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Planification de l’entretien et statut du dossier</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 planifier un entretien téléphonique sur un dossier déjà en phase technique suffisait à le faire régresser. J’ai d’abord supprimé tout effet de la planification sur le statut, ce qui rendait le manager incapable de faire avancer le dossier qu’on lui transmettait. Le contrôle est désormais placé côté serveur : la planification propose l’étape correspondant au type retenu et la machine à états l’applique si elle l’autorise — une avancée refusée laisse le dossier en place, sans annuler l’entretien. Le manager n’a plus de case à cocher : l’agenda fait foi, la transition reste gardée.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premier défaut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w:t>
      </w:r>
    </w:p>
    <w:p w14:paraId="39D324A1" w14:textId="77777777" w:rsidR="006E4400" w:rsidRPr="006E4400" w:rsidRDefault="006E4400" w:rsidP="006E4400">
      <w:r>
        <w:t xml:space="preserve">La mise à l’épreuve du nouveau flux a révélé une seconde défaillance, plus instructive encore. Quand l’habilitation OAuth2 du compte Google expire ou est révoquée, le nœud Calendar échoue, et son objet d’erreur se propageait tel quel aux nœuds suivants : le rappel vers le back-end partait avec un lien vide, ce que l’API refusait, et l’événement en file épuisait ses cinq tentatives avant de passer en échec définitif — une simple coupure Google suffisait donc à encombrer la file de notification. J’ai interposé un nœud d’extraction qui tolère l’échec du nœud Calendar et n’isole un lien que s’il a réellement été produit, puis une condition qui ne déclenche le rappel que dans ce cas ; sinon, le flux journalise un avertissement et poursuit l’envoi des deux e-mails, qui restent utiles même sans lien de visioconférence. Le lien n’est jamais inventé : la colonne correspondante de la base reste nulle tant que l’événement n’a pas été créé.</w:t>
      </w:r>
    </w:p>
    <w:p w14:paraId="39D324A1" w14:textId="77777777" w:rsidR="006E4400" w:rsidRPr="006E4400" w:rsidRDefault="006E4400" w:rsidP="006E4400">
      <w:r>
        <w:t xml:space="preserve">Le flux complet a été rejoué de bout en bout sur un entretien de démonstration : création réelle de l’événement avec sa conférence, extraction du lien, rappel accepté par le point d’API dédié et lien persisté, envoi des deux courriels par n8n, puis reprise du même lien dans la fenêtre de détail du calendrier du manager. Ce rejeu n’a pas abouti du premier coup : le rappel partait sans en-tête d’authentification, car n8n interdit l’expression $env dans un nœud HTTP Request et n’attache la credential d’en-tête que si le nœud déclare explicitement ce mode ; Spring répondait donc 401 pendant que l’exécution affichait « success », et le lien était perdu sans trace. La voie JavaMailSender du back-end a été vérifiée séparément : le courriel de réinitialisation du mot de passe a été remis à 22 h 37, et le rappel d’entretien à J-1 dispatché par le planifieur à 23 h 00, la journalisation « sent successfully » étant corrigée par la réception effective sur la boîte de test. Ce résultat reste conditionné à la connexion Google : un projet maintenu en mode « test » voit son jeton d’actualisation expirer au bout de sept jours, ce qui impose de reconnecter le compte avant toute démonstration. Pour rendre cet appel fiable en cas d’indisponibilité passagère, le back-end s’appuie sur une file interne (outbox) : chaque déclenchement est journalisé puis retenté avec un délai croissant (5 s, puis 10, 20, 40 et 80 s), soit six tentatives au maximum sans bloquer la requête initiale. Cette clé intègre l’adresse du manager destinataire, pour que deux managers d’un même dossier produisent deux envois distincts. Une relance manuelle du RH (bouton « Relancer la notification ») émet une nouvelle clé que la déduplication ne peut pas avaler ; sans ce suffixe, relancer un envoi échoué aurait été accepté puis silencieusement ignoré.</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divulguer l’information protégée. Ces tests manuels couvrent les scénarios éprouvés et réduisent le risque de divulgation ; ils ne constituent pas une garantie absolue face à toutes les formes d’injection.</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mais aussi à qui il a été transmis et sur quel critère, la transmission aux managers étant journalisée au même titre que les changements de statut et les corrections de score.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 selon la règle configurée, il oriente automatiquement le dossier, un score insuffisant déclenchant un rejet automatique qui, à ce stade, n’est pas précédé d’un examen humain. Ce rejet reste réversible par un RH ou un Administrateur, qui confirme le refus après examen — avec motif obligatoire et sans seconde notification au candidat — ou le conteste par le mécanisme de surcharge manuelle, avec justification obligatoire et trace dans le journal d’audit ; les dossiers signalés needsHumanReview, eux, ne sont jamais rejetés automatiquement. Cette conception limite le risque d’erreur ou de biais algorithmique sans équivaloir à une validation humaine de chaque décision, dans l’esprit des principes du RGPD [17], [18] relatifs aux décisions individuelles automatisées.</w:t>
      </w:r>
    </w:p>
    <w:p w14:paraId="1170C844" w14:textId="77777777" w:rsidR="005911B7" w:rsidRDefault="008D5C06" w:rsidP="007B1E7D">
      <w:r>
        <w:t>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Le message de confirmation adressé au candidat reste dans ce cas générique : aucun score n’y est affiché lorsque l’analyse n’a pas pu aboutir, plutôt que d’en inventer un. Ces limites justifient une traçabilité complète des décisions prises et un examen humain systématique des dossiers signalés par le drapeau d’arbitrage ; les autres rejets automatiques ne font, en revanche, pas l’objet d’une validation humaine préalable.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appelle quelques rappels, sans prétendre à une étude de conformité. Le scoring des CV transite par l’API de Cohere et l’assistant conversationnel par l’API OpenRouter : ces appels vers des services d’IA tiers doivent être encadrés (minimisation des données transmises, information des candidats, clauses contractuelles). Le modèle utilisé pour le chatbot est fixé par la propriété de configuration openrouter.model — z-ai/glm-5.3-flash dans la version livrée —, et ses conditions de conservation des données doivent être vérifiées avant tout usage sur des données réelles. La plateforme ne prévoit pas encore de politique de durée de conservation et d’effacement des données (CV, évaluations) : c’est un point à définir et à outiller (archivage, purge automatique, exercice du droit à l’effacement). Enfin, un système de scoring utilisé en recrutement relève des principes qui encadrent, dans l’Union européenne, les décisions individuelles automatisées [17], [18] et les systèmes d’IA à « haut risque » [20] : traçabilité renforcée, supervision humaine effective et documentation du modèle — principes partiellement mis en œuvre ici (surcharge manuelle justifiée, journal d’audit, arbitrage humain possible), le rejet automatique n’étant en revanche pas précédé d’une validation humaine systématique.</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tblHeader/>
          <w:cantSplit/>
        </w:trPr>
        <w:tc>
          <w:tcPr>
            <w:tcW w:w="4183" w:type="pct"/>
            <w:shd w:val="clear" w:color="auto" w:fill="D9D9D9"/>
          </w:tcPr>
          <w:p w14:paraId="343C1A5D" w14:textId="77777777" w:rsidR="005911B7" w:rsidRPr="007B1E7D" w:rsidRDefault="005911B7" w:rsidP="007B1E7D">
            <w:pPr>
              <w:rPr>
                <w:b/>
                <w:sz w:val="21"/>
              </w:rPr>
            </w:pPr>
            <w:r>
              <w:rPr>
                <w:b/>
                <w:sz w:val="21"/>
              </w:rPr>
              <w:t>Fonctionnalité</w:t>
            </w:r>
          </w:p>
        </w:tc>
        <w:tc>
          <w:tcPr>
            <w:tcW w:w="817" w:type="pct"/>
            <w:shd w:val="clear" w:color="auto" w:fill="D9D9D9"/>
          </w:tcPr>
          <w:p w14:paraId="00CC2BD2" w14:textId="77777777" w:rsidR="005911B7" w:rsidRPr="007B1E7D" w:rsidRDefault="005911B7" w:rsidP="007B1E7D">
            <w:pPr>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rPr>
                <w:sz w:val="21"/>
              </w:rPr>
            </w:pPr>
            <w:r>
              <w:rPr>
                <w:sz w:val="21"/>
              </w:rPr>
              <w:t>Authentification et gestion des rôles (JWT, RBAC)</w:t>
            </w:r>
          </w:p>
        </w:tc>
        <w:tc>
          <w:tcPr>
            <w:tcW w:w="817" w:type="pct"/>
          </w:tcPr>
          <w:p w14:paraId="55B95671" w14:textId="77777777" w:rsidR="005911B7" w:rsidRPr="007B1E7D" w:rsidRDefault="005911B7" w:rsidP="007B1E7D">
            <w:pPr>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rPr>
                <w:sz w:val="21"/>
              </w:rPr>
            </w:pPr>
            <w:r>
              <w:rPr>
                <w:sz w:val="21"/>
              </w:rPr>
              <w:t>Gestion des candidatures et des CV</w:t>
            </w:r>
          </w:p>
        </w:tc>
        <w:tc>
          <w:tcPr>
            <w:tcW w:w="817" w:type="pct"/>
          </w:tcPr>
          <w:p w14:paraId="687F858E" w14:textId="77777777" w:rsidR="005911B7" w:rsidRPr="007B1E7D" w:rsidRDefault="005911B7" w:rsidP="007B1E7D">
            <w:pPr>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rPr>
                <w:sz w:val="21"/>
              </w:rPr>
            </w:pPr>
            <w:r>
              <w:rPr>
                <w:sz w:val="21"/>
              </w:rPr>
              <w:t>Gestion des feedbacks (saisie, validation RH)</w:t>
            </w:r>
          </w:p>
        </w:tc>
        <w:tc>
          <w:tcPr>
            <w:tcW w:w="817" w:type="pct"/>
          </w:tcPr>
          <w:p w14:paraId="47DFED35" w14:textId="77777777" w:rsidR="005911B7" w:rsidRPr="007B1E7D" w:rsidRDefault="005911B7" w:rsidP="007B1E7D">
            <w:pPr>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rPr>
                <w:sz w:val="21"/>
              </w:rPr>
            </w:pPr>
            <w:r>
              <w:rPr>
                <w:sz w:val="21"/>
              </w:rPr>
              <w:t xml:space="preserve">Routage automatique RH → manager par priorité, liste gelée sur le dossier</w:t>
            </w:r>
          </w:p>
        </w:tc>
        <w:tc>
          <w:tcPr>
            <w:tcW w:w="817" w:type="pct"/>
          </w:tcPr>
          <w:p w14:paraId="121300FF" w14:textId="77777777" w:rsidR="005911B7" w:rsidRPr="007B1E7D" w:rsidRDefault="005911B7" w:rsidP="007B1E7D">
            <w:pPr>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rPr>
                <w:sz w:val="21"/>
              </w:rPr>
            </w:pPr>
            <w:r>
              <w:rPr>
                <w:sz w:val="21"/>
              </w:rPr>
              <w:t>Notifications automatiques par e-mail (agents n8n)</w:t>
            </w:r>
          </w:p>
        </w:tc>
        <w:tc>
          <w:tcPr>
            <w:tcW w:w="817" w:type="pct"/>
          </w:tcPr>
          <w:p w14:paraId="3E627415" w14:textId="77777777" w:rsidR="005911B7" w:rsidRPr="007B1E7D" w:rsidRDefault="005911B7" w:rsidP="007B1E7D">
            <w:pPr>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rPr>
                <w:sz w:val="21"/>
              </w:rPr>
            </w:pPr>
            <w:r>
              <w:rPr>
                <w:sz w:val="21"/>
              </w:rPr>
              <w:t>Tableau de bord et pipeline de recrutement (Kanban)</w:t>
            </w:r>
          </w:p>
        </w:tc>
        <w:tc>
          <w:tcPr>
            <w:tcW w:w="817" w:type="pct"/>
          </w:tcPr>
          <w:p w14:paraId="7AD7F3A9" w14:textId="77777777" w:rsidR="005911B7" w:rsidRPr="007B1E7D" w:rsidRDefault="005911B7" w:rsidP="007B1E7D">
            <w:pPr>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rPr>
                <w:sz w:val="21"/>
              </w:rPr>
            </w:pPr>
            <w:r>
              <w:rPr>
                <w:sz w:val="21"/>
              </w:rPr>
              <w:t>Journal d’audit (traçabilité des actions)</w:t>
            </w:r>
          </w:p>
        </w:tc>
        <w:tc>
          <w:tcPr>
            <w:tcW w:w="817" w:type="pct"/>
          </w:tcPr>
          <w:p w14:paraId="00B702B8" w14:textId="77777777" w:rsidR="005911B7" w:rsidRPr="007B1E7D" w:rsidRDefault="005911B7" w:rsidP="007B1E7D">
            <w:pPr>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rPr>
                <w:sz w:val="21"/>
              </w:rPr>
            </w:pPr>
            <w:r>
              <w:rPr>
                <w:sz w:val="21"/>
              </w:rPr>
              <w:t xml:space="preserve">Matching « Job idéal » (suggestion d’offres à partir d’un CV)</w:t>
            </w:r>
          </w:p>
        </w:tc>
        <w:tc>
          <w:tcPr>
            <w:tcW w:w="817" w:type="pct"/>
          </w:tcPr>
          <w:p w14:paraId="2FFE87F4" w14:textId="77777777" w:rsidR="008A4E34" w:rsidRDefault="008A4E34" w:rsidP="007B1E7D">
            <w:pPr>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rPr>
                <w:sz w:val="21"/>
              </w:rPr>
            </w:pPr>
            <w:r>
              <w:rPr>
                <w:sz w:val="21"/>
              </w:rPr>
              <w:t>Entretien téléphonique RH obligatoire avant acceptation</w:t>
            </w:r>
          </w:p>
        </w:tc>
        <w:tc>
          <w:tcPr>
            <w:tcW w:w="817" w:type="pct"/>
          </w:tcPr>
          <w:p w14:paraId="5F7B83FD" w14:textId="77777777" w:rsidR="000F1AFA" w:rsidRDefault="000F1AFA" w:rsidP="007B1E7D">
            <w:pPr>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rPr>
                <w:sz w:val="21"/>
              </w:rPr>
            </w:pPr>
            <w:r>
              <w:rPr>
                <w:sz w:val="21"/>
              </w:rPr>
              <w:t>Calendrier manager dédié (filtré sur l’intervieweur connecté)</w:t>
            </w:r>
          </w:p>
        </w:tc>
        <w:tc>
          <w:tcPr>
            <w:tcW w:w="817" w:type="pct"/>
          </w:tcPr>
          <w:p w14:paraId="63C3ED08" w14:textId="77777777" w:rsidR="000F1AFA" w:rsidRDefault="000F1AFA" w:rsidP="007B1E7D">
            <w:pPr>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rPr>
                <w:sz w:val="21"/>
              </w:rPr>
            </w:pPr>
            <w:r>
              <w:rPr>
                <w:sz w:val="21"/>
              </w:rPr>
              <w:t>Retrait de candidature en libre-service par le candidat</w:t>
            </w:r>
          </w:p>
        </w:tc>
        <w:tc>
          <w:tcPr>
            <w:tcW w:w="817" w:type="pct"/>
          </w:tcPr>
          <w:p w14:paraId="3CE2F2E7" w14:textId="77777777" w:rsidR="000F1AFA" w:rsidRDefault="000F1AFA" w:rsidP="007B1E7D">
            <w:pPr>
              <w:rPr>
                <w:sz w:val="21"/>
              </w:rPr>
            </w:pPr>
            <w:r>
              <w:rPr>
                <w:sz w:val="21"/>
              </w:rPr>
              <w:t>Réalisée</w:t>
            </w:r>
          </w:p>
        </w:tc>
      </w:tr>
      <w:tr w:rsidR="00CE421D" w14:paraId="2B1407EA" w14:textId="77777777">
        <w:trPr>
          <w:cantSplit/>
        </w:trPr>
        <w:tc>
          <w:tcPr>
            <w:tcW w:w="4183" w:type="pct"/>
          </w:tcPr>
          <w:p w14:paraId="6C90A7D0" w14:textId="77777777" w:rsidR="00CE421D" w:rsidRDefault="00450284">
            <w:pPr/>
            <w:r>
              <w:t>Assistant conversationnel candidat (chatbot IA via OpenRouter, connaissance des candidatures réelles et de la plateforme)</w:t>
            </w:r>
          </w:p>
        </w:tc>
        <w:tc>
          <w:tcPr>
            <w:tcW w:w="817" w:type="pct"/>
          </w:tcPr>
          <w:p w14:paraId="0482DAE4" w14:textId="77777777" w:rsidR="00CE421D" w:rsidRDefault="00450284">
            <w:pPr/>
            <w:r>
              <w:t>Réalisée</w:t>
            </w:r>
          </w:p>
        </w:tc>
      </w:tr>
      <w:tr w:rsidR="00CE421D" w14:paraId="2B1407EA" w14:textId="77777777">
        <w:trPr>
          <w:cantSplit/>
        </w:trPr>
        <w:tc>
          <w:tcPr>
            <w:tcW w:w="4183" w:type="pct"/>
          </w:tcPr>
          <w:p w14:paraId="6C90A7D0" w14:textId="77777777" w:rsidR="00CE421D" w:rsidRDefault="00450284">
            <w:pPr/>
            <w:r>
              <w:t xml:space="preserve">Évaluation du matching sur un Gold Set de vingt CVs annotés</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pPr/>
            <w:r>
              <w:t xml:space="preserve">Human-in-the-Loop : signalement des dossiers à arbitrer (needsHumanReview)</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r w:rsidR="00CE421D" w14:paraId="2B1407EA" w14:textId="77777777">
        <w:trPr>
          <w:cantSplit/>
        </w:trPr>
        <w:tc>
          <w:tcPr>
            <w:tcW w:w="4183" w:type="pct"/>
          </w:tcPr>
          <w:p w14:paraId="6C90A7D0" w14:textId="77777777" w:rsidR="00CE421D" w:rsidRDefault="00450284">
            <w:r>
              <w:t xml:space="preserve">Décision à deux niveaux : avis manager contre-signé par le RH (convocation ou refus motivé)</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La liste des candidatures côté RH expose désormais cette valeur effective (badge du score retenu, mention « corrigé RH », relance de l’analyse depuis une ligne non scorée) ; son tri, exécuté côté client, reste à reporter côté serveur pour qu’il porte sur l’ensemble des dossiers et non sur la seule page affichée. Côté technique, la suite de tests automatisés — qui compte déjà 249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vingt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principales fonctionnalités prévues pour ce projet ont été développées et vérifiées à l’aide des scénarios décrits dans ce rapport : JOB4YOU répond aux besoins identifiés et couvre l’ensemble du cycle, de la publication d’une offre jusqu’à la décision finale. Les objectifs de performance restent en revanche à mesurer, et plusieurs mesures de sécurité et de gouvernance des données doivent être finalisées avant une mise en préproduction — validation du contenu des fichiers téléversés, politique de rétention et d’effacement des données, encadrement des transferts vers Cohere et OpenRouter. Le système constitue donc un prototype fonctionnel, appelé à être industrialisé pour un déploiement chez Sopra HR Software Tunisie, plutôt qu’une solution dont l’aptitude à la production serait déjà démontrée. Cette expérience m’a permis de concevoir, sécuriser, tester et faire évoluer une solution logicielle complète.</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09/02/2026.</w:t>
      </w:r>
    </w:p>
    <w:p>
      <w:pPr>
        <w:pStyle w:val="Paragraphedeliste"/>
        <w:numPr>
          <w:ilvl w:val="0"/>
          <w:numId w:val="22"/>
        </w:numPr>
      </w:pPr>
      <w:r>
        <w:t xml:space="preserve">[2] SCRUM.ORG — The Scrum Guide (2020), Schwaber K. &amp; Sutherland J. Disponible sur : https://scrumguides.org. Consulté le 16/02/2026.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02/03/2026.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13/04/2026.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20/04/2026.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27/04/2026.</w:t>
      </w:r>
    </w:p>
    <w:p w14:paraId="35DD62DB" w14:textId="77777777" w:rsidR="005911B7" w:rsidRDefault="00EA224E" w:rsidP="005911B7">
      <w:pPr>
        <w:pStyle w:val="Paragraphedeliste"/>
        <w:numPr>
          <w:ilvl w:val="0"/>
          <w:numId w:val="22"/>
        </w:numPr>
      </w:pPr>
      <w:r>
        <w:t>[9] n8n Documentation. Disponible sur : https://docs.n8n.io. Consulté le 02/06/2026.</w:t>
      </w:r>
    </w:p>
    <w:p>
      <w:pPr>
        <w:pStyle w:val="Paragraphedeliste"/>
        <w:numPr>
          <w:ilvl w:val="0"/>
          <w:numId w:val="22"/>
        </w:numPr>
      </w:pPr>
      <w:r>
        <w:t xml:space="preserve">[10] Google Calendar API — Documentation développeur. Disponible sur : https://developers.google.com/calendar. Consulté le 09/06/2026.</w:t>
      </w:r>
    </w:p>
    <w:p w14:paraId="2AA277DF" w14:textId="77777777" w:rsidR="005911B7" w:rsidRDefault="00EA224E" w:rsidP="005911B7">
      <w:pPr>
        <w:pStyle w:val="Paragraphedeliste"/>
        <w:numPr>
          <w:ilvl w:val="0"/>
          <w:numId w:val="22"/>
        </w:numPr>
      </w:pPr>
      <w:r>
        <w:t>[11] Cohere API Documentation. Disponible sur : https://docs.cohere.com. Consulté le 15/06/2026.</w:t>
      </w:r>
    </w:p>
    <w:p>
      <w:pPr>
        <w:pStyle w:val="Paragraphedeliste"/>
        <w:numPr>
          <w:ilvl w:val="0"/>
          <w:numId w:val="22"/>
        </w:numPr>
      </w:pPr>
      <w:r>
        <w:t xml:space="preserve">[12] OpenRouter — Documentation de l’API. Disponible sur : https://openrouter.ai/docs. Consulté le 19/06/2026.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08/05/2026.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11/05/2026.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03/07/2026.</w:t>
      </w:r>
    </w:p>
    <w:p>
      <w:pPr>
        <w:pStyle w:val="Paragraphedeliste"/>
        <w:numPr>
          <w:ilvl w:val="0"/>
          <w:numId w:val="22"/>
        </w:numPr>
      </w:pPr>
      <w:r>
        <w:t xml:space="preserve">[16] JUnit 5 et Mockito — Documentation. Disponibles sur : https://junit.org/junit5/ et https://site.mockito.org. Consulté le 10/07/2026.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20/07/2026.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22/07/2026.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Règlement (UE) 2024/1689 (AI Act) — systèmes d’intelligence artificielle à haut risque. Disponible sur : https://eur-lex.europa.eu/eli/reg/2024/1689/oj. Consulté le 24/07/2026.</w:t>
      </w:r>
    </w:p>
    <w:p>
      <w:pPr>
        <w:pStyle w:val="Paragraphedeliste"/>
        <w:numPr>
          <w:ilvl w:val="0"/>
          <w:numId w:val="22"/>
        </w:numPr>
      </w:pPr>
      <w:r>
        <w:t xml:space="preserve">[21] VAISHAMPAYAN, Swanand, LEARY, Hunter, ALEBACHEW, Yoseph Berhanu, HICKMAN, Louis, STEVENOR, Brent A., BECK, Weston et BROWN, Chris. Human and LLM-Based Resume Matching: An Observational Study. Dans : Findings of the Association for Computational Linguistics: NAACL 2025, 2025, p. 4808-4823. Disponible sur : https://doi.org/10.18653/v1/2025.findings-naacl.270. Consulté le 13/10/2026.</w:t>
      </w:r>
    </w:p>
    <w:p>
      <w:pPr>
        <w:pStyle w:val="Paragraphedeliste"/>
        <w:numPr>
          <w:ilvl w:val="0"/>
          <w:numId w:val="22"/>
        </w:numPr>
      </w:pPr>
      <w:r>
        <w:t xml:space="preserve">[22] REZAEIPOURFARSANGI, Sima et MILIOS, Evangelos E. AI-powered Resume-Job matching. Dans : Proceedings of the ACM Symposium on Document Engineering 2023 (DocEng ’23), 2023, p. 1-4. Disponible sur : https://doi.org/10.1145/3573128.3609347. Consulté le 13/10/2026.</w:t>
      </w:r>
    </w:p>
    <w:p>
      <w:pPr>
        <w:pStyle w:val="Paragraphedeliste"/>
        <w:numPr>
          <w:ilvl w:val="0"/>
          <w:numId w:val="22"/>
        </w:numPr>
      </w:pPr>
      <w:r>
        <w:t xml:space="preserve">[23] KHELKHAL, Kenza et LANASRI, Dihia. Smart-Hiring: An Explainable end-to-end Pipeline for CV Information Extraction and Job Matching. arXiv, 2025, réf. arXiv:2511.02537. Disponible sur : https://arxiv.org/abs/2511.02537. Consulté le 13/10/2026.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4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4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4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 Id="rId950" Type="http://schemas.openxmlformats.org/officeDocument/2006/relationships/image" Target="media/image96.png"/><Relationship Id="rId960" Type="http://schemas.openxmlformats.org/officeDocument/2006/relationships/image" Target="media/image97.png"/><Relationship Id="rId961" Type="http://schemas.openxmlformats.org/officeDocument/2006/relationships/image" Target="media/image9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