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Caladea-bold.ttf" ContentType="application/x-font-ttf"/>
  <Override PartName="/word/fonts/Caladea-boldItalic.ttf" ContentType="application/x-font-ttf"/>
  <Override PartName="/word/fonts/Caladea-italic.ttf" ContentType="application/x-font-ttf"/>
  <Override PartName="/word/fonts/Caladea-regular.ttf" ContentType="application/x-font-ttf"/>
  <Override PartName="/word/fonts/JetBrainsMono-bold.ttf" ContentType="application/x-font-ttf"/>
  <Override PartName="/word/fonts/JetBrainsMono-boldItalic.ttf" ContentType="application/x-font-ttf"/>
  <Override PartName="/word/fonts/JetBrainsMono-italic.ttf" ContentType="application/x-font-ttf"/>
  <Override PartName="/word/fonts/JetBrainsMono-regular.ttf" ContentType="application/x-font-ttf"/>
  <Override PartName="/word/fonts/LibreBaskerville-bold.ttf" ContentType="application/x-font-ttf"/>
  <Override PartName="/word/fonts/LibreBaskerville-boldItalic.ttf" ContentType="application/x-font-ttf"/>
  <Override PartName="/word/fonts/LibreBaskerville-italic.ttf" ContentType="application/x-font-ttf"/>
  <Override PartName="/word/fonts/LibreBaskerville-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footer1.xml" ContentType="application/vnd.openxmlformats-officedocument.wordprocessingml.footer+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spacing w:after="0" w:before="0"/>
      </w:pPr>
      <w:r>
        <w:rPr>
          <w:b w:val="0"/>
          <w:i w:val="0"/>
          <w:sz w:val="22"/>
        </w:rPr>
      </w:r>
    </w:p>
    <w:p>
      <w:pPr>
        <w:spacing w:after="0" w:before="0"/>
      </w:pPr>
      <w:r>
        <w:rPr>
          <w:b w:val="0"/>
          <w:i w:val="0"/>
          <w:sz w:val="22"/>
        </w:rPr>
      </w:r>
    </w:p>
    <w:p>
      <w:pPr>
        <w:spacing w:after="0" w:before="0"/>
      </w:pPr>
      <w:r>
        <w:rPr>
          <w:b w:val="0"/>
          <w:i w:val="0"/>
          <w:sz w:val="22"/>
        </w:rPr>
      </w:r>
    </w:p>
    <w:p>
      <w:pPr>
        <w:spacing w:after="120" w:before="0"/>
        <w:jc w:val="center"/>
      </w:pPr>
      <w:r>
        <w:rPr>
          <w:b/>
          <w:i w:val="0"/>
          <w:sz w:val="60"/>
        </w:rPr>
        <w:t>CAHIER DES CHARGES</w:t>
      </w:r>
    </w:p>
    <w:p>
      <w:pPr>
        <w:spacing w:after="80" w:before="0"/>
        <w:jc w:val="center"/>
      </w:pPr>
      <w:r>
        <w:rPr>
          <w:b/>
          <w:i w:val="0"/>
          <w:sz w:val="32"/>
        </w:rPr>
        <w:t>PROJET DE FIN D’ÉTUDES</w:t>
      </w:r>
    </w:p>
    <w:p>
      <w:pPr>
        <w:spacing w:after="720" w:before="0"/>
        <w:jc w:val="center"/>
      </w:pPr>
      <w:r>
        <w:rPr>
          <w:b/>
          <w:i w:val="0"/>
          <w:sz w:val="24"/>
        </w:rPr>
        <w:t>SESSION 2025 – 2026</w:t>
      </w:r>
    </w:p>
    <w:p>
      <w:pPr>
        <w:spacing w:after="80" w:before="0"/>
        <w:jc w:val="center"/>
      </w:pPr>
      <w:r>
        <w:rPr>
          <w:b/>
          <w:i w:val="0"/>
          <w:sz w:val="24"/>
        </w:rPr>
        <w:t>Intitulé du projet</w:t>
      </w:r>
    </w:p>
    <w:p>
      <w:pPr>
        <w:spacing w:after="600" w:before="0"/>
        <w:jc w:val="center"/>
      </w:pPr>
      <w:r>
        <w:rPr>
          <w:b w:val="0"/>
          <w:i w:val="0"/>
          <w:sz w:val="24"/>
        </w:rPr>
        <w:t>Conception et Développement d’une Plateforme Web de Gestion du Processus de Recrutement — JOB4YOU</w:t>
      </w:r>
    </w:p>
    <w:p>
      <w:pPr>
        <w:spacing w:after="80" w:before="0"/>
        <w:jc w:val="center"/>
      </w:pPr>
      <w:r>
        <w:rPr>
          <w:b w:val="0"/>
          <w:i w:val="0"/>
          <w:sz w:val="24"/>
        </w:rPr>
        <w:t>Réalisé par : Haythem Bargaoui</w:t>
      </w:r>
    </w:p>
    <w:p>
      <w:pPr>
        <w:spacing w:after="480" w:before="0"/>
        <w:jc w:val="center"/>
      </w:pPr>
      <w:r>
        <w:rPr>
          <w:b w:val="0"/>
          <w:i w:val="0"/>
          <w:sz w:val="22"/>
        </w:rPr>
        <w:t>Élève-Ingénieur — SESAME</w:t>
      </w:r>
    </w:p>
    <w:p>
      <w:pPr>
        <w:spacing w:after="80" w:before="0"/>
        <w:jc w:val="center"/>
      </w:pPr>
      <w:r>
        <w:rPr>
          <w:b w:val="0"/>
          <w:i w:val="0"/>
          <w:sz w:val="24"/>
        </w:rPr>
        <w:t>Entreprise d’accueil : Sopra HR Software Tunisie</w:t>
      </w:r>
    </w:p>
    <w:p>
      <w:pPr>
        <w:spacing w:after="80" w:before="0"/>
        <w:jc w:val="center"/>
      </w:pPr>
      <w:r>
        <w:rPr>
          <w:b w:val="0"/>
          <w:i w:val="0"/>
          <w:sz w:val="24"/>
        </w:rPr>
        <w:t>Encadrant Entreprise : M. Mones Ben Mabrouk</w:t>
      </w:r>
    </w:p>
    <w:p>
      <w:pPr>
        <w:spacing w:after="80" w:before="0"/>
        <w:jc w:val="center"/>
      </w:pPr>
      <w:r>
        <w:rPr>
          <w:b w:val="0"/>
          <w:i w:val="0"/>
          <w:sz w:val="24"/>
        </w:rPr>
        <w:t>Encadrant SESAME : M. Malek Bouzaiene</w:t>
      </w:r>
    </w:p>
    <w:p>
      <w:pPr>
        <w:spacing w:after="0" w:before="0"/>
        <w:jc w:val="center"/>
      </w:pPr>
      <w:r>
        <w:rPr>
          <w:b/>
          <w:i w:val="0"/>
          <w:sz w:val="24"/>
        </w:rPr>
        <w:t>Année Universitaire : 2025 – 2026</w:t>
      </w:r>
    </w:p>
    <w:p>
      <w:pPr>
        <w:pStyle w:val="Heading1"/>
        <w:pageBreakBefore/>
      </w:pPr>
      <w:r>
        <w:t>Table des matières</w:t>
      </w:r>
    </w:p>
    <w:p>
      <w:pPr>
        <w:tabs>
          <w:tab w:pos="9411" w:val="right" w:leader="dot"/>
        </w:tabs>
        <w:spacing w:after="40"/>
      </w:pPr>
      <w:r>
        <w:rPr>
          <w:sz w:val="22"/>
        </w:rPr>
        <w:t>1. Présentation et contexte du projet</w:t>
        <w:tab/>
      </w:r>
      <w:r>
        <w:rPr>
          <w:sz w:val="22"/>
        </w:rPr>
        <w:t>3</w:t>
      </w:r>
    </w:p>
    <w:p>
      <w:pPr>
        <w:tabs>
          <w:tab w:pos="9411" w:val="right" w:leader="dot"/>
        </w:tabs>
        <w:spacing w:after="40"/>
      </w:pPr>
      <w:r>
        <w:rPr>
          <w:sz w:val="22"/>
        </w:rPr>
        <w:t>1.1 Présentation de l’organisme d’accueil</w:t>
        <w:tab/>
      </w:r>
      <w:r>
        <w:rPr>
          <w:sz w:val="22"/>
        </w:rPr>
        <w:t>3</w:t>
      </w:r>
    </w:p>
    <w:p>
      <w:pPr>
        <w:tabs>
          <w:tab w:pos="9411" w:val="right" w:leader="dot"/>
        </w:tabs>
        <w:spacing w:after="40"/>
      </w:pPr>
      <w:r>
        <w:rPr>
          <w:sz w:val="22"/>
        </w:rPr>
        <w:t>1.2 Étude de l’existant</w:t>
        <w:tab/>
      </w:r>
      <w:r>
        <w:rPr>
          <w:sz w:val="22"/>
        </w:rPr>
        <w:t>3</w:t>
      </w:r>
    </w:p>
    <w:p>
      <w:pPr>
        <w:tabs>
          <w:tab w:pos="9411" w:val="right" w:leader="dot"/>
        </w:tabs>
        <w:spacing w:after="40"/>
      </w:pPr>
      <w:r>
        <w:rPr>
          <w:sz w:val="22"/>
        </w:rPr>
        <w:t>2. Problématique et objectifs</w:t>
        <w:tab/>
      </w:r>
      <w:r>
        <w:rPr>
          <w:sz w:val="22"/>
        </w:rPr>
        <w:t>4</w:t>
      </w:r>
    </w:p>
    <w:p>
      <w:pPr>
        <w:tabs>
          <w:tab w:pos="9411" w:val="right" w:leader="dot"/>
        </w:tabs>
        <w:spacing w:after="40"/>
      </w:pPr>
      <w:r>
        <w:rPr>
          <w:sz w:val="22"/>
        </w:rPr>
        <w:t>2.1 Problématique</w:t>
        <w:tab/>
      </w:r>
      <w:r>
        <w:rPr>
          <w:sz w:val="22"/>
        </w:rPr>
        <w:t>4</w:t>
      </w:r>
    </w:p>
    <w:p>
      <w:pPr>
        <w:tabs>
          <w:tab w:pos="9411" w:val="right" w:leader="dot"/>
        </w:tabs>
        <w:spacing w:after="40"/>
      </w:pPr>
      <w:r>
        <w:rPr>
          <w:sz w:val="22"/>
        </w:rPr>
        <w:t>2.2 Objectif général</w:t>
        <w:tab/>
      </w:r>
      <w:r>
        <w:rPr>
          <w:sz w:val="22"/>
        </w:rPr>
        <w:t>4</w:t>
      </w:r>
    </w:p>
    <w:p>
      <w:pPr>
        <w:tabs>
          <w:tab w:pos="9411" w:val="right" w:leader="dot"/>
        </w:tabs>
        <w:spacing w:after="40"/>
      </w:pPr>
      <w:r>
        <w:rPr>
          <w:sz w:val="22"/>
        </w:rPr>
        <w:t>2.3 Objectifs spécifiques</w:t>
        <w:tab/>
      </w:r>
      <w:r>
        <w:rPr>
          <w:sz w:val="22"/>
        </w:rPr>
        <w:t>4</w:t>
      </w:r>
    </w:p>
    <w:p>
      <w:pPr>
        <w:tabs>
          <w:tab w:pos="9411" w:val="right" w:leader="dot"/>
        </w:tabs>
        <w:spacing w:after="40"/>
      </w:pPr>
      <w:r>
        <w:rPr>
          <w:sz w:val="22"/>
        </w:rPr>
        <w:t>3. Périmètre fonctionnel</w:t>
        <w:tab/>
      </w:r>
      <w:r>
        <w:rPr>
          <w:sz w:val="22"/>
        </w:rPr>
        <w:t>5</w:t>
      </w:r>
    </w:p>
    <w:p>
      <w:pPr>
        <w:tabs>
          <w:tab w:pos="9411" w:val="right" w:leader="dot"/>
        </w:tabs>
        <w:spacing w:after="40"/>
      </w:pPr>
      <w:r>
        <w:rPr>
          <w:sz w:val="22"/>
        </w:rPr>
        <w:t>3.1 Dans le périmètre du projet</w:t>
        <w:tab/>
      </w:r>
      <w:r>
        <w:rPr>
          <w:sz w:val="22"/>
        </w:rPr>
        <w:t>5</w:t>
      </w:r>
    </w:p>
    <w:p>
      <w:pPr>
        <w:tabs>
          <w:tab w:pos="9411" w:val="right" w:leader="dot"/>
        </w:tabs>
        <w:spacing w:after="40"/>
      </w:pPr>
      <w:r>
        <w:rPr>
          <w:sz w:val="22"/>
        </w:rPr>
        <w:t>3.2 Hors périmètre</w:t>
        <w:tab/>
      </w:r>
      <w:r>
        <w:rPr>
          <w:sz w:val="22"/>
        </w:rPr>
        <w:t>5</w:t>
      </w:r>
    </w:p>
    <w:p>
      <w:pPr>
        <w:tabs>
          <w:tab w:pos="9411" w:val="right" w:leader="dot"/>
        </w:tabs>
        <w:spacing w:after="40"/>
      </w:pPr>
      <w:r>
        <w:rPr>
          <w:sz w:val="22"/>
        </w:rPr>
        <w:t>4. Acteurs du système</w:t>
        <w:tab/>
      </w:r>
      <w:r>
        <w:rPr>
          <w:sz w:val="22"/>
        </w:rPr>
        <w:t>6</w:t>
      </w:r>
    </w:p>
    <w:p>
      <w:pPr>
        <w:tabs>
          <w:tab w:pos="9411" w:val="right" w:leader="dot"/>
        </w:tabs>
        <w:spacing w:after="40"/>
      </w:pPr>
      <w:r>
        <w:rPr>
          <w:sz w:val="22"/>
        </w:rPr>
        <w:t>4.1 Description des acteurs</w:t>
        <w:tab/>
      </w:r>
      <w:r>
        <w:rPr>
          <w:sz w:val="22"/>
        </w:rPr>
        <w:t>6</w:t>
      </w:r>
    </w:p>
    <w:p>
      <w:pPr>
        <w:tabs>
          <w:tab w:pos="9411" w:val="right" w:leader="dot"/>
        </w:tabs>
        <w:spacing w:after="40"/>
      </w:pPr>
      <w:r>
        <w:rPr>
          <w:sz w:val="22"/>
        </w:rPr>
        <w:t>4.2 Matrice des responsabilités</w:t>
        <w:tab/>
      </w:r>
      <w:r>
        <w:rPr>
          <w:sz w:val="22"/>
        </w:rPr>
        <w:t>6</w:t>
      </w:r>
    </w:p>
    <w:p>
      <w:pPr>
        <w:tabs>
          <w:tab w:pos="9411" w:val="right" w:leader="dot"/>
        </w:tabs>
        <w:spacing w:after="40"/>
      </w:pPr>
      <w:r>
        <w:rPr>
          <w:sz w:val="22"/>
        </w:rPr>
        <w:t>5. Besoins fonctionnels</w:t>
        <w:tab/>
      </w:r>
      <w:r>
        <w:rPr>
          <w:sz w:val="22"/>
        </w:rPr>
        <w:t>8</w:t>
      </w:r>
    </w:p>
    <w:p>
      <w:pPr>
        <w:tabs>
          <w:tab w:pos="9411" w:val="right" w:leader="dot"/>
        </w:tabs>
        <w:spacing w:after="40"/>
      </w:pPr>
      <w:r>
        <w:rPr>
          <w:sz w:val="22"/>
        </w:rPr>
        <w:t>6. Règles métier</w:t>
        <w:tab/>
      </w:r>
      <w:r>
        <w:rPr>
          <w:sz w:val="22"/>
        </w:rPr>
        <w:t>10</w:t>
      </w:r>
    </w:p>
    <w:p>
      <w:pPr>
        <w:tabs>
          <w:tab w:pos="9411" w:val="right" w:leader="dot"/>
        </w:tabs>
        <w:spacing w:after="40"/>
      </w:pPr>
      <w:r>
        <w:rPr>
          <w:sz w:val="22"/>
        </w:rPr>
        <w:t>7. Cycle de vie d’une candidature</w:t>
        <w:tab/>
      </w:r>
      <w:r>
        <w:rPr>
          <w:sz w:val="22"/>
        </w:rPr>
        <w:t>12</w:t>
      </w:r>
    </w:p>
    <w:p>
      <w:pPr>
        <w:tabs>
          <w:tab w:pos="9411" w:val="right" w:leader="dot"/>
        </w:tabs>
        <w:spacing w:after="40"/>
      </w:pPr>
      <w:r>
        <w:rPr>
          <w:sz w:val="22"/>
        </w:rPr>
        <w:t>7.1 Statuts d’une candidature</w:t>
        <w:tab/>
      </w:r>
      <w:r>
        <w:rPr>
          <w:sz w:val="22"/>
        </w:rPr>
        <w:t>12</w:t>
      </w:r>
    </w:p>
    <w:p>
      <w:pPr>
        <w:tabs>
          <w:tab w:pos="9411" w:val="right" w:leader="dot"/>
        </w:tabs>
        <w:spacing w:after="40"/>
      </w:pPr>
      <w:r>
        <w:rPr>
          <w:sz w:val="22"/>
        </w:rPr>
        <w:t>7.2 Transitions autorisées</w:t>
        <w:tab/>
      </w:r>
      <w:r>
        <w:rPr>
          <w:sz w:val="22"/>
        </w:rPr>
        <w:t>12</w:t>
      </w:r>
    </w:p>
    <w:p>
      <w:pPr>
        <w:tabs>
          <w:tab w:pos="9411" w:val="right" w:leader="dot"/>
        </w:tabs>
        <w:spacing w:after="40"/>
      </w:pPr>
      <w:r>
        <w:rPr>
          <w:sz w:val="22"/>
        </w:rPr>
        <w:t>8. Besoins non fonctionnels</w:t>
        <w:tab/>
      </w:r>
      <w:r>
        <w:rPr>
          <w:sz w:val="22"/>
        </w:rPr>
        <w:t>14</w:t>
      </w:r>
    </w:p>
    <w:p>
      <w:pPr>
        <w:tabs>
          <w:tab w:pos="9411" w:val="right" w:leader="dot"/>
        </w:tabs>
        <w:spacing w:after="40"/>
      </w:pPr>
      <w:r>
        <w:rPr>
          <w:sz w:val="22"/>
        </w:rPr>
        <w:t>9. Architecture et technologies</w:t>
        <w:tab/>
      </w:r>
      <w:r>
        <w:rPr>
          <w:sz w:val="22"/>
        </w:rPr>
        <w:t>15</w:t>
      </w:r>
    </w:p>
    <w:p>
      <w:pPr>
        <w:tabs>
          <w:tab w:pos="9411" w:val="right" w:leader="dot"/>
        </w:tabs>
        <w:spacing w:after="40"/>
      </w:pPr>
      <w:r>
        <w:rPr>
          <w:sz w:val="22"/>
        </w:rPr>
        <w:t>9.1 Architecture générale</w:t>
        <w:tab/>
      </w:r>
      <w:r>
        <w:rPr>
          <w:sz w:val="22"/>
        </w:rPr>
        <w:t>15</w:t>
      </w:r>
    </w:p>
    <w:p>
      <w:pPr>
        <w:tabs>
          <w:tab w:pos="9411" w:val="right" w:leader="dot"/>
        </w:tabs>
        <w:spacing w:after="40"/>
      </w:pPr>
      <w:r>
        <w:rPr>
          <w:sz w:val="22"/>
        </w:rPr>
        <w:t>9.2 Technologies retenues</w:t>
        <w:tab/>
      </w:r>
      <w:r>
        <w:rPr>
          <w:sz w:val="22"/>
        </w:rPr>
        <w:t>15</w:t>
      </w:r>
    </w:p>
    <w:p>
      <w:pPr>
        <w:tabs>
          <w:tab w:pos="9411" w:val="right" w:leader="dot"/>
        </w:tabs>
        <w:spacing w:after="40"/>
      </w:pPr>
      <w:r>
        <w:rPr>
          <w:sz w:val="22"/>
        </w:rPr>
        <w:t>10. Parcours utilisateurs</w:t>
        <w:tab/>
      </w:r>
      <w:r>
        <w:rPr>
          <w:sz w:val="22"/>
        </w:rPr>
        <w:t>17</w:t>
      </w:r>
    </w:p>
    <w:p>
      <w:pPr>
        <w:tabs>
          <w:tab w:pos="9411" w:val="right" w:leader="dot"/>
        </w:tabs>
        <w:spacing w:after="40"/>
      </w:pPr>
      <w:r>
        <w:rPr>
          <w:sz w:val="22"/>
        </w:rPr>
        <w:t>10.1 Parcours candidat</w:t>
        <w:tab/>
      </w:r>
      <w:r>
        <w:rPr>
          <w:sz w:val="22"/>
        </w:rPr>
        <w:t>17</w:t>
      </w:r>
    </w:p>
    <w:p>
      <w:pPr>
        <w:tabs>
          <w:tab w:pos="9411" w:val="right" w:leader="dot"/>
        </w:tabs>
        <w:spacing w:after="40"/>
      </w:pPr>
      <w:r>
        <w:rPr>
          <w:sz w:val="22"/>
        </w:rPr>
        <w:t>10.2 Parcours responsable RH</w:t>
        <w:tab/>
      </w:r>
      <w:r>
        <w:rPr>
          <w:sz w:val="22"/>
        </w:rPr>
        <w:t>17</w:t>
      </w:r>
    </w:p>
    <w:p>
      <w:pPr>
        <w:tabs>
          <w:tab w:pos="9411" w:val="right" w:leader="dot"/>
        </w:tabs>
        <w:spacing w:after="40"/>
      </w:pPr>
      <w:r>
        <w:rPr>
          <w:sz w:val="22"/>
        </w:rPr>
        <w:t>10.3 Parcours manager</w:t>
        <w:tab/>
      </w:r>
      <w:r>
        <w:rPr>
          <w:sz w:val="22"/>
        </w:rPr>
        <w:t>17</w:t>
      </w:r>
    </w:p>
    <w:p>
      <w:pPr>
        <w:tabs>
          <w:tab w:pos="9411" w:val="right" w:leader="dot"/>
        </w:tabs>
        <w:spacing w:after="40"/>
      </w:pPr>
      <w:r>
        <w:rPr>
          <w:sz w:val="22"/>
        </w:rPr>
        <w:t>10.4 Parcours administrateur</w:t>
        <w:tab/>
      </w:r>
      <w:r>
        <w:rPr>
          <w:sz w:val="22"/>
        </w:rPr>
        <w:t>18</w:t>
      </w:r>
    </w:p>
    <w:p>
      <w:pPr>
        <w:tabs>
          <w:tab w:pos="9411" w:val="right" w:leader="dot"/>
        </w:tabs>
        <w:spacing w:after="40"/>
      </w:pPr>
      <w:r>
        <w:rPr>
          <w:sz w:val="22"/>
        </w:rPr>
        <w:t>11. Critères de validation</w:t>
        <w:tab/>
      </w:r>
      <w:r>
        <w:rPr>
          <w:sz w:val="22"/>
        </w:rPr>
        <w:t>19</w:t>
      </w:r>
    </w:p>
    <w:p>
      <w:pPr>
        <w:tabs>
          <w:tab w:pos="9411" w:val="right" w:leader="dot"/>
        </w:tabs>
        <w:spacing w:after="40"/>
      </w:pPr>
      <w:r>
        <w:rPr>
          <w:sz w:val="22"/>
        </w:rPr>
        <w:t>12. Livrables du projet</w:t>
        <w:tab/>
      </w:r>
      <w:r>
        <w:rPr>
          <w:sz w:val="22"/>
        </w:rPr>
        <w:t>21</w:t>
      </w:r>
    </w:p>
    <w:p>
      <w:pPr>
        <w:tabs>
          <w:tab w:pos="9411" w:val="right" w:leader="dot"/>
        </w:tabs>
        <w:spacing w:after="40"/>
      </w:pPr>
      <w:r>
        <w:rPr>
          <w:sz w:val="22"/>
        </w:rPr>
        <w:t>13. Planning</w:t>
        <w:tab/>
      </w:r>
      <w:r>
        <w:rPr>
          <w:sz w:val="22"/>
        </w:rPr>
        <w:t>22</w:t>
      </w:r>
    </w:p>
    <w:p>
      <w:pPr>
        <w:tabs>
          <w:tab w:pos="9411" w:val="right" w:leader="dot"/>
        </w:tabs>
        <w:spacing w:after="40"/>
      </w:pPr>
      <w:r>
        <w:rPr>
          <w:sz w:val="22"/>
        </w:rPr>
        <w:t>14. Perspectives et conclusion</w:t>
        <w:tab/>
      </w:r>
      <w:r>
        <w:rPr>
          <w:sz w:val="22"/>
        </w:rPr>
        <w:t>23</w:t>
      </w:r>
    </w:p>
    <w:p>
      <w:pPr>
        <w:pStyle w:val="Heading1"/>
        <w:pageBreakBefore/>
      </w:pPr>
      <w:r>
        <w:t>1. Présentation et contexte du projet</w:t>
      </w:r>
    </w:p>
    <w:p>
      <w:pPr>
        <w:spacing w:after="160" w:before="0"/>
      </w:pPr>
      <w:r>
        <w:rPr>
          <w:b w:val="0"/>
          <w:i w:val="0"/>
          <w:sz w:val="22"/>
        </w:rPr>
        <w:t>Le recruitment constitue la première étape du cycle de vie du collaborateur et conditionne directement la qualité du capital humain d’une organisation. Chez Sopra HR Software Tunisie, ce processus reposait jusque-là sur un ensemble d’outils hétérogènes et de tâches manuelles, sans outil centralisé ni traçabilité des décisions.</w:t>
      </w:r>
    </w:p>
    <w:p>
      <w:pPr>
        <w:pStyle w:val="Heading2"/>
      </w:pPr>
      <w:r>
        <w:t>1.1 Présentation de l’organisme d’accueil</w:t>
      </w:r>
    </w:p>
    <w:p>
      <w:pPr>
        <w:spacing w:after="160" w:before="0"/>
      </w:pPr>
      <w:r>
        <w:rPr>
          <w:b w:val="0"/>
          <w:i w:val="0"/>
          <w:sz w:val="22"/>
        </w:rPr>
        <w:t>Sopra Steria est un groupe européen de conseil, de services numériques et d’édition de logiciels, né en 2014 du rapprochement entre Sopra Group et Steria. Sopra HR Software en est la filiale spécialisée dans les solutions logicielles de gestion des ressources humaines : paie, gestion administrative du personnel, gestion des talents et recrutement. L’entité tunisienne constitue un centre de développement et de compétences du groupe, tout en gérant en interne ses propres processus, dont le recrutement. C’est dans ce cadre, et dans le cadre d’un Projet de Fin d’Études en alternance, qu’a été confié le projet JOB4YOU.</w:t>
      </w:r>
    </w:p>
    <w:p>
      <w:pPr>
        <w:pStyle w:val="Heading2"/>
      </w:pPr>
      <w:r>
        <w:t>1.2 Étude de l’existant</w:t>
      </w:r>
    </w:p>
    <w:p>
      <w:pPr>
        <w:spacing w:after="80" w:before="0"/>
      </w:pPr>
      <w:r>
        <w:rPr>
          <w:b w:val="0"/>
          <w:i w:val="0"/>
          <w:sz w:val="22"/>
        </w:rPr>
        <w:t>L’analyse du processus en vigueur a mis en évidence les limites suivantes :</w:t>
      </w:r>
    </w:p>
    <w:p>
      <w:pPr>
        <w:spacing w:after="40"/>
        <w:ind w:left="425" w:hanging="198"/>
      </w:pPr>
      <w:r>
        <w:rPr>
          <w:sz w:val="22"/>
        </w:rPr>
        <w:t>•</w:t>
        <w:tab/>
        <w:t>Publication et diffusion des offres d’emploi peu centralisées, sans visibilité unifiée sur les postes ouverts.</w:t>
      </w:r>
    </w:p>
    <w:p>
      <w:pPr>
        <w:spacing w:after="40"/>
        <w:ind w:left="425" w:hanging="198"/>
      </w:pPr>
      <w:r>
        <w:rPr>
          <w:sz w:val="22"/>
        </w:rPr>
        <w:t>•</w:t>
        <w:tab/>
        <w:t>Réception des candidatures par messagerie électronique, rendant le classement et l’archivage fastidieux.</w:t>
      </w:r>
    </w:p>
    <w:p>
      <w:pPr>
        <w:spacing w:after="40"/>
        <w:ind w:left="425" w:hanging="198"/>
      </w:pPr>
      <w:r>
        <w:rPr>
          <w:sz w:val="22"/>
        </w:rPr>
        <w:t>•</w:t>
        <w:tab/>
        <w:t>Absence d’outil unique de suivi : perte d’information entre le RH et les managers sur l’avancement des dossiers.</w:t>
      </w:r>
    </w:p>
    <w:p>
      <w:pPr>
        <w:spacing w:after="40"/>
        <w:ind w:left="425" w:hanging="198"/>
      </w:pPr>
      <w:r>
        <w:rPr>
          <w:sz w:val="22"/>
        </w:rPr>
        <w:t>•</w:t>
        <w:tab/>
        <w:t>Planification des entretiens et collecte des feedbacks de manière informelle, sans traçabilité.</w:t>
      </w:r>
    </w:p>
    <w:p>
      <w:pPr>
        <w:spacing w:after="40"/>
        <w:ind w:left="425" w:hanging="198"/>
      </w:pPr>
      <w:r>
        <w:rPr>
          <w:sz w:val="22"/>
        </w:rPr>
        <w:t>•</w:t>
        <w:tab/>
        <w:t>Aucune notification automatique au candidat sur l’état d’avancement de sa candidature.</w:t>
      </w:r>
    </w:p>
    <w:p>
      <w:pPr>
        <w:spacing w:after="40"/>
        <w:ind w:left="425" w:hanging="198"/>
      </w:pPr>
      <w:r>
        <w:rPr>
          <w:sz w:val="22"/>
        </w:rPr>
        <w:t>•</w:t>
        <w:tab/>
        <w:t>Évaluation initiale entièrement manuelle des CV par les équipes RH, processus chronophage et non scalable.</w:t>
      </w:r>
    </w:p>
    <w:p>
      <w:pPr>
        <w:spacing w:after="80" w:before="0"/>
      </w:pPr>
      <w:r>
        <w:rPr>
          <w:b w:val="0"/>
          <w:i w:val="0"/>
          <w:sz w:val="22"/>
        </w:rPr>
      </w:r>
    </w:p>
    <w:p>
      <w:pPr>
        <w:pStyle w:val="Heading1"/>
        <w:pageBreakBefore/>
      </w:pPr>
      <w:r>
        <w:t>2. Problématique et objectifs</w:t>
      </w:r>
    </w:p>
    <w:p>
      <w:pPr>
        <w:pStyle w:val="Heading2"/>
      </w:pPr>
      <w:r>
        <w:t>2.1 Problématique</w:t>
      </w:r>
    </w:p>
    <w:p>
      <w:pPr>
        <w:spacing w:after="80" w:before="0"/>
      </w:pPr>
      <w:r>
        <w:rPr>
          <w:b w:val="0"/>
          <w:i w:val="0"/>
          <w:sz w:val="22"/>
        </w:rPr>
        <w:t>De ces constats découle la problématique centrale du projet :</w:t>
      </w:r>
    </w:p>
    <w:p>
      <w:pPr>
        <w:spacing w:after="160" w:before="0"/>
      </w:pPr>
      <w:r>
        <w:rPr>
          <w:b/>
          <w:i w:val="0"/>
          <w:sz w:val="22"/>
        </w:rPr>
        <w:t>« Comment centraliser, sécuriser et automatiser l’ensemble du processus de recrutement — de la publication d’une offre jusqu’à la décision finale — tout en offrant une visibilité en temps réel à tous les acteurs concernés (Administrateur, RH, Manager et Candidat) ? »</w:t>
      </w:r>
    </w:p>
    <w:p>
      <w:pPr>
        <w:pStyle w:val="Heading2"/>
      </w:pPr>
      <w:r>
        <w:t>2.2 Objectif général</w:t>
      </w:r>
    </w:p>
    <w:p>
      <w:pPr>
        <w:spacing w:after="160" w:before="0"/>
      </w:pPr>
      <w:r>
        <w:rPr>
          <w:b w:val="0"/>
          <w:i w:val="0"/>
          <w:sz w:val="22"/>
        </w:rPr>
        <w:t>Concevoir et développer une plateforme web unique, sécurisée et intuitive couvrant l’intégralité du processus de recrutement interne de Sopra HR Software Tunisie.</w:t>
      </w:r>
    </w:p>
    <w:p>
      <w:pPr>
        <w:pStyle w:val="Heading2"/>
      </w:pPr>
      <w:r>
        <w:t>2.3 Objectifs spécifiques</w:t>
      </w:r>
    </w:p>
    <w:p>
      <w:pPr>
        <w:spacing w:after="40"/>
        <w:ind w:left="425" w:hanging="198"/>
      </w:pPr>
      <w:r>
        <w:rPr>
          <w:sz w:val="22"/>
        </w:rPr>
        <w:t>•</w:t>
        <w:tab/>
        <w:t>Centraliser dans une plateforme unique toutes les étapes du processus de recrutement, de la publication de l’offre à la décision finale.</w:t>
      </w:r>
    </w:p>
    <w:p>
      <w:pPr>
        <w:spacing w:after="40"/>
        <w:ind w:left="425" w:hanging="198"/>
      </w:pPr>
      <w:r>
        <w:rPr>
          <w:sz w:val="22"/>
        </w:rPr>
        <w:t>•</w:t>
        <w:tab/>
        <w:t>Mettre en place une gestion des rôles et des accès (Administrateur, RH, Manager, Candidat) garantissant que chaque acteur ne dispose que des fonctionnalités et de la visibilité de son périmètre.</w:t>
      </w:r>
    </w:p>
    <w:p>
      <w:pPr>
        <w:spacing w:after="40"/>
        <w:ind w:left="425" w:hanging="198"/>
      </w:pPr>
      <w:r>
        <w:rPr>
          <w:sz w:val="22"/>
        </w:rPr>
        <w:t>•</w:t>
        <w:tab/>
        <w:t>Sécuriser les accès et les échanges par un mécanisme d’authentification robuste par jeton JWT.</w:t>
      </w:r>
    </w:p>
    <w:p>
      <w:pPr>
        <w:spacing w:after="40"/>
        <w:ind w:left="425" w:hanging="198"/>
      </w:pPr>
      <w:r>
        <w:rPr>
          <w:sz w:val="22"/>
        </w:rPr>
        <w:t>•</w:t>
        <w:tab/>
        <w:t>Automatiser la pré-analyse des candidatures par un scoring assisté par intelligence artificielle, en laissant la décision finale aux équipes RH et aux managers.</w:t>
      </w:r>
    </w:p>
    <w:p>
      <w:pPr>
        <w:spacing w:after="40"/>
        <w:ind w:left="425" w:hanging="198"/>
      </w:pPr>
      <w:r>
        <w:rPr>
          <w:sz w:val="22"/>
        </w:rPr>
        <w:t>•</w:t>
        <w:tab/>
        <w:t>Automatiser la notification des acteurs (e-mails) à chaque étape clé du processus.</w:t>
      </w:r>
    </w:p>
    <w:p>
      <w:pPr>
        <w:spacing w:after="40"/>
        <w:ind w:left="425" w:hanging="198"/>
      </w:pPr>
      <w:r>
        <w:rPr>
          <w:sz w:val="22"/>
        </w:rPr>
        <w:t>•</w:t>
        <w:tab/>
        <w:t>Fournir aux équipes RH et aux managers des outils de pilotage (tableau Kanban, tableau de bord, indicateurs) permettant un suivi visuel en temps réel.</w:t>
      </w:r>
    </w:p>
    <w:p>
      <w:pPr>
        <w:spacing w:after="40"/>
        <w:ind w:left="425" w:hanging="198"/>
      </w:pPr>
      <w:r>
        <w:rPr>
          <w:sz w:val="22"/>
        </w:rPr>
        <w:t>•</w:t>
        <w:tab/>
        <w:t>Respecter les principes de protection des données personnelles et conserver un contrôle humain sur toute décision affectant un candidat.</w:t>
      </w:r>
    </w:p>
    <w:p>
      <w:pPr>
        <w:spacing w:after="80" w:before="0"/>
      </w:pPr>
      <w:r>
        <w:rPr>
          <w:b w:val="0"/>
          <w:i w:val="0"/>
          <w:sz w:val="22"/>
        </w:rPr>
      </w:r>
    </w:p>
    <w:p>
      <w:pPr>
        <w:pStyle w:val="Heading1"/>
        <w:pageBreakBefore/>
      </w:pPr>
      <w:r>
        <w:t>3. Périmètre fonctionnel</w:t>
      </w:r>
    </w:p>
    <w:p>
      <w:pPr>
        <w:pStyle w:val="Heading2"/>
      </w:pPr>
      <w:r>
        <w:t>3.1 Dans le périmètre du projet</w:t>
      </w:r>
    </w:p>
    <w:tbl>
      <w:tblPr>
        <w:tblW w:type="auto" w:w="0"/>
        <w:jc w:val="center"/>
        <w:tblLayout w:type="fixed"/>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60" w:type="dxa"/>
          <w:left w:w="100" w:type="dxa"/>
          <w:bottom w:w="60" w:type="dxa"/>
          <w:right w:w="100" w:type="dxa"/>
        </w:tblCellMar>
      </w:tblPr>
      <w:tblGrid>
        <w:gridCol w:w="2551"/>
        <w:gridCol w:w="6520"/>
      </w:tblGrid>
      <w:tr>
        <w:trPr>
          <w:tblHeader/>
        </w:trPr>
        <w:tc>
          <w:tcPr>
            <w:tcW w:type="dxa" w:w="2551"/>
            <w:shd w:val="clear" w:fill="E8EEF7"/>
          </w:tcPr>
          <w:p>
            <w:pPr>
              <w:spacing w:after="0"/>
            </w:pPr>
            <w:r/>
            <w:r>
              <w:rPr>
                <w:b/>
                <w:sz w:val="19"/>
              </w:rPr>
              <w:t>Domaine</w:t>
            </w:r>
          </w:p>
        </w:tc>
        <w:tc>
          <w:tcPr>
            <w:tcW w:type="dxa" w:w="6520"/>
            <w:shd w:val="clear" w:fill="E8EEF7"/>
          </w:tcPr>
          <w:p>
            <w:pPr>
              <w:spacing w:after="0"/>
            </w:pPr>
            <w:r/>
            <w:r>
              <w:rPr>
                <w:b/>
                <w:sz w:val="19"/>
              </w:rPr>
              <w:t>Contenu couvert</w:t>
            </w:r>
          </w:p>
        </w:tc>
      </w:tr>
      <w:tr>
        <w:tc>
          <w:tcPr>
            <w:tcW w:type="dxa" w:w="2551"/>
          </w:tcPr>
          <w:p>
            <w:pPr>
              <w:spacing w:after="0"/>
            </w:pPr>
            <w:r>
              <w:rPr>
                <w:sz w:val="19"/>
              </w:rPr>
              <w:t>Authentification et sécurité</w:t>
            </w:r>
          </w:p>
        </w:tc>
        <w:tc>
          <w:tcPr>
            <w:tcW w:type="dxa" w:w="6520"/>
          </w:tcPr>
          <w:p>
            <w:pPr>
              <w:spacing w:after="0"/>
            </w:pPr>
            <w:r>
              <w:rPr>
                <w:sz w:val="19"/>
              </w:rPr>
              <w:t>Inscription, connexion, sessions JWT, gestion des rôles (RBAC), cloisonnement des données par périmètre.</w:t>
            </w:r>
          </w:p>
        </w:tc>
      </w:tr>
      <w:tr>
        <w:tc>
          <w:tcPr>
            <w:tcW w:type="dxa" w:w="2551"/>
          </w:tcPr>
          <w:p>
            <w:pPr>
              <w:spacing w:after="0"/>
            </w:pPr>
            <w:r>
              <w:rPr>
                <w:sz w:val="19"/>
              </w:rPr>
              <w:t>Offres d’emploi</w:t>
            </w:r>
          </w:p>
        </w:tc>
        <w:tc>
          <w:tcPr>
            <w:tcW w:type="dxa" w:w="6520"/>
          </w:tcPr>
          <w:p>
            <w:pPr>
              <w:spacing w:after="0"/>
            </w:pPr>
            <w:r>
              <w:rPr>
                <w:sz w:val="19"/>
              </w:rPr>
              <w:t>Création, modification, publication, clôture et expiration automatique des offres.</w:t>
            </w:r>
          </w:p>
        </w:tc>
      </w:tr>
      <w:tr>
        <w:tc>
          <w:tcPr>
            <w:tcW w:type="dxa" w:w="2551"/>
          </w:tcPr>
          <w:p>
            <w:pPr>
              <w:spacing w:after="0"/>
            </w:pPr>
            <w:r>
              <w:rPr>
                <w:sz w:val="19"/>
              </w:rPr>
              <w:t>Candidatures</w:t>
            </w:r>
          </w:p>
        </w:tc>
        <w:tc>
          <w:tcPr>
            <w:tcW w:type="dxa" w:w="6520"/>
          </w:tcPr>
          <w:p>
            <w:pPr>
              <w:spacing w:after="0"/>
            </w:pPr>
            <w:r>
              <w:rPr>
                <w:sz w:val="19"/>
              </w:rPr>
              <w:t>Dépôt du CV, consultation, filtrage, suivi d’avancement, retrait en libre-service.</w:t>
            </w:r>
          </w:p>
        </w:tc>
      </w:tr>
      <w:tr>
        <w:tc>
          <w:tcPr>
            <w:tcW w:type="dxa" w:w="2551"/>
          </w:tcPr>
          <w:p>
            <w:pPr>
              <w:spacing w:after="0"/>
            </w:pPr>
            <w:r>
              <w:rPr>
                <w:sz w:val="19"/>
              </w:rPr>
              <w:t>Intelligence artificielle</w:t>
            </w:r>
          </w:p>
        </w:tc>
        <w:tc>
          <w:tcPr>
            <w:tcW w:type="dxa" w:w="6520"/>
          </w:tcPr>
          <w:p>
            <w:pPr>
              <w:spacing w:after="0"/>
            </w:pPr>
            <w:r>
              <w:rPr>
                <w:sz w:val="19"/>
              </w:rPr>
              <w:t>Scoring automatique des CV (API de Cohere), paramétrage des pondérations, mode dégradé, « Job idéal » (matching inverse), chatbot candidat (API OpenRouter).</w:t>
            </w:r>
          </w:p>
        </w:tc>
      </w:tr>
      <w:tr>
        <w:tc>
          <w:tcPr>
            <w:tcW w:type="dxa" w:w="2551"/>
          </w:tcPr>
          <w:p>
            <w:pPr>
              <w:spacing w:after="0"/>
            </w:pPr>
            <w:r>
              <w:rPr>
                <w:sz w:val="19"/>
              </w:rPr>
              <w:t>Processus de sélection</w:t>
            </w:r>
          </w:p>
        </w:tc>
        <w:tc>
          <w:tcPr>
            <w:tcW w:type="dxa" w:w="6520"/>
          </w:tcPr>
          <w:p>
            <w:pPr>
              <w:spacing w:after="0"/>
            </w:pPr>
            <w:r>
              <w:rPr>
                <w:sz w:val="19"/>
              </w:rPr>
              <w:t>Entretien téléphonique RH, test technique, entretiens planifiés (Google Meet), feedbacks, décision finale.</w:t>
            </w:r>
          </w:p>
        </w:tc>
      </w:tr>
      <w:tr>
        <w:tc>
          <w:tcPr>
            <w:tcW w:type="dxa" w:w="2551"/>
          </w:tcPr>
          <w:p>
            <w:pPr>
              <w:spacing w:after="0"/>
            </w:pPr>
            <w:r>
              <w:rPr>
                <w:sz w:val="19"/>
              </w:rPr>
              <w:t>Pilotage</w:t>
            </w:r>
          </w:p>
        </w:tc>
        <w:tc>
          <w:tcPr>
            <w:tcW w:type="dxa" w:w="6520"/>
          </w:tcPr>
          <w:p>
            <w:pPr>
              <w:spacing w:after="0"/>
            </w:pPr>
            <w:r>
              <w:rPr>
                <w:sz w:val="19"/>
              </w:rPr>
              <w:t>Tableau de bord, pipeline Kanban, calendrier manager, journal d’audit.</w:t>
            </w:r>
          </w:p>
        </w:tc>
      </w:tr>
      <w:tr>
        <w:tc>
          <w:tcPr>
            <w:tcW w:type="dxa" w:w="2551"/>
          </w:tcPr>
          <w:p>
            <w:pPr>
              <w:spacing w:after="0"/>
            </w:pPr>
            <w:r>
              <w:rPr>
                <w:sz w:val="19"/>
              </w:rPr>
              <w:t>Automatisation</w:t>
            </w:r>
          </w:p>
        </w:tc>
        <w:tc>
          <w:tcPr>
            <w:tcW w:type="dxa" w:w="6520"/>
          </w:tcPr>
          <w:p>
            <w:pPr>
              <w:spacing w:after="0"/>
            </w:pPr>
            <w:r>
              <w:rPr>
                <w:sz w:val="19"/>
              </w:rPr>
              <w:t>Agents n8n (CV Parser, RH Manager, Interview Manager) et notifications e-mail.</w:t>
            </w:r>
          </w:p>
        </w:tc>
      </w:tr>
    </w:tbl>
    <w:p>
      <w:pPr>
        <w:spacing w:after="200" w:before="0"/>
      </w:pPr>
      <w:r>
        <w:rPr>
          <w:b w:val="0"/>
          <w:i/>
          <w:sz w:val="20"/>
        </w:rPr>
        <w:t>Tableau 1 : Périmètre fonctionnel couvert par JOB4YOU.</w:t>
      </w:r>
    </w:p>
    <w:p>
      <w:pPr>
        <w:pStyle w:val="Heading2"/>
      </w:pPr>
      <w:r>
        <w:t>3.2 Hors périmètre</w:t>
      </w:r>
    </w:p>
    <w:p>
      <w:pPr>
        <w:spacing w:after="40"/>
        <w:ind w:left="425" w:hanging="198"/>
      </w:pPr>
      <w:r>
        <w:rPr>
          <w:sz w:val="22"/>
        </w:rPr>
        <w:t>•</w:t>
        <w:tab/>
        <w:t>Le traitement de la paie et de la gestion administrative du personnel, traités par les autres modules de Sopra HR Software.</w:t>
      </w:r>
    </w:p>
    <w:p>
      <w:pPr>
        <w:spacing w:after="40"/>
        <w:ind w:left="425" w:hanging="198"/>
      </w:pPr>
      <w:r>
        <w:rPr>
          <w:sz w:val="22"/>
        </w:rPr>
        <w:t>•</w:t>
        <w:tab/>
        <w:t>L’intégration avec des plateformes d’emploi externes (LinkedIn, Indeed), identifiée comme perspective d’évolution.</w:t>
      </w:r>
    </w:p>
    <w:p>
      <w:pPr>
        <w:spacing w:after="40"/>
        <w:ind w:left="425" w:hanging="198"/>
      </w:pPr>
      <w:r>
        <w:rPr>
          <w:sz w:val="22"/>
        </w:rPr>
        <w:t>•</w:t>
        <w:tab/>
        <w:t>La signature électronique de contrat et le traitement administratif d’embauche.</w:t>
      </w:r>
    </w:p>
    <w:p>
      <w:pPr>
        <w:spacing w:after="40"/>
        <w:ind w:left="425" w:hanging="198"/>
      </w:pPr>
      <w:r>
        <w:rPr>
          <w:sz w:val="22"/>
        </w:rPr>
        <w:t>•</w:t>
        <w:tab/>
        <w:t>Une application mobile native : l’interface est responsive et utilisable sur tablette.</w:t>
      </w:r>
    </w:p>
    <w:p>
      <w:pPr>
        <w:spacing w:after="80" w:before="0"/>
      </w:pPr>
      <w:r>
        <w:rPr>
          <w:b w:val="0"/>
          <w:i w:val="0"/>
          <w:sz w:val="22"/>
        </w:rPr>
      </w:r>
    </w:p>
    <w:p>
      <w:pPr>
        <w:pStyle w:val="Heading1"/>
        <w:pageBreakBefore/>
      </w:pPr>
      <w:r>
        <w:t>4. Acteurs du système</w:t>
      </w:r>
    </w:p>
    <w:p>
      <w:pPr>
        <w:pStyle w:val="Heading2"/>
      </w:pPr>
      <w:r>
        <w:t>4.1 Description des acteurs</w:t>
      </w:r>
    </w:p>
    <w:tbl>
      <w:tblPr>
        <w:tblW w:type="auto" w:w="0"/>
        <w:jc w:val="center"/>
        <w:tblLayout w:type="fixed"/>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60" w:type="dxa"/>
          <w:left w:w="100" w:type="dxa"/>
          <w:bottom w:w="60" w:type="dxa"/>
          <w:right w:w="100" w:type="dxa"/>
        </w:tblCellMar>
      </w:tblPr>
      <w:tblGrid>
        <w:gridCol w:w="1814"/>
        <w:gridCol w:w="2438"/>
        <w:gridCol w:w="4819"/>
      </w:tblGrid>
      <w:tr>
        <w:trPr>
          <w:tblHeader/>
        </w:trPr>
        <w:tc>
          <w:tcPr>
            <w:tcW w:type="dxa" w:w="1814"/>
            <w:shd w:val="clear" w:fill="E8EEF7"/>
          </w:tcPr>
          <w:p>
            <w:pPr>
              <w:spacing w:after="0"/>
            </w:pPr>
            <w:r/>
            <w:r>
              <w:rPr>
                <w:b/>
                <w:sz w:val="19"/>
              </w:rPr>
              <w:t>Acteur</w:t>
            </w:r>
          </w:p>
        </w:tc>
        <w:tc>
          <w:tcPr>
            <w:tcW w:type="dxa" w:w="2438"/>
            <w:shd w:val="clear" w:fill="E8EEF7"/>
          </w:tcPr>
          <w:p>
            <w:pPr>
              <w:spacing w:after="0"/>
            </w:pPr>
            <w:r/>
            <w:r>
              <w:rPr>
                <w:b/>
                <w:sz w:val="19"/>
              </w:rPr>
              <w:t>Nature</w:t>
            </w:r>
          </w:p>
        </w:tc>
        <w:tc>
          <w:tcPr>
            <w:tcW w:type="dxa" w:w="4819"/>
            <w:shd w:val="clear" w:fill="E8EEF7"/>
          </w:tcPr>
          <w:p>
            <w:pPr>
              <w:spacing w:after="0"/>
            </w:pPr>
            <w:r/>
            <w:r>
              <w:rPr>
                <w:b/>
                <w:sz w:val="19"/>
              </w:rPr>
              <w:t>Rôle dans le processus</w:t>
            </w:r>
          </w:p>
        </w:tc>
      </w:tr>
      <w:tr>
        <w:tc>
          <w:tcPr>
            <w:tcW w:type="dxa" w:w="1814"/>
          </w:tcPr>
          <w:p>
            <w:pPr>
              <w:spacing w:after="0"/>
            </w:pPr>
            <w:r>
              <w:rPr>
                <w:sz w:val="19"/>
              </w:rPr>
              <w:t xml:space="preserve">Visiteur</w:t>
            </w:r>
          </w:p>
        </w:tc>
        <w:tc>
          <w:tcPr>
            <w:tcW w:type="dxa" w:w="2438"/>
          </w:tcPr>
          <w:p>
            <w:pPr>
              <w:spacing w:after="0"/>
            </w:pPr>
            <w:r>
              <w:rPr>
                <w:sz w:val="19"/>
              </w:rPr>
              <w:t xml:space="preserve">Utilisateur externe non authentifié</w:t>
            </w:r>
          </w:p>
        </w:tc>
        <w:tc>
          <w:tcPr>
            <w:tcW w:type="dxa" w:w="4819"/>
          </w:tcPr>
          <w:p>
            <w:pPr>
              <w:spacing w:after="0"/>
            </w:pPr>
            <w:r>
              <w:rPr>
                <w:sz w:val="19"/>
              </w:rPr>
              <w:t xml:space="preserve">Consulter et rechercher les offres publiées, consulter le détail d’une offre active et interroger l’assistant conversationnel ; l’authentification est exigée pour postuler.</w:t>
            </w:r>
          </w:p>
        </w:tc>
      </w:tr>
      <w:tr>
        <w:tc>
          <w:tcPr>
            <w:tcW w:type="dxa" w:w="1814"/>
          </w:tcPr>
          <w:p>
            <w:pPr>
              <w:spacing w:after="0"/>
            </w:pPr>
            <w:r>
              <w:rPr>
                <w:sz w:val="19"/>
              </w:rPr>
              <w:t>Candidat</w:t>
            </w:r>
          </w:p>
        </w:tc>
        <w:tc>
          <w:tcPr>
            <w:tcW w:type="dxa" w:w="2438"/>
          </w:tcPr>
          <w:p>
            <w:pPr>
              <w:spacing w:after="0"/>
            </w:pPr>
            <w:r>
              <w:rPr>
                <w:sz w:val="19"/>
              </w:rPr>
              <w:t>Utilisateur externe authentifié (compte candidat)</w:t>
            </w:r>
          </w:p>
        </w:tc>
        <w:tc>
          <w:tcPr>
            <w:tcW w:type="dxa" w:w="4819"/>
          </w:tcPr>
          <w:p>
            <w:pPr>
              <w:spacing w:after="0"/>
            </w:pPr>
            <w:r>
              <w:rPr>
                <w:sz w:val="19"/>
              </w:rPr>
              <w:t>Consulter et rechercher les offres, déposer une candidature avec son CV, suivre l’avancement de ses dossiers, retirer une candidature, utiliser l’assistant conversationnel.</w:t>
            </w:r>
          </w:p>
        </w:tc>
      </w:tr>
      <w:tr>
        <w:tc>
          <w:tcPr>
            <w:tcW w:type="dxa" w:w="1814"/>
          </w:tcPr>
          <w:p>
            <w:pPr>
              <w:spacing w:after="0"/>
            </w:pPr>
            <w:r>
              <w:rPr>
                <w:sz w:val="19"/>
              </w:rPr>
              <w:t>Responsable RH</w:t>
            </w:r>
          </w:p>
        </w:tc>
        <w:tc>
          <w:tcPr>
            <w:tcW w:type="dxa" w:w="2438"/>
          </w:tcPr>
          <w:p>
            <w:pPr>
              <w:spacing w:after="0"/>
            </w:pPr>
            <w:r>
              <w:rPr>
                <w:sz w:val="19"/>
              </w:rPr>
              <w:t>Acteur interne, acteur central du processus</w:t>
            </w:r>
          </w:p>
        </w:tc>
        <w:tc>
          <w:tcPr>
            <w:tcW w:type="dxa" w:w="4819"/>
          </w:tcPr>
          <w:p>
            <w:pPr>
              <w:spacing w:after="0"/>
            </w:pPr>
            <w:r>
              <w:rPr>
                <w:sz w:val="19"/>
              </w:rPr>
              <w:t>Publier et gérer les offres, examiner les candidatures, corriger les scores IA, conduire l’entretien téléphonique, planifier les entretiens, valider les feedbacks, prendre la décision finale, consulter le tableau de bord et l’audit.</w:t>
            </w:r>
          </w:p>
        </w:tc>
      </w:tr>
      <w:tr>
        <w:tc>
          <w:tcPr>
            <w:tcW w:type="dxa" w:w="1814"/>
          </w:tcPr>
          <w:p>
            <w:pPr>
              <w:spacing w:after="0"/>
            </w:pPr>
            <w:r>
              <w:rPr>
                <w:sz w:val="19"/>
              </w:rPr>
              <w:t>Manager</w:t>
            </w:r>
          </w:p>
        </w:tc>
        <w:tc>
          <w:tcPr>
            <w:tcW w:type="dxa" w:w="2438"/>
          </w:tcPr>
          <w:p>
            <w:pPr>
              <w:spacing w:after="0"/>
            </w:pPr>
            <w:r>
              <w:rPr>
                <w:sz w:val="19"/>
              </w:rPr>
              <w:t>Acteur interne, périmètre cloisonné</w:t>
            </w:r>
          </w:p>
        </w:tc>
        <w:tc>
          <w:tcPr>
            <w:tcW w:type="dxa" w:w="4819"/>
          </w:tcPr>
          <w:p>
            <w:pPr>
              <w:spacing w:after="0"/>
            </w:pPr>
            <w:r>
              <w:rPr>
                <w:sz w:val="19"/>
              </w:rPr>
              <w:t>Consulter les candidatures de son département, mener les entretiens, saisir un feedback structuré, prendre la décision finale sur son périmètre, consulter son calendrier.</w:t>
            </w:r>
          </w:p>
        </w:tc>
      </w:tr>
      <w:tr>
        <w:tc>
          <w:tcPr>
            <w:tcW w:type="dxa" w:w="1814"/>
          </w:tcPr>
          <w:p>
            <w:pPr>
              <w:spacing w:after="0"/>
            </w:pPr>
            <w:r>
              <w:rPr>
                <w:sz w:val="19"/>
              </w:rPr>
              <w:t>Administrateur</w:t>
            </w:r>
          </w:p>
        </w:tc>
        <w:tc>
          <w:tcPr>
            <w:tcW w:type="dxa" w:w="2438"/>
          </w:tcPr>
          <w:p>
            <w:pPr>
              <w:spacing w:after="0"/>
            </w:pPr>
            <w:r>
              <w:rPr>
                <w:sz w:val="19"/>
              </w:rPr>
              <w:t>Acteur transverse</w:t>
            </w:r>
          </w:p>
        </w:tc>
        <w:tc>
          <w:tcPr>
            <w:tcW w:type="dxa" w:w="4819"/>
          </w:tcPr>
          <w:p>
            <w:pPr>
              <w:spacing w:after="0"/>
            </w:pPr>
            <w:r>
              <w:rPr>
                <w:sz w:val="19"/>
              </w:rPr>
              <w:t>Gérer les comptes, les rôles et les rattachements, paramétrer le scoring IA par famille de métier, consulter le journal d’audit, superviser la plateforme.</w:t>
            </w:r>
          </w:p>
        </w:tc>
      </w:tr>
    </w:tbl>
    <w:p>
      <w:pPr>
        <w:spacing w:after="200" w:before="0"/>
      </w:pPr>
      <w:r>
        <w:rPr>
          <w:b w:val="0"/>
          <w:i/>
          <w:sz w:val="20"/>
        </w:rPr>
        <w:t>Tableau 2 : Description des acteurs de la plateforme.</w:t>
      </w:r>
    </w:p>
    <w:p>
      <w:pPr>
        <w:pStyle w:val="Heading2"/>
      </w:pPr>
      <w:r>
        <w:t>4.2 Matrice des responsabilités</w:t>
      </w:r>
    </w:p>
    <w:tbl>
      <w:tblPr>
        <w:tblW w:type="auto" w:w="0"/>
        <w:jc w:val="center"/>
        <w:tblLayout w:type="fixed"/>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60" w:type="dxa"/>
          <w:left w:w="100" w:type="dxa"/>
          <w:bottom w:w="60" w:type="dxa"/>
          <w:right w:w="100" w:type="dxa"/>
        </w:tblCellMar>
      </w:tblPr>
      <w:tblGrid>
        <w:gridCol w:w="3628"/>
        <w:gridCol w:w="1361"/>
        <w:gridCol w:w="1474"/>
        <w:gridCol w:w="1587"/>
        <w:gridCol w:w="1134"/>
      </w:tblGrid>
      <w:tr>
        <w:trPr>
          <w:tblHeader/>
        </w:trPr>
        <w:tc>
          <w:tcPr>
            <w:tcW w:type="dxa" w:w="3628"/>
            <w:shd w:val="clear" w:fill="E8EEF7"/>
          </w:tcPr>
          <w:p>
            <w:pPr>
              <w:spacing w:after="0"/>
            </w:pPr>
            <w:r/>
            <w:r>
              <w:rPr>
                <w:b/>
                <w:sz w:val="19"/>
              </w:rPr>
              <w:t>Action</w:t>
            </w:r>
          </w:p>
        </w:tc>
        <w:tc>
          <w:tcPr>
            <w:tcW w:type="dxa" w:w="1361"/>
            <w:shd w:val="clear" w:fill="E8EEF7"/>
          </w:tcPr>
          <w:p>
            <w:pPr>
              <w:spacing w:after="0"/>
            </w:pPr>
            <w:r/>
            <w:r>
              <w:rPr>
                <w:b/>
                <w:sz w:val="19"/>
              </w:rPr>
              <w:t>RH</w:t>
            </w:r>
          </w:p>
        </w:tc>
        <w:tc>
          <w:tcPr>
            <w:tcW w:type="dxa" w:w="1474"/>
            <w:shd w:val="clear" w:fill="E8EEF7"/>
          </w:tcPr>
          <w:p>
            <w:pPr>
              <w:spacing w:after="0"/>
            </w:pPr>
            <w:r/>
            <w:r>
              <w:rPr>
                <w:b/>
                <w:sz w:val="19"/>
              </w:rPr>
              <w:t>Manager</w:t>
            </w:r>
          </w:p>
        </w:tc>
        <w:tc>
          <w:tcPr>
            <w:tcW w:type="dxa" w:w="1587"/>
            <w:shd w:val="clear" w:fill="E8EEF7"/>
          </w:tcPr>
          <w:p>
            <w:pPr>
              <w:spacing w:after="0"/>
            </w:pPr>
            <w:r/>
            <w:r>
              <w:rPr>
                <w:b/>
                <w:sz w:val="19"/>
              </w:rPr>
              <w:t>Administrateur</w:t>
            </w:r>
          </w:p>
        </w:tc>
        <w:tc>
          <w:tcPr>
            <w:tcW w:type="dxa" w:w="1134"/>
            <w:shd w:val="clear" w:fill="E8EEF7"/>
          </w:tcPr>
          <w:p>
            <w:pPr>
              <w:spacing w:after="0"/>
            </w:pPr>
            <w:r/>
            <w:r>
              <w:rPr>
                <w:b/>
                <w:sz w:val="19"/>
              </w:rPr>
              <w:t>Candidat</w:t>
            </w:r>
          </w:p>
        </w:tc>
      </w:tr>
      <w:tr>
        <w:tc>
          <w:tcPr>
            <w:tcW w:type="dxa" w:w="3628"/>
          </w:tcPr>
          <w:p>
            <w:pPr>
              <w:spacing w:after="0"/>
            </w:pPr>
            <w:r>
              <w:rPr>
                <w:sz w:val="19"/>
              </w:rPr>
              <w:t>Publier / gérer une offre d’emploi</w:t>
            </w:r>
          </w:p>
        </w:tc>
        <w:tc>
          <w:tcPr>
            <w:tcW w:type="dxa" w:w="1361"/>
          </w:tcPr>
          <w:p>
            <w:pPr>
              <w:spacing w:after="0"/>
            </w:pPr>
            <w:r>
              <w:rPr>
                <w:sz w:val="19"/>
              </w:rPr>
              <w:t>Oui</w:t>
            </w:r>
          </w:p>
        </w:tc>
        <w:tc>
          <w:tcPr>
            <w:tcW w:type="dxa" w:w="1474"/>
          </w:tcPr>
          <w:p>
            <w:pPr>
              <w:spacing w:after="0"/>
            </w:pPr>
            <w:r>
              <w:rPr>
                <w:sz w:val="19"/>
              </w:rPr>
              <w:t>Non</w:t>
            </w:r>
          </w:p>
        </w:tc>
        <w:tc>
          <w:tcPr>
            <w:tcW w:type="dxa" w:w="1587"/>
          </w:tcPr>
          <w:p>
            <w:pPr>
              <w:spacing w:after="0"/>
            </w:pPr>
            <w:r>
              <w:rPr>
                <w:sz w:val="19"/>
              </w:rPr>
              <w:t>Oui</w:t>
            </w:r>
          </w:p>
        </w:tc>
        <w:tc>
          <w:tcPr>
            <w:tcW w:type="dxa" w:w="1134"/>
          </w:tcPr>
          <w:p>
            <w:pPr>
              <w:spacing w:after="0"/>
            </w:pPr>
            <w:r>
              <w:rPr>
                <w:sz w:val="19"/>
              </w:rPr>
              <w:t>Non</w:t>
            </w:r>
          </w:p>
        </w:tc>
      </w:tr>
      <w:tr>
        <w:tc>
          <w:tcPr>
            <w:tcW w:type="dxa" w:w="3628"/>
          </w:tcPr>
          <w:p>
            <w:pPr>
              <w:spacing w:after="0"/>
            </w:pPr>
            <w:r>
              <w:rPr>
                <w:sz w:val="19"/>
              </w:rPr>
              <w:t>Valider un CV (passage à CV_REVIEWED)</w:t>
            </w:r>
          </w:p>
        </w:tc>
        <w:tc>
          <w:tcPr>
            <w:tcW w:type="dxa" w:w="1361"/>
          </w:tcPr>
          <w:p>
            <w:pPr>
              <w:spacing w:after="0"/>
            </w:pPr>
            <w:r>
              <w:rPr>
                <w:sz w:val="19"/>
              </w:rPr>
              <w:t>Oui</w:t>
            </w:r>
          </w:p>
        </w:tc>
        <w:tc>
          <w:tcPr>
            <w:tcW w:type="dxa" w:w="1474"/>
          </w:tcPr>
          <w:p>
            <w:pPr>
              <w:spacing w:after="0"/>
            </w:pPr>
            <w:r>
              <w:rPr>
                <w:sz w:val="19"/>
              </w:rPr>
              <w:t>Non</w:t>
            </w:r>
          </w:p>
        </w:tc>
        <w:tc>
          <w:tcPr>
            <w:tcW w:type="dxa" w:w="1587"/>
          </w:tcPr>
          <w:p>
            <w:pPr>
              <w:spacing w:after="0"/>
            </w:pPr>
            <w:r>
              <w:rPr>
                <w:sz w:val="19"/>
              </w:rPr>
              <w:t>Oui</w:t>
            </w:r>
          </w:p>
        </w:tc>
        <w:tc>
          <w:tcPr>
            <w:tcW w:type="dxa" w:w="1134"/>
          </w:tcPr>
          <w:p>
            <w:pPr>
              <w:spacing w:after="0"/>
            </w:pPr>
            <w:r>
              <w:rPr>
                <w:sz w:val="19"/>
              </w:rPr>
              <w:t>Non</w:t>
            </w:r>
          </w:p>
        </w:tc>
      </w:tr>
      <w:tr>
        <w:tc>
          <w:tcPr>
            <w:tcW w:type="dxa" w:w="3628"/>
          </w:tcPr>
          <w:p>
            <w:pPr>
              <w:spacing w:after="0"/>
            </w:pPr>
            <w:r>
              <w:rPr>
                <w:sz w:val="19"/>
              </w:rPr>
              <w:t>Planifier un entretien</w:t>
            </w:r>
          </w:p>
        </w:tc>
        <w:tc>
          <w:tcPr>
            <w:tcW w:type="dxa" w:w="1361"/>
          </w:tcPr>
          <w:p>
            <w:pPr>
              <w:spacing w:after="0"/>
            </w:pPr>
            <w:r>
              <w:rPr>
                <w:sz w:val="19"/>
              </w:rPr>
              <w:t>Oui</w:t>
            </w:r>
          </w:p>
        </w:tc>
        <w:tc>
          <w:tcPr>
            <w:tcW w:type="dxa" w:w="1474"/>
          </w:tcPr>
          <w:p>
            <w:pPr>
              <w:spacing w:after="0"/>
            </w:pPr>
            <w:r>
              <w:rPr>
                <w:sz w:val="19"/>
              </w:rPr>
              <w:t>Oui (son périmètre)</w:t>
            </w:r>
          </w:p>
        </w:tc>
        <w:tc>
          <w:tcPr>
            <w:tcW w:type="dxa" w:w="1587"/>
          </w:tcPr>
          <w:p>
            <w:pPr>
              <w:spacing w:after="0"/>
            </w:pPr>
            <w:r>
              <w:rPr>
                <w:sz w:val="19"/>
              </w:rPr>
              <w:t>Oui</w:t>
            </w:r>
          </w:p>
        </w:tc>
        <w:tc>
          <w:tcPr>
            <w:tcW w:type="dxa" w:w="1134"/>
          </w:tcPr>
          <w:p>
            <w:pPr>
              <w:spacing w:after="0"/>
            </w:pPr>
            <w:r>
              <w:rPr>
                <w:sz w:val="19"/>
              </w:rPr>
              <w:t>Non</w:t>
            </w:r>
          </w:p>
        </w:tc>
      </w:tr>
      <w:tr>
        <w:tc>
          <w:tcPr>
            <w:tcW w:type="dxa" w:w="3628"/>
          </w:tcPr>
          <w:p>
            <w:pPr>
              <w:spacing w:after="0"/>
            </w:pPr>
            <w:r>
              <w:rPr>
                <w:sz w:val="19"/>
              </w:rPr>
              <w:t xml:space="preserve">Saisir un feedback</w:t>
            </w:r>
          </w:p>
        </w:tc>
        <w:tc>
          <w:tcPr>
            <w:tcW w:type="dxa" w:w="1361"/>
          </w:tcPr>
          <w:p>
            <w:pPr>
              <w:spacing w:after="0"/>
            </w:pPr>
            <w:r>
              <w:rPr>
                <w:sz w:val="19"/>
              </w:rPr>
              <w:t xml:space="preserve">Oui</w:t>
            </w:r>
          </w:p>
        </w:tc>
        <w:tc>
          <w:tcPr>
            <w:tcW w:type="dxa" w:w="1474"/>
          </w:tcPr>
          <w:p>
            <w:pPr>
              <w:spacing w:after="0"/>
            </w:pPr>
            <w:r>
              <w:rPr>
                <w:sz w:val="19"/>
              </w:rPr>
              <w:t xml:space="preserve">Oui (son périmètre)</w:t>
            </w:r>
          </w:p>
        </w:tc>
        <w:tc>
          <w:tcPr>
            <w:tcW w:type="dxa" w:w="1587"/>
          </w:tcPr>
          <w:p>
            <w:pPr>
              <w:spacing w:after="0"/>
            </w:pPr>
            <w:r>
              <w:rPr>
                <w:sz w:val="19"/>
              </w:rPr>
              <w:t xml:space="preserve">Oui</w:t>
            </w:r>
          </w:p>
        </w:tc>
        <w:tc>
          <w:tcPr>
            <w:tcW w:type="dxa" w:w="1134"/>
          </w:tcPr>
          <w:p>
            <w:pPr>
              <w:spacing w:after="0"/>
            </w:pPr>
            <w:r>
              <w:rPr>
                <w:sz w:val="19"/>
              </w:rPr>
              <w:t xml:space="preserve">Non</w:t>
            </w:r>
          </w:p>
        </w:tc>
      </w:tr>
      <w:tr>
        <w:tc>
          <w:tcPr>
            <w:tcW w:type="dxa" w:w="3628"/>
          </w:tcPr>
          <w:p>
            <w:pPr>
              <w:spacing w:after="0"/>
            </w:pPr>
            <w:r>
              <w:rPr>
                <w:sz w:val="19"/>
              </w:rPr>
              <w:t xml:space="preserve">Valider et transmettre un feedback au candidat</w:t>
            </w:r>
          </w:p>
        </w:tc>
        <w:tc>
          <w:tcPr>
            <w:tcW w:type="dxa" w:w="1361"/>
          </w:tcPr>
          <w:p>
            <w:pPr>
              <w:spacing w:after="0"/>
            </w:pPr>
            <w:r>
              <w:rPr>
                <w:sz w:val="19"/>
              </w:rPr>
              <w:t xml:space="preserve">Oui</w:t>
            </w:r>
          </w:p>
        </w:tc>
        <w:tc>
          <w:tcPr>
            <w:tcW w:type="dxa" w:w="1474"/>
          </w:tcPr>
          <w:p>
            <w:pPr>
              <w:spacing w:after="0"/>
            </w:pPr>
            <w:r>
              <w:rPr>
                <w:sz w:val="19"/>
              </w:rPr>
              <w:t xml:space="preserve">Non</w:t>
            </w:r>
          </w:p>
        </w:tc>
        <w:tc>
          <w:tcPr>
            <w:tcW w:type="dxa" w:w="1587"/>
          </w:tcPr>
          <w:p>
            <w:pPr>
              <w:spacing w:after="0"/>
            </w:pPr>
            <w:r>
              <w:rPr>
                <w:sz w:val="19"/>
              </w:rPr>
              <w:t xml:space="preserve">Oui</w:t>
            </w:r>
          </w:p>
        </w:tc>
        <w:tc>
          <w:tcPr>
            <w:tcW w:type="dxa" w:w="1134"/>
          </w:tcPr>
          <w:p>
            <w:pPr>
              <w:spacing w:after="0"/>
            </w:pPr>
            <w:r>
              <w:rPr>
                <w:sz w:val="19"/>
              </w:rPr>
              <w:t xml:space="preserve">Non</w:t>
            </w:r>
          </w:p>
        </w:tc>
      </w:tr>
      <w:tr>
        <w:tc>
          <w:tcPr>
            <w:tcW w:type="dxa" w:w="3628"/>
          </w:tcPr>
          <w:p>
            <w:pPr>
              <w:spacing w:after="0"/>
            </w:pPr>
            <w:r>
              <w:rPr>
                <w:sz w:val="19"/>
              </w:rPr>
              <w:t>Décision finale (acceptation / refus)</w:t>
            </w:r>
          </w:p>
        </w:tc>
        <w:tc>
          <w:tcPr>
            <w:tcW w:type="dxa" w:w="1361"/>
          </w:tcPr>
          <w:p>
            <w:pPr>
              <w:spacing w:after="0"/>
            </w:pPr>
            <w:r>
              <w:rPr>
                <w:sz w:val="19"/>
              </w:rPr>
              <w:t>Oui</w:t>
            </w:r>
          </w:p>
        </w:tc>
        <w:tc>
          <w:tcPr>
            <w:tcW w:type="dxa" w:w="1474"/>
          </w:tcPr>
          <w:p>
            <w:pPr>
              <w:spacing w:after="0"/>
            </w:pPr>
            <w:r>
              <w:rPr>
                <w:sz w:val="19"/>
              </w:rPr>
              <w:t>Oui (son périmètre)</w:t>
            </w:r>
          </w:p>
        </w:tc>
        <w:tc>
          <w:tcPr>
            <w:tcW w:type="dxa" w:w="1587"/>
          </w:tcPr>
          <w:p>
            <w:pPr>
              <w:spacing w:after="0"/>
            </w:pPr>
            <w:r>
              <w:rPr>
                <w:sz w:val="19"/>
              </w:rPr>
              <w:t>Oui</w:t>
            </w:r>
          </w:p>
        </w:tc>
        <w:tc>
          <w:tcPr>
            <w:tcW w:type="dxa" w:w="1134"/>
          </w:tcPr>
          <w:p>
            <w:pPr>
              <w:spacing w:after="0"/>
            </w:pPr>
            <w:r>
              <w:rPr>
                <w:sz w:val="19"/>
              </w:rPr>
              <w:t>Non</w:t>
            </w:r>
          </w:p>
        </w:tc>
      </w:tr>
      <w:tr>
        <w:tc>
          <w:tcPr>
            <w:tcW w:type="dxa" w:w="3628"/>
          </w:tcPr>
          <w:p>
            <w:pPr>
              <w:spacing w:after="0"/>
            </w:pPr>
            <w:r>
              <w:rPr>
                <w:sz w:val="19"/>
              </w:rPr>
              <w:t>Gérer les utilisateurs et les rôles</w:t>
            </w:r>
          </w:p>
        </w:tc>
        <w:tc>
          <w:tcPr>
            <w:tcW w:type="dxa" w:w="1361"/>
          </w:tcPr>
          <w:p>
            <w:pPr>
              <w:spacing w:after="0"/>
            </w:pPr>
            <w:r>
              <w:rPr>
                <w:sz w:val="19"/>
              </w:rPr>
              <w:t>Non</w:t>
            </w:r>
          </w:p>
        </w:tc>
        <w:tc>
          <w:tcPr>
            <w:tcW w:type="dxa" w:w="1474"/>
          </w:tcPr>
          <w:p>
            <w:pPr>
              <w:spacing w:after="0"/>
            </w:pPr>
            <w:r>
              <w:rPr>
                <w:sz w:val="19"/>
              </w:rPr>
              <w:t>Non</w:t>
            </w:r>
          </w:p>
        </w:tc>
        <w:tc>
          <w:tcPr>
            <w:tcW w:type="dxa" w:w="1587"/>
          </w:tcPr>
          <w:p>
            <w:pPr>
              <w:spacing w:after="0"/>
            </w:pPr>
            <w:r>
              <w:rPr>
                <w:sz w:val="19"/>
              </w:rPr>
              <w:t>Oui</w:t>
            </w:r>
          </w:p>
        </w:tc>
        <w:tc>
          <w:tcPr>
            <w:tcW w:type="dxa" w:w="1134"/>
          </w:tcPr>
          <w:p>
            <w:pPr>
              <w:spacing w:after="0"/>
            </w:pPr>
            <w:r>
              <w:rPr>
                <w:sz w:val="19"/>
              </w:rPr>
              <w:t>Non</w:t>
            </w:r>
          </w:p>
        </w:tc>
      </w:tr>
      <w:tr>
        <w:tc>
          <w:tcPr>
            <w:tcW w:type="dxa" w:w="3628"/>
          </w:tcPr>
          <w:p>
            <w:pPr>
              <w:spacing w:after="0"/>
            </w:pPr>
            <w:r>
              <w:rPr>
                <w:sz w:val="19"/>
              </w:rPr>
              <w:t>Paramétrer le scoring IA</w:t>
            </w:r>
          </w:p>
        </w:tc>
        <w:tc>
          <w:tcPr>
            <w:tcW w:type="dxa" w:w="1361"/>
          </w:tcPr>
          <w:p>
            <w:pPr>
              <w:spacing w:after="0"/>
            </w:pPr>
            <w:r>
              <w:rPr>
                <w:sz w:val="19"/>
              </w:rPr>
              <w:t>Non</w:t>
            </w:r>
          </w:p>
        </w:tc>
        <w:tc>
          <w:tcPr>
            <w:tcW w:type="dxa" w:w="1474"/>
          </w:tcPr>
          <w:p>
            <w:pPr>
              <w:spacing w:after="0"/>
            </w:pPr>
            <w:r>
              <w:rPr>
                <w:sz w:val="19"/>
              </w:rPr>
              <w:t>Non</w:t>
            </w:r>
          </w:p>
        </w:tc>
        <w:tc>
          <w:tcPr>
            <w:tcW w:type="dxa" w:w="1587"/>
          </w:tcPr>
          <w:p>
            <w:pPr>
              <w:spacing w:after="0"/>
            </w:pPr>
            <w:r>
              <w:rPr>
                <w:sz w:val="19"/>
              </w:rPr>
              <w:t>Oui</w:t>
            </w:r>
          </w:p>
        </w:tc>
        <w:tc>
          <w:tcPr>
            <w:tcW w:type="dxa" w:w="1134"/>
          </w:tcPr>
          <w:p>
            <w:pPr>
              <w:spacing w:after="0"/>
            </w:pPr>
            <w:r>
              <w:rPr>
                <w:sz w:val="19"/>
              </w:rPr>
              <w:t>Non</w:t>
            </w:r>
          </w:p>
        </w:tc>
      </w:tr>
      <w:tr>
        <w:tc>
          <w:tcPr>
            <w:tcW w:type="dxa" w:w="3628"/>
          </w:tcPr>
          <w:p>
            <w:pPr>
              <w:spacing w:after="0"/>
            </w:pPr>
            <w:r>
              <w:rPr>
                <w:sz w:val="19"/>
              </w:rPr>
              <w:t>Consulter le journal d’audit</w:t>
            </w:r>
          </w:p>
        </w:tc>
        <w:tc>
          <w:tcPr>
            <w:tcW w:type="dxa" w:w="1361"/>
          </w:tcPr>
          <w:p>
            <w:pPr>
              <w:spacing w:after="0"/>
            </w:pPr>
            <w:r>
              <w:rPr>
                <w:sz w:val="19"/>
              </w:rPr>
              <w:t>Oui</w:t>
            </w:r>
          </w:p>
        </w:tc>
        <w:tc>
          <w:tcPr>
            <w:tcW w:type="dxa" w:w="1474"/>
          </w:tcPr>
          <w:p>
            <w:pPr>
              <w:spacing w:after="0"/>
            </w:pPr>
            <w:r>
              <w:rPr>
                <w:sz w:val="19"/>
              </w:rPr>
              <w:t>Non</w:t>
            </w:r>
          </w:p>
        </w:tc>
        <w:tc>
          <w:tcPr>
            <w:tcW w:type="dxa" w:w="1587"/>
          </w:tcPr>
          <w:p>
            <w:pPr>
              <w:spacing w:after="0"/>
            </w:pPr>
            <w:r>
              <w:rPr>
                <w:sz w:val="19"/>
              </w:rPr>
              <w:t>Oui</w:t>
            </w:r>
          </w:p>
        </w:tc>
        <w:tc>
          <w:tcPr>
            <w:tcW w:type="dxa" w:w="1134"/>
          </w:tcPr>
          <w:p>
            <w:pPr>
              <w:spacing w:after="0"/>
            </w:pPr>
            <w:r>
              <w:rPr>
                <w:sz w:val="19"/>
              </w:rPr>
              <w:t>Non</w:t>
            </w:r>
          </w:p>
        </w:tc>
      </w:tr>
    </w:tbl>
    <w:p>
      <w:pPr>
        <w:spacing w:after="200" w:before="0"/>
      </w:pPr>
      <w:r>
        <w:rPr>
          <w:b w:val="0"/>
          <w:i/>
          <w:sz w:val="20"/>
        </w:rPr>
        <w:t>Tableau 3 : Matrice des responsabilités par rôle (implémentée côté back-end).</w:t>
      </w:r>
    </w:p>
    <w:p>
      <w:pPr>
        <w:spacing w:after="160" w:before="0"/>
      </w:pPr>
      <w:r>
        <w:rPr>
          <w:b w:val="0"/>
          <w:i w:val="0"/>
          <w:sz w:val="22"/>
        </w:rPr>
        <w:t>Le RH et l’Administrateur disposent d’un droit de décision qui recouvre celui du Manager, afin de pouvoir débloquer un dossier en l’absence du manager concerné. Chaque décision reste tracée dans le journal d’audit, qui identifie l’auteur réel de l’action.</w:t>
      </w:r>
    </w:p>
    <w:p>
      <w:pPr>
        <w:pStyle w:val="Heading1"/>
        <w:pageBreakBefore/>
      </w:pPr>
      <w:r>
        <w:t>5. Besoins fonctionnels</w:t>
      </w:r>
    </w:p>
    <w:p>
      <w:pPr>
        <w:spacing w:after="160" w:before="0"/>
      </w:pPr>
      <w:r>
        <w:rPr>
          <w:b w:val="0"/>
          <w:i w:val="0"/>
          <w:sz w:val="22"/>
        </w:rPr>
        <w:t>Les besoins fonctionnels ont été recueillis à partir des entretiens avec l’encadrant entreprise et de l’observation du processus RH existant. Chacun est identifié par un identifiant stable (BF-xx) utilisé dans les spécifications, les maquettes et les tests.</w:t>
      </w:r>
    </w:p>
    <w:tbl>
      <w:tblPr>
        <w:tblW w:type="auto" w:w="0"/>
        <w:jc w:val="center"/>
        <w:tblLayout w:type="fixed"/>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60" w:type="dxa"/>
          <w:left w:w="100" w:type="dxa"/>
          <w:bottom w:w="60" w:type="dxa"/>
          <w:right w:w="100" w:type="dxa"/>
        </w:tblCellMar>
      </w:tblPr>
      <w:tblGrid>
        <w:gridCol w:w="1077"/>
        <w:gridCol w:w="4819"/>
        <w:gridCol w:w="1871"/>
        <w:gridCol w:w="1304"/>
      </w:tblGrid>
      <w:tr>
        <w:trPr>
          <w:tblHeader/>
        </w:trPr>
        <w:tc>
          <w:tcPr>
            <w:tcW w:type="dxa" w:w="1077"/>
            <w:shd w:val="clear" w:fill="E8EEF7"/>
          </w:tcPr>
          <w:p>
            <w:pPr>
              <w:spacing w:after="0"/>
            </w:pPr>
            <w:r/>
            <w:r>
              <w:rPr>
                <w:b/>
                <w:sz w:val="19"/>
              </w:rPr>
              <w:t>ID</w:t>
            </w:r>
          </w:p>
        </w:tc>
        <w:tc>
          <w:tcPr>
            <w:tcW w:type="dxa" w:w="4819"/>
            <w:shd w:val="clear" w:fill="E8EEF7"/>
          </w:tcPr>
          <w:p>
            <w:pPr>
              <w:spacing w:after="0"/>
            </w:pPr>
            <w:r/>
            <w:r>
              <w:rPr>
                <w:b/>
                <w:sz w:val="19"/>
              </w:rPr>
              <w:t>Besoin fonctionnel</w:t>
            </w:r>
          </w:p>
        </w:tc>
        <w:tc>
          <w:tcPr>
            <w:tcW w:type="dxa" w:w="1871"/>
            <w:shd w:val="clear" w:fill="E8EEF7"/>
          </w:tcPr>
          <w:p>
            <w:pPr>
              <w:spacing w:after="0"/>
            </w:pPr>
            <w:r/>
            <w:r>
              <w:rPr>
                <w:b/>
                <w:sz w:val="19"/>
              </w:rPr>
              <w:t>Acteurs</w:t>
            </w:r>
          </w:p>
        </w:tc>
        <w:tc>
          <w:tcPr>
            <w:tcW w:type="dxa" w:w="1304"/>
            <w:shd w:val="clear" w:fill="E8EEF7"/>
          </w:tcPr>
          <w:p>
            <w:pPr>
              <w:spacing w:after="0"/>
            </w:pPr>
            <w:r/>
            <w:r>
              <w:rPr>
                <w:b/>
                <w:sz w:val="19"/>
              </w:rPr>
              <w:t>Priorité</w:t>
            </w:r>
          </w:p>
        </w:tc>
      </w:tr>
      <w:tr>
        <w:tc>
          <w:tcPr>
            <w:tcW w:type="dxa" w:w="1077"/>
          </w:tcPr>
          <w:p>
            <w:pPr>
              <w:spacing w:after="0"/>
            </w:pPr>
            <w:r>
              <w:rPr>
                <w:sz w:val="19"/>
              </w:rPr>
              <w:t>BF-01</w:t>
            </w:r>
          </w:p>
        </w:tc>
        <w:tc>
          <w:tcPr>
            <w:tcW w:type="dxa" w:w="4819"/>
          </w:tcPr>
          <w:p>
            <w:pPr>
              <w:spacing w:after="0"/>
            </w:pPr>
            <w:r>
              <w:rPr>
                <w:sz w:val="19"/>
              </w:rPr>
              <w:t>Authentification et gestion de session : inscription, connexion, émission d’un jeton JWT valable 24 h, déconnexion et expiration automatique de la session.</w:t>
            </w:r>
          </w:p>
        </w:tc>
        <w:tc>
          <w:tcPr>
            <w:tcW w:type="dxa" w:w="1871"/>
          </w:tcPr>
          <w:p>
            <w:pPr>
              <w:spacing w:after="0"/>
            </w:pPr>
            <w:r>
              <w:rPr>
                <w:sz w:val="19"/>
              </w:rPr>
              <w:t>Tous</w:t>
            </w:r>
          </w:p>
        </w:tc>
        <w:tc>
          <w:tcPr>
            <w:tcW w:type="dxa" w:w="1304"/>
          </w:tcPr>
          <w:p>
            <w:pPr>
              <w:spacing w:after="0"/>
            </w:pPr>
            <w:r>
              <w:rPr>
                <w:sz w:val="19"/>
              </w:rPr>
              <w:t>Obligatoire</w:t>
            </w:r>
          </w:p>
        </w:tc>
      </w:tr>
      <w:tr>
        <w:tc>
          <w:tcPr>
            <w:tcW w:type="dxa" w:w="1077"/>
          </w:tcPr>
          <w:p>
            <w:pPr>
              <w:spacing w:after="0"/>
            </w:pPr>
            <w:r>
              <w:rPr>
                <w:sz w:val="19"/>
              </w:rPr>
              <w:t>BF-02</w:t>
            </w:r>
          </w:p>
        </w:tc>
        <w:tc>
          <w:tcPr>
            <w:tcW w:type="dxa" w:w="4819"/>
          </w:tcPr>
          <w:p>
            <w:pPr>
              <w:spacing w:after="0"/>
            </w:pPr>
            <w:r>
              <w:rPr>
                <w:sz w:val="19"/>
              </w:rPr>
              <w:t>Gestion des comptes, des rôles et des habilitations : création des comptes, affectation des rôles (Administrateur, RH, Manager, Candidat), rattachement à un département ou une famille de métier, journalisation des actions sensibles.</w:t>
            </w:r>
          </w:p>
        </w:tc>
        <w:tc>
          <w:tcPr>
            <w:tcW w:type="dxa" w:w="1871"/>
          </w:tcPr>
          <w:p>
            <w:pPr>
              <w:spacing w:after="0"/>
            </w:pPr>
            <w:r>
              <w:rPr>
                <w:sz w:val="19"/>
              </w:rPr>
              <w:t>Administrateur</w:t>
            </w:r>
          </w:p>
        </w:tc>
        <w:tc>
          <w:tcPr>
            <w:tcW w:type="dxa" w:w="1304"/>
          </w:tcPr>
          <w:p>
            <w:pPr>
              <w:spacing w:after="0"/>
            </w:pPr>
            <w:r>
              <w:rPr>
                <w:sz w:val="19"/>
              </w:rPr>
              <w:t>Obligatoire</w:t>
            </w:r>
          </w:p>
        </w:tc>
      </w:tr>
      <w:tr>
        <w:tc>
          <w:tcPr>
            <w:tcW w:type="dxa" w:w="1077"/>
          </w:tcPr>
          <w:p>
            <w:pPr>
              <w:spacing w:after="0"/>
            </w:pPr>
            <w:r>
              <w:rPr>
                <w:sz w:val="19"/>
              </w:rPr>
              <w:t>BF-03</w:t>
            </w:r>
          </w:p>
        </w:tc>
        <w:tc>
          <w:tcPr>
            <w:tcW w:type="dxa" w:w="4819"/>
          </w:tcPr>
          <w:p>
            <w:pPr>
              <w:spacing w:after="0"/>
            </w:pPr>
            <w:r>
              <w:rPr>
                <w:sz w:val="19"/>
              </w:rPr>
              <w:t>Gestion des offres d’emploi : création, modification, publication, clôture et bascule automatique en « expirée » lorsque la date limite est dépassée.</w:t>
            </w:r>
          </w:p>
        </w:tc>
        <w:tc>
          <w:tcPr>
            <w:tcW w:type="dxa" w:w="1871"/>
          </w:tcPr>
          <w:p>
            <w:pPr>
              <w:spacing w:after="0"/>
            </w:pPr>
            <w:r>
              <w:rPr>
                <w:sz w:val="19"/>
              </w:rPr>
              <w:t>RH, Administrateur</w:t>
            </w:r>
          </w:p>
        </w:tc>
        <w:tc>
          <w:tcPr>
            <w:tcW w:type="dxa" w:w="1304"/>
          </w:tcPr>
          <w:p>
            <w:pPr>
              <w:spacing w:after="0"/>
            </w:pPr>
            <w:r>
              <w:rPr>
                <w:sz w:val="19"/>
              </w:rPr>
              <w:t>Obligatoire</w:t>
            </w:r>
          </w:p>
        </w:tc>
      </w:tr>
      <w:tr>
        <w:tc>
          <w:tcPr>
            <w:tcW w:type="dxa" w:w="1077"/>
          </w:tcPr>
          <w:p>
            <w:pPr>
              <w:spacing w:after="0"/>
            </w:pPr>
            <w:r>
              <w:rPr>
                <w:sz w:val="19"/>
              </w:rPr>
              <w:t>BF-04</w:t>
            </w:r>
          </w:p>
        </w:tc>
        <w:tc>
          <w:tcPr>
            <w:tcW w:type="dxa" w:w="4819"/>
          </w:tcPr>
          <w:p>
            <w:pPr>
              <w:spacing w:after="0"/>
            </w:pPr>
            <w:r>
              <w:rPr>
                <w:sz w:val="19"/>
              </w:rPr>
              <w:t>Recherche et consultation des offres : recherche publique par mot-clé et localisation, consultation du détail d’une offre active.</w:t>
            </w:r>
          </w:p>
        </w:tc>
        <w:tc>
          <w:tcPr>
            <w:tcW w:type="dxa" w:w="1871"/>
          </w:tcPr>
          <w:p>
            <w:pPr>
              <w:spacing w:after="0"/>
            </w:pPr>
            <w:r>
              <w:rPr>
                <w:sz w:val="19"/>
              </w:rPr>
              <w:t>Candidat, visiteur</w:t>
            </w:r>
          </w:p>
        </w:tc>
        <w:tc>
          <w:tcPr>
            <w:tcW w:type="dxa" w:w="1304"/>
          </w:tcPr>
          <w:p>
            <w:pPr>
              <w:spacing w:after="0"/>
            </w:pPr>
            <w:r>
              <w:rPr>
                <w:sz w:val="19"/>
              </w:rPr>
              <w:t>Obligatoire</w:t>
            </w:r>
          </w:p>
        </w:tc>
      </w:tr>
      <w:tr>
        <w:tc>
          <w:tcPr>
            <w:tcW w:type="dxa" w:w="1077"/>
          </w:tcPr>
          <w:p>
            <w:pPr>
              <w:spacing w:after="0"/>
            </w:pPr>
            <w:r>
              <w:rPr>
                <w:sz w:val="19"/>
              </w:rPr>
              <w:t>BF-05</w:t>
            </w:r>
          </w:p>
        </w:tc>
        <w:tc>
          <w:tcPr>
            <w:tcW w:type="dxa" w:w="4819"/>
          </w:tcPr>
          <w:p>
            <w:pPr>
              <w:spacing w:after="0"/>
            </w:pPr>
            <w:r>
              <w:rPr>
                <w:sz w:val="19"/>
              </w:rPr>
              <w:t>Dépôt d’une candidature avec dépôt de CV depuis une offre : formulaire pré-rempli, validation du format (PDF, DOC, DOCX) et de la taille (10 Mo maximum).</w:t>
            </w:r>
          </w:p>
        </w:tc>
        <w:tc>
          <w:tcPr>
            <w:tcW w:type="dxa" w:w="1871"/>
          </w:tcPr>
          <w:p>
            <w:pPr>
              <w:spacing w:after="0"/>
            </w:pPr>
            <w:r>
              <w:rPr>
                <w:sz w:val="19"/>
              </w:rPr>
              <w:t>Candidat</w:t>
            </w:r>
          </w:p>
        </w:tc>
        <w:tc>
          <w:tcPr>
            <w:tcW w:type="dxa" w:w="1304"/>
          </w:tcPr>
          <w:p>
            <w:pPr>
              <w:spacing w:after="0"/>
            </w:pPr>
            <w:r>
              <w:rPr>
                <w:sz w:val="19"/>
              </w:rPr>
              <w:t>Obligatoire</w:t>
            </w:r>
          </w:p>
        </w:tc>
      </w:tr>
      <w:tr>
        <w:tc>
          <w:tcPr>
            <w:tcW w:type="dxa" w:w="1077"/>
          </w:tcPr>
          <w:p>
            <w:pPr>
              <w:spacing w:after="0"/>
            </w:pPr>
            <w:r>
              <w:rPr>
                <w:sz w:val="19"/>
              </w:rPr>
              <w:t>BF-06</w:t>
            </w:r>
          </w:p>
        </w:tc>
        <w:tc>
          <w:tcPr>
            <w:tcW w:type="dxa" w:w="4819"/>
          </w:tcPr>
          <w:p>
            <w:pPr>
              <w:spacing w:after="0"/>
            </w:pPr>
            <w:r>
              <w:rPr>
                <w:sz w:val="19"/>
              </w:rPr>
              <w:t>Suivi des candidatures par le candidat et retrait en libre-service : consultation du statut de chaque dossier et retrait possible tant que la candidature n’est pas close.</w:t>
            </w:r>
          </w:p>
        </w:tc>
        <w:tc>
          <w:tcPr>
            <w:tcW w:type="dxa" w:w="1871"/>
          </w:tcPr>
          <w:p>
            <w:pPr>
              <w:spacing w:after="0"/>
            </w:pPr>
            <w:r>
              <w:rPr>
                <w:sz w:val="19"/>
              </w:rPr>
              <w:t>Candidat</w:t>
            </w:r>
          </w:p>
        </w:tc>
        <w:tc>
          <w:tcPr>
            <w:tcW w:type="dxa" w:w="1304"/>
          </w:tcPr>
          <w:p>
            <w:pPr>
              <w:spacing w:after="0"/>
            </w:pPr>
            <w:r>
              <w:rPr>
                <w:sz w:val="19"/>
              </w:rPr>
              <w:t>Obligatoire</w:t>
            </w:r>
          </w:p>
        </w:tc>
      </w:tr>
      <w:tr>
        <w:tc>
          <w:tcPr>
            <w:tcW w:type="dxa" w:w="1077"/>
          </w:tcPr>
          <w:p>
            <w:pPr>
              <w:spacing w:after="0"/>
            </w:pPr>
            <w:r>
              <w:rPr>
                <w:sz w:val="19"/>
              </w:rPr>
              <w:t>BF-07</w:t>
            </w:r>
          </w:p>
        </w:tc>
        <w:tc>
          <w:tcPr>
            <w:tcW w:type="dxa" w:w="4819"/>
          </w:tcPr>
          <w:p>
            <w:pPr>
              <w:spacing w:after="0"/>
            </w:pPr>
            <w:r>
              <w:rPr>
                <w:sz w:val="19"/>
              </w:rPr>
              <w:t>Analyse automatique des CV par IA : extraction du texte, calcul d’un score de pertinence sur 100 (technique, communication, adéquation séniorité), orientation automatique du dossier selon le seuil configurable, mode dégradé en cas d’indisponibilité du service.</w:t>
            </w:r>
          </w:p>
        </w:tc>
        <w:tc>
          <w:tcPr>
            <w:tcW w:type="dxa" w:w="1871"/>
          </w:tcPr>
          <w:p>
            <w:pPr>
              <w:spacing w:after="0"/>
            </w:pPr>
            <w:r>
              <w:rPr>
                <w:sz w:val="19"/>
              </w:rPr>
              <w:t>Système, RH</w:t>
            </w:r>
          </w:p>
        </w:tc>
        <w:tc>
          <w:tcPr>
            <w:tcW w:type="dxa" w:w="1304"/>
          </w:tcPr>
          <w:p>
            <w:pPr>
              <w:spacing w:after="0"/>
            </w:pPr>
            <w:r>
              <w:rPr>
                <w:sz w:val="19"/>
              </w:rPr>
              <w:t>Obligatoire</w:t>
            </w:r>
          </w:p>
        </w:tc>
      </w:tr>
      <w:tr>
        <w:tc>
          <w:tcPr>
            <w:tcW w:type="dxa" w:w="1077"/>
          </w:tcPr>
          <w:p>
            <w:pPr>
              <w:spacing w:after="0"/>
            </w:pPr>
            <w:r>
              <w:rPr>
                <w:sz w:val="19"/>
              </w:rPr>
              <w:t>BF-08</w:t>
            </w:r>
          </w:p>
        </w:tc>
        <w:tc>
          <w:tcPr>
            <w:tcW w:type="dxa" w:w="4819"/>
          </w:tcPr>
          <w:p>
            <w:pPr>
              <w:spacing w:after="0"/>
            </w:pPr>
            <w:r>
              <w:rPr>
                <w:sz w:val="19"/>
              </w:rPr>
              <w:t>Paramétrage du scoring IA : ajustement des pondérations par famille de métier et niveau de séniorité, avec journalisation de toute correction.</w:t>
            </w:r>
          </w:p>
        </w:tc>
        <w:tc>
          <w:tcPr>
            <w:tcW w:type="dxa" w:w="1871"/>
          </w:tcPr>
          <w:p>
            <w:pPr>
              <w:spacing w:after="0"/>
            </w:pPr>
            <w:r>
              <w:rPr>
                <w:sz w:val="19"/>
              </w:rPr>
              <w:t>Administrateur, RH</w:t>
            </w:r>
          </w:p>
        </w:tc>
        <w:tc>
          <w:tcPr>
            <w:tcW w:type="dxa" w:w="1304"/>
          </w:tcPr>
          <w:p>
            <w:pPr>
              <w:spacing w:after="0"/>
            </w:pPr>
            <w:r>
              <w:rPr>
                <w:sz w:val="19"/>
              </w:rPr>
              <w:t>Importante</w:t>
            </w:r>
          </w:p>
        </w:tc>
      </w:tr>
      <w:tr>
        <w:tc>
          <w:tcPr>
            <w:tcW w:type="dxa" w:w="1077"/>
          </w:tcPr>
          <w:p>
            <w:pPr>
              <w:spacing w:after="0"/>
            </w:pPr>
            <w:r>
              <w:rPr>
                <w:sz w:val="19"/>
              </w:rPr>
              <w:t>BF-09</w:t>
            </w:r>
          </w:p>
        </w:tc>
        <w:tc>
          <w:tcPr>
            <w:tcW w:type="dxa" w:w="4819"/>
          </w:tcPr>
          <w:p>
            <w:pPr>
              <w:spacing w:after="0"/>
            </w:pPr>
            <w:r>
              <w:rPr>
                <w:sz w:val="19"/>
              </w:rPr>
              <w:t>Gestion des entretiens : planification (type, date, intervieweur), création réelle de l’événement Google Calendar et du lien Google Meet, suivi des statuts (planifié, en cours, terminé, annulé, reprogrammé).</w:t>
            </w:r>
          </w:p>
        </w:tc>
        <w:tc>
          <w:tcPr>
            <w:tcW w:type="dxa" w:w="1871"/>
          </w:tcPr>
          <w:p>
            <w:pPr>
              <w:spacing w:after="0"/>
            </w:pPr>
            <w:r>
              <w:rPr>
                <w:sz w:val="19"/>
              </w:rPr>
              <w:t>RH, Manager</w:t>
            </w:r>
          </w:p>
        </w:tc>
        <w:tc>
          <w:tcPr>
            <w:tcW w:type="dxa" w:w="1304"/>
          </w:tcPr>
          <w:p>
            <w:pPr>
              <w:spacing w:after="0"/>
            </w:pPr>
            <w:r>
              <w:rPr>
                <w:sz w:val="19"/>
              </w:rPr>
              <w:t>Obligatoire</w:t>
            </w:r>
          </w:p>
        </w:tc>
      </w:tr>
      <w:tr>
        <w:tc>
          <w:tcPr>
            <w:tcW w:type="dxa" w:w="1077"/>
          </w:tcPr>
          <w:p>
            <w:pPr>
              <w:spacing w:after="0"/>
            </w:pPr>
            <w:r>
              <w:rPr>
                <w:sz w:val="19"/>
              </w:rPr>
              <w:t>BF-10</w:t>
            </w:r>
          </w:p>
        </w:tc>
        <w:tc>
          <w:tcPr>
            <w:tcW w:type="dxa" w:w="4819"/>
          </w:tcPr>
          <w:p>
            <w:pPr>
              <w:spacing w:after="0"/>
            </w:pPr>
            <w:r>
              <w:rPr>
                <w:sz w:val="19"/>
              </w:rPr>
              <w:t>Conduite de l’entretien téléphonique RH : pré-sélection obligatoire avant toute sollicitation du manager et avant toute acceptation.</w:t>
            </w:r>
          </w:p>
        </w:tc>
        <w:tc>
          <w:tcPr>
            <w:tcW w:type="dxa" w:w="1871"/>
          </w:tcPr>
          <w:p>
            <w:pPr>
              <w:spacing w:after="0"/>
            </w:pPr>
            <w:r>
              <w:rPr>
                <w:sz w:val="19"/>
              </w:rPr>
              <w:t>RH</w:t>
            </w:r>
          </w:p>
        </w:tc>
        <w:tc>
          <w:tcPr>
            <w:tcW w:type="dxa" w:w="1304"/>
          </w:tcPr>
          <w:p>
            <w:pPr>
              <w:spacing w:after="0"/>
            </w:pPr>
            <w:r>
              <w:rPr>
                <w:sz w:val="19"/>
              </w:rPr>
              <w:t>Obligatoire</w:t>
            </w:r>
          </w:p>
        </w:tc>
      </w:tr>
      <w:tr>
        <w:tc>
          <w:tcPr>
            <w:tcW w:type="dxa" w:w="1077"/>
          </w:tcPr>
          <w:p>
            <w:pPr>
              <w:spacing w:after="0"/>
            </w:pPr>
            <w:r>
              <w:rPr>
                <w:sz w:val="19"/>
              </w:rPr>
              <w:t>BF-11</w:t>
            </w:r>
          </w:p>
        </w:tc>
        <w:tc>
          <w:tcPr>
            <w:tcW w:type="dxa" w:w="4819"/>
          </w:tcPr>
          <w:p>
            <w:pPr>
              <w:spacing w:after="0"/>
            </w:pPr>
            <w:r>
              <w:rPr>
                <w:sz w:val="19"/>
              </w:rPr>
              <w:t>Routage automatique vers les managers : résolution des destinataires par département de l’offre, puis par famille de métier, puis par l’e-mail saisi sur l’offre, avec notification de chacun.</w:t>
            </w:r>
          </w:p>
        </w:tc>
        <w:tc>
          <w:tcPr>
            <w:tcW w:type="dxa" w:w="1871"/>
          </w:tcPr>
          <w:p>
            <w:pPr>
              <w:spacing w:after="0"/>
            </w:pPr>
            <w:r>
              <w:rPr>
                <w:sz w:val="19"/>
              </w:rPr>
              <w:t>Système</w:t>
            </w:r>
          </w:p>
        </w:tc>
        <w:tc>
          <w:tcPr>
            <w:tcW w:type="dxa" w:w="1304"/>
          </w:tcPr>
          <w:p>
            <w:pPr>
              <w:spacing w:after="0"/>
            </w:pPr>
            <w:r>
              <w:rPr>
                <w:sz w:val="19"/>
              </w:rPr>
              <w:t>Obligatoire</w:t>
            </w:r>
          </w:p>
        </w:tc>
      </w:tr>
      <w:tr>
        <w:tc>
          <w:tcPr>
            <w:tcW w:type="dxa" w:w="1077"/>
          </w:tcPr>
          <w:p>
            <w:pPr>
              <w:spacing w:after="0"/>
            </w:pPr>
            <w:r>
              <w:rPr>
                <w:sz w:val="19"/>
              </w:rPr>
              <w:t>BF-12</w:t>
            </w:r>
          </w:p>
        </w:tc>
        <w:tc>
          <w:tcPr>
            <w:tcW w:type="dxa" w:w="4819"/>
          </w:tcPr>
          <w:p>
            <w:pPr>
              <w:spacing w:after="0"/>
            </w:pPr>
            <w:r>
              <w:rPr>
                <w:sz w:val="19"/>
              </w:rPr>
              <w:t>Gestion des feedbacks : saisie d’un retour structuré par le manager après entretien, validation par le RH avant transmission au candidat.</w:t>
            </w:r>
          </w:p>
        </w:tc>
        <w:tc>
          <w:tcPr>
            <w:tcW w:type="dxa" w:w="1871"/>
          </w:tcPr>
          <w:p>
            <w:pPr>
              <w:spacing w:after="0"/>
            </w:pPr>
            <w:r>
              <w:rPr>
                <w:sz w:val="19"/>
              </w:rPr>
              <w:t>Manager, RH</w:t>
            </w:r>
          </w:p>
        </w:tc>
        <w:tc>
          <w:tcPr>
            <w:tcW w:type="dxa" w:w="1304"/>
          </w:tcPr>
          <w:p>
            <w:pPr>
              <w:spacing w:after="0"/>
            </w:pPr>
            <w:r>
              <w:rPr>
                <w:sz w:val="19"/>
              </w:rPr>
              <w:t>Obligatoire</w:t>
            </w:r>
          </w:p>
        </w:tc>
      </w:tr>
      <w:tr>
        <w:tc>
          <w:tcPr>
            <w:tcW w:type="dxa" w:w="1077"/>
          </w:tcPr>
          <w:p>
            <w:pPr>
              <w:spacing w:after="0"/>
            </w:pPr>
            <w:r>
              <w:rPr>
                <w:sz w:val="19"/>
              </w:rPr>
              <w:t>BF-13</w:t>
            </w:r>
          </w:p>
        </w:tc>
        <w:tc>
          <w:tcPr>
            <w:tcW w:type="dxa" w:w="4819"/>
          </w:tcPr>
          <w:p>
            <w:pPr>
              <w:spacing w:after="0"/>
            </w:pPr>
            <w:r>
              <w:rPr>
                <w:sz w:val="19"/>
              </w:rPr>
              <w:t>Prise de décision finale : acceptation ou refus du dossier, avec blocage de toute décision sur un dossier non validé par le RH ou n’ayant pas franchi l’entretien téléphonique.</w:t>
            </w:r>
          </w:p>
        </w:tc>
        <w:tc>
          <w:tcPr>
            <w:tcW w:type="dxa" w:w="1871"/>
          </w:tcPr>
          <w:p>
            <w:pPr>
              <w:spacing w:after="0"/>
            </w:pPr>
            <w:r>
              <w:rPr>
                <w:sz w:val="19"/>
              </w:rPr>
              <w:t>RH, Manager, Administrateur</w:t>
            </w:r>
          </w:p>
        </w:tc>
        <w:tc>
          <w:tcPr>
            <w:tcW w:type="dxa" w:w="1304"/>
          </w:tcPr>
          <w:p>
            <w:pPr>
              <w:spacing w:after="0"/>
            </w:pPr>
            <w:r>
              <w:rPr>
                <w:sz w:val="19"/>
              </w:rPr>
              <w:t>Obligatoire</w:t>
            </w:r>
          </w:p>
        </w:tc>
      </w:tr>
      <w:tr>
        <w:tc>
          <w:tcPr>
            <w:tcW w:type="dxa" w:w="1077"/>
          </w:tcPr>
          <w:p>
            <w:pPr>
              <w:spacing w:after="0"/>
            </w:pPr>
            <w:r>
              <w:rPr>
                <w:sz w:val="19"/>
              </w:rPr>
              <w:t>BF-14</w:t>
            </w:r>
          </w:p>
        </w:tc>
        <w:tc>
          <w:tcPr>
            <w:tcW w:type="dxa" w:w="4819"/>
          </w:tcPr>
          <w:p>
            <w:pPr>
              <w:spacing w:after="0"/>
            </w:pPr>
            <w:r>
              <w:rPr>
                <w:sz w:val="19"/>
              </w:rPr>
              <w:t>Notifications automatiques par e-mail : confirmation de candidature, invitation et rappel d’entretien, décision finale, feedback, avec file d’attente et nouvelle tentative automatique.</w:t>
            </w:r>
          </w:p>
        </w:tc>
        <w:tc>
          <w:tcPr>
            <w:tcW w:type="dxa" w:w="1871"/>
          </w:tcPr>
          <w:p>
            <w:pPr>
              <w:spacing w:after="0"/>
            </w:pPr>
            <w:r>
              <w:rPr>
                <w:sz w:val="19"/>
              </w:rPr>
              <w:t>Système</w:t>
            </w:r>
          </w:p>
        </w:tc>
        <w:tc>
          <w:tcPr>
            <w:tcW w:type="dxa" w:w="1304"/>
          </w:tcPr>
          <w:p>
            <w:pPr>
              <w:spacing w:after="0"/>
            </w:pPr>
            <w:r>
              <w:rPr>
                <w:sz w:val="19"/>
              </w:rPr>
              <w:t>Obligatoire</w:t>
            </w:r>
          </w:p>
        </w:tc>
      </w:tr>
      <w:tr>
        <w:tc>
          <w:tcPr>
            <w:tcW w:type="dxa" w:w="1077"/>
          </w:tcPr>
          <w:p>
            <w:pPr>
              <w:spacing w:after="0"/>
            </w:pPr>
            <w:r>
              <w:rPr>
                <w:sz w:val="19"/>
              </w:rPr>
              <w:t>BF-15</w:t>
            </w:r>
          </w:p>
        </w:tc>
        <w:tc>
          <w:tcPr>
            <w:tcW w:type="dxa" w:w="4819"/>
          </w:tcPr>
          <w:p>
            <w:pPr>
              <w:spacing w:after="0"/>
            </w:pPr>
            <w:r>
              <w:rPr>
                <w:sz w:val="19"/>
              </w:rPr>
              <w:t>Pilotage : tableau de bord RH, pipeline Kanban mis à jour sans rechargement, calendrier manager en lecture seule, Statuts, compteurs et filtres.</w:t>
            </w:r>
          </w:p>
        </w:tc>
        <w:tc>
          <w:tcPr>
            <w:tcW w:type="dxa" w:w="1871"/>
          </w:tcPr>
          <w:p>
            <w:pPr>
              <w:spacing w:after="0"/>
            </w:pPr>
            <w:r>
              <w:rPr>
                <w:sz w:val="19"/>
              </w:rPr>
              <w:t>RH, Manager, Administrateur</w:t>
            </w:r>
          </w:p>
        </w:tc>
        <w:tc>
          <w:tcPr>
            <w:tcW w:type="dxa" w:w="1304"/>
          </w:tcPr>
          <w:p>
            <w:pPr>
              <w:spacing w:after="0"/>
            </w:pPr>
            <w:r>
              <w:rPr>
                <w:sz w:val="19"/>
              </w:rPr>
              <w:t>Importante</w:t>
            </w:r>
          </w:p>
        </w:tc>
      </w:tr>
      <w:tr>
        <w:tc>
          <w:tcPr>
            <w:tcW w:type="dxa" w:w="1077"/>
          </w:tcPr>
          <w:p>
            <w:pPr>
              <w:spacing w:after="0"/>
            </w:pPr>
            <w:r>
              <w:rPr>
                <w:sz w:val="19"/>
              </w:rPr>
              <w:t>BF-16</w:t>
            </w:r>
          </w:p>
        </w:tc>
        <w:tc>
          <w:tcPr>
            <w:tcW w:type="dxa" w:w="4819"/>
          </w:tcPr>
          <w:p>
            <w:pPr>
              <w:spacing w:after="0"/>
            </w:pPr>
            <w:r>
              <w:rPr>
                <w:sz w:val="19"/>
              </w:rPr>
              <w:t>Services intelligents : « Job idéal » (suggestion d’offres à partir d’un CV déposé, score de compatibilité) et assistant conversationnel candidat interrogeant les données réelles du candidat connecté.</w:t>
            </w:r>
          </w:p>
        </w:tc>
        <w:tc>
          <w:tcPr>
            <w:tcW w:type="dxa" w:w="1871"/>
          </w:tcPr>
          <w:p>
            <w:pPr>
              <w:spacing w:after="0"/>
            </w:pPr>
            <w:r>
              <w:rPr>
                <w:sz w:val="19"/>
              </w:rPr>
              <w:t>Candidat, visiteur</w:t>
            </w:r>
          </w:p>
        </w:tc>
        <w:tc>
          <w:tcPr>
            <w:tcW w:type="dxa" w:w="1304"/>
          </w:tcPr>
          <w:p>
            <w:pPr>
              <w:spacing w:after="0"/>
            </w:pPr>
            <w:r>
              <w:rPr>
                <w:sz w:val="19"/>
              </w:rPr>
              <w:t>Importante</w:t>
            </w:r>
          </w:p>
        </w:tc>
      </w:tr>
    </w:tbl>
    <w:p>
      <w:pPr>
        <w:spacing w:after="200" w:before="0"/>
      </w:pPr>
      <w:r>
        <w:rPr>
          <w:b w:val="0"/>
          <w:i/>
          <w:sz w:val="20"/>
        </w:rPr>
        <w:t>Tableau 4 : Besoins fonctionnels BF-01 à BF-16.</w:t>
      </w:r>
    </w:p>
    <w:p>
      <w:pPr>
        <w:pStyle w:val="Heading1"/>
        <w:pageBreakBefore/>
      </w:pPr>
      <w:r>
        <w:t>6. Règles métier</w:t>
      </w:r>
    </w:p>
    <w:p>
      <w:pPr>
        <w:spacing w:after="160" w:before="0"/>
      </w:pPr>
      <w:r>
        <w:rPr>
          <w:b w:val="0"/>
          <w:i w:val="0"/>
          <w:sz w:val="22"/>
        </w:rPr>
        <w:t>Les règles ci-dessous encadrent le comportement du système. Elles sont implémentées côté back-end sous forme de garde-fous explicites : toute transition non autorisée est rejetée avec un message d’erreur clair plutôt qu’un échec silencieux.</w:t>
      </w:r>
    </w:p>
    <w:tbl>
      <w:tblPr>
        <w:tblW w:type="auto" w:w="0"/>
        <w:jc w:val="center"/>
        <w:tblLayout w:type="fixed"/>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60" w:type="dxa"/>
          <w:left w:w="100" w:type="dxa"/>
          <w:bottom w:w="60" w:type="dxa"/>
          <w:right w:w="100" w:type="dxa"/>
        </w:tblCellMar>
      </w:tblPr>
      <w:tblGrid>
        <w:gridCol w:w="1077"/>
        <w:gridCol w:w="7994"/>
      </w:tblGrid>
      <w:tr>
        <w:trPr>
          <w:tblHeader/>
        </w:trPr>
        <w:tc>
          <w:tcPr>
            <w:tcW w:type="dxa" w:w="1077"/>
            <w:shd w:val="clear" w:fill="E8EEF7"/>
          </w:tcPr>
          <w:p>
            <w:pPr>
              <w:spacing w:after="0"/>
            </w:pPr>
            <w:r/>
            <w:r>
              <w:rPr>
                <w:b/>
                <w:sz w:val="19"/>
              </w:rPr>
              <w:t>ID</w:t>
            </w:r>
          </w:p>
        </w:tc>
        <w:tc>
          <w:tcPr>
            <w:tcW w:type="dxa" w:w="7994"/>
            <w:shd w:val="clear" w:fill="E8EEF7"/>
          </w:tcPr>
          <w:p>
            <w:pPr>
              <w:spacing w:after="0"/>
            </w:pPr>
            <w:r/>
            <w:r>
              <w:rPr>
                <w:b/>
                <w:sz w:val="19"/>
              </w:rPr>
              <w:t>Règle métier</w:t>
            </w:r>
          </w:p>
        </w:tc>
      </w:tr>
      <w:tr>
        <w:tc>
          <w:tcPr>
            <w:tcW w:type="dxa" w:w="1077"/>
          </w:tcPr>
          <w:p>
            <w:pPr>
              <w:spacing w:after="0"/>
            </w:pPr>
            <w:r>
              <w:rPr>
                <w:sz w:val="19"/>
              </w:rPr>
              <w:t>RM-01</w:t>
            </w:r>
          </w:p>
        </w:tc>
        <w:tc>
          <w:tcPr>
            <w:tcW w:type="dxa" w:w="7994"/>
          </w:tcPr>
          <w:p>
            <w:pPr>
              <w:spacing w:after="0"/>
            </w:pPr>
            <w:r>
              <w:rPr>
                <w:sz w:val="19"/>
              </w:rPr>
              <w:t>Toute requête authentifiée doit présenter un jeton JWT valide ; les mots de passe sont stockés hachés (BCrypt) et ne transitent jamais en clair.</w:t>
            </w:r>
          </w:p>
        </w:tc>
      </w:tr>
      <w:tr>
        <w:tc>
          <w:tcPr>
            <w:tcW w:type="dxa" w:w="1077"/>
          </w:tcPr>
          <w:p>
            <w:pPr>
              <w:spacing w:after="0"/>
            </w:pPr>
            <w:r>
              <w:rPr>
                <w:sz w:val="19"/>
              </w:rPr>
              <w:t>RM-02</w:t>
            </w:r>
          </w:p>
        </w:tc>
        <w:tc>
          <w:tcPr>
            <w:tcW w:type="dxa" w:w="7994"/>
          </w:tcPr>
          <w:p>
            <w:pPr>
              <w:spacing w:after="0"/>
            </w:pPr>
            <w:r>
              <w:rPr>
                <w:sz w:val="19"/>
              </w:rPr>
              <w:t>Un manager ne peut consulter ni modifier que les candidatures relevant strictement de son périmètre (département de l’offre, à défaut famille de métier), sur les routes de lecture comme sur les routes d’écriture.</w:t>
            </w:r>
          </w:p>
        </w:tc>
      </w:tr>
      <w:tr>
        <w:tc>
          <w:tcPr>
            <w:tcW w:type="dxa" w:w="1077"/>
          </w:tcPr>
          <w:p>
            <w:pPr>
              <w:spacing w:after="0"/>
            </w:pPr>
            <w:r>
              <w:rPr>
                <w:sz w:val="19"/>
              </w:rPr>
              <w:t>RM-03</w:t>
            </w:r>
          </w:p>
        </w:tc>
        <w:tc>
          <w:tcPr>
            <w:tcW w:type="dxa" w:w="7994"/>
          </w:tcPr>
          <w:p>
            <w:pPr>
              <w:spacing w:after="0"/>
            </w:pPr>
            <w:r>
              <w:rPr>
                <w:sz w:val="19"/>
              </w:rPr>
              <w:t>Un candidat ne peut déposer qu’une seule candidature par offre ; les CV sont limités aux formats PDF, DOC et DOCX, dans une limite de 10 Mo, avec validation du contenu réel du fichier.</w:t>
            </w:r>
          </w:p>
        </w:tc>
      </w:tr>
      <w:tr>
        <w:tc>
          <w:tcPr>
            <w:tcW w:type="dxa" w:w="1077"/>
          </w:tcPr>
          <w:p>
            <w:pPr>
              <w:spacing w:after="0"/>
            </w:pPr>
            <w:r>
              <w:rPr>
                <w:sz w:val="19"/>
              </w:rPr>
              <w:t>RM-04</w:t>
            </w:r>
          </w:p>
        </w:tc>
        <w:tc>
          <w:tcPr>
            <w:tcW w:type="dxa" w:w="7994"/>
          </w:tcPr>
          <w:p>
            <w:pPr>
              <w:spacing w:after="0"/>
            </w:pPr>
            <w:r>
              <w:rPr>
                <w:sz w:val="19"/>
              </w:rPr>
              <w:t>Toute évolution de statut doit respecter la machine à états de la section 7 ; une transition non autorisée entraîne une erreur 400 et un message explicite.</w:t>
            </w:r>
          </w:p>
        </w:tc>
      </w:tr>
      <w:tr>
        <w:tc>
          <w:tcPr>
            <w:tcW w:type="dxa" w:w="1077"/>
          </w:tcPr>
          <w:p>
            <w:pPr>
              <w:spacing w:after="0"/>
            </w:pPr>
            <w:r>
              <w:rPr>
                <w:sz w:val="19"/>
              </w:rPr>
              <w:t>RM-05</w:t>
            </w:r>
          </w:p>
        </w:tc>
        <w:tc>
          <w:tcPr>
            <w:tcW w:type="dxa" w:w="7994"/>
          </w:tcPr>
          <w:p>
            <w:pPr>
              <w:spacing w:after="0"/>
            </w:pPr>
            <w:r>
              <w:rPr>
                <w:sz w:val="19"/>
              </w:rPr>
              <w:t>Le score IA inférieur au seuil de 60/100 oriente le dossier vers AUTO_REJECTED, le score supérieur ou égal vers CV_REVIEWED ; tout rejet automatique reste réversible par le RH ou l’Administrateur via une surcharge manuelle justifiée et journalisée.</w:t>
            </w:r>
          </w:p>
        </w:tc>
      </w:tr>
      <w:tr>
        <w:tc>
          <w:tcPr>
            <w:tcW w:type="dxa" w:w="1077"/>
          </w:tcPr>
          <w:p>
            <w:pPr>
              <w:spacing w:after="0"/>
            </w:pPr>
            <w:r>
              <w:rPr>
                <w:sz w:val="19"/>
              </w:rPr>
              <w:t>RM-06</w:t>
            </w:r>
          </w:p>
        </w:tc>
        <w:tc>
          <w:tcPr>
            <w:tcW w:type="dxa" w:w="7994"/>
          </w:tcPr>
          <w:p>
            <w:pPr>
              <w:spacing w:after="0"/>
            </w:pPr>
            <w:r>
              <w:rPr>
                <w:sz w:val="19"/>
              </w:rPr>
              <w:t>Aucune décision du manager n’est possible tant que le dossier n’a pas été validé par le RH (statut CV_REVIEWED ou supérieur).</w:t>
            </w:r>
          </w:p>
        </w:tc>
      </w:tr>
      <w:tr>
        <w:tc>
          <w:tcPr>
            <w:tcW w:type="dxa" w:w="1077"/>
          </w:tcPr>
          <w:p>
            <w:pPr>
              <w:spacing w:after="0"/>
            </w:pPr>
            <w:r>
              <w:rPr>
                <w:sz w:val="19"/>
              </w:rPr>
              <w:t>RM-07</w:t>
            </w:r>
          </w:p>
        </w:tc>
        <w:tc>
          <w:tcPr>
            <w:tcW w:type="dxa" w:w="7994"/>
          </w:tcPr>
          <w:p>
            <w:pPr>
              <w:spacing w:after="0"/>
            </w:pPr>
            <w:r>
              <w:rPr>
                <w:sz w:val="19"/>
              </w:rPr>
              <w:t>L’acceptation d’un candidat n’est possible qu’à partir du statut PHONE_SCREENING ou au-delà : l’entretien téléphonique RH constitue le premier filtre humain obligatoire et la transition directe de CV_REVIEWED vers ACCEPTED n’existe pas.</w:t>
            </w:r>
          </w:p>
        </w:tc>
      </w:tr>
      <w:tr>
        <w:tc>
          <w:tcPr>
            <w:tcW w:type="dxa" w:w="1077"/>
          </w:tcPr>
          <w:p>
            <w:pPr>
              <w:spacing w:after="0"/>
            </w:pPr>
            <w:r>
              <w:rPr>
                <w:sz w:val="19"/>
              </w:rPr>
              <w:t>RM-08</w:t>
            </w:r>
          </w:p>
        </w:tc>
        <w:tc>
          <w:tcPr>
            <w:tcW w:type="dxa" w:w="7994"/>
          </w:tcPr>
          <w:p>
            <w:pPr>
              <w:spacing w:after="0"/>
            </w:pPr>
            <w:r>
              <w:rPr>
                <w:sz w:val="19"/>
              </w:rPr>
              <w:t>Le refus manuel (MANAGER_REJECTED) est possible dès que le dossier est validé par le RH, sans attendre l’entretien technique.</w:t>
            </w:r>
          </w:p>
        </w:tc>
      </w:tr>
      <w:tr>
        <w:tc>
          <w:tcPr>
            <w:tcW w:type="dxa" w:w="1077"/>
          </w:tcPr>
          <w:p>
            <w:pPr>
              <w:spacing w:after="0"/>
            </w:pPr>
            <w:r>
              <w:rPr>
                <w:sz w:val="19"/>
              </w:rPr>
              <w:t>RM-09</w:t>
            </w:r>
          </w:p>
        </w:tc>
        <w:tc>
          <w:tcPr>
            <w:tcW w:type="dxa" w:w="7994"/>
          </w:tcPr>
          <w:p>
            <w:pPr>
              <w:spacing w:after="0"/>
            </w:pPr>
            <w:r>
              <w:rPr>
                <w:sz w:val="19"/>
              </w:rPr>
              <w:t>La planification d’un entretien est une opération de logistique : elle ne modifie jamais le statut du candidat. Une case à cocher optionnelle permet de déclencher la transition via le point d’entrée protégé par ce garde-fou.</w:t>
            </w:r>
          </w:p>
        </w:tc>
      </w:tr>
      <w:tr>
        <w:tc>
          <w:tcPr>
            <w:tcW w:type="dxa" w:w="1077"/>
          </w:tcPr>
          <w:p>
            <w:pPr>
              <w:spacing w:after="0"/>
            </w:pPr>
            <w:r>
              <w:rPr>
                <w:sz w:val="19"/>
              </w:rPr>
              <w:t>RM-10</w:t>
            </w:r>
          </w:p>
        </w:tc>
        <w:tc>
          <w:tcPr>
            <w:tcW w:type="dxa" w:w="7994"/>
          </w:tcPr>
          <w:p>
            <w:pPr>
              <w:spacing w:after="0"/>
            </w:pPr>
            <w:r>
              <w:rPr>
                <w:sz w:val="19"/>
              </w:rPr>
              <w:t>Le manager n’est notifié et ne voit les dossiers qu’à l’entrée en évaluation technique (TECHNICAL_TEST), jamais dès la validation du CV ; le candidat, lui, est informé dès la présélection de son CV.</w:t>
            </w:r>
          </w:p>
        </w:tc>
      </w:tr>
      <w:tr>
        <w:tc>
          <w:tcPr>
            <w:tcW w:type="dxa" w:w="1077"/>
          </w:tcPr>
          <w:p>
            <w:pPr>
              <w:spacing w:after="0"/>
            </w:pPr>
            <w:r>
              <w:rPr>
                <w:sz w:val="19"/>
              </w:rPr>
              <w:t>RM-11</w:t>
            </w:r>
          </w:p>
        </w:tc>
        <w:tc>
          <w:tcPr>
            <w:tcW w:type="dxa" w:w="7994"/>
          </w:tcPr>
          <w:p>
            <w:pPr>
              <w:spacing w:after="0"/>
            </w:pPr>
            <w:r>
              <w:rPr>
                <w:sz w:val="19"/>
              </w:rPr>
              <w:t>Le message adressé au candidat est envoyé une seule fois, quel que soit le nombre de managers notifiés pour un même dossier.</w:t>
            </w:r>
          </w:p>
        </w:tc>
      </w:tr>
      <w:tr>
        <w:tc>
          <w:tcPr>
            <w:tcW w:type="dxa" w:w="1077"/>
          </w:tcPr>
          <w:p>
            <w:pPr>
              <w:spacing w:after="0"/>
            </w:pPr>
            <w:r>
              <w:rPr>
                <w:sz w:val="19"/>
              </w:rPr>
              <w:t>RM-12</w:t>
            </w:r>
          </w:p>
        </w:tc>
        <w:tc>
          <w:tcPr>
            <w:tcW w:type="dxa" w:w="7994"/>
          </w:tcPr>
          <w:p>
            <w:pPr>
              <w:spacing w:after="0"/>
            </w:pPr>
            <w:r>
              <w:rPr>
                <w:sz w:val="19"/>
              </w:rPr>
              <w:t>Le lien Google Meet est obtenu par une création réelle d’événement Google Calendar ; chaque appel à n8n est journalisé dans une file d’attente (outbox) avec un mécanisme de nouvelle tentative automatique (5 tentatives au maximum, délai doublé à chaque échec : 5, 10, 20 puis 40 secondes).</w:t>
            </w:r>
          </w:p>
        </w:tc>
      </w:tr>
      <w:tr>
        <w:tc>
          <w:tcPr>
            <w:tcW w:type="dxa" w:w="1077"/>
          </w:tcPr>
          <w:p>
            <w:pPr>
              <w:spacing w:after="0"/>
            </w:pPr>
            <w:r>
              <w:rPr>
                <w:sz w:val="19"/>
              </w:rPr>
              <w:t>RM-13</w:t>
            </w:r>
          </w:p>
        </w:tc>
        <w:tc>
          <w:tcPr>
            <w:tcW w:type="dxa" w:w="7994"/>
          </w:tcPr>
          <w:p>
            <w:pPr>
              <w:spacing w:after="0"/>
            </w:pPr>
            <w:r>
              <w:rPr>
                <w:sz w:val="19"/>
              </w:rPr>
              <w:t>L’assistant conversationnel n’utilise que les données du candidat connecté, dérivées du jeton JWT ; les champs internes (score IA, correction RH, identité de l’intervieweur, notes d’entretien) sont exclus du contexte envoyé au modèle.</w:t>
            </w:r>
          </w:p>
        </w:tc>
      </w:tr>
      <w:tr>
        <w:tc>
          <w:tcPr>
            <w:tcW w:type="dxa" w:w="1077"/>
          </w:tcPr>
          <w:p>
            <w:pPr>
              <w:spacing w:after="0"/>
            </w:pPr>
            <w:r>
              <w:rPr>
                <w:sz w:val="19"/>
              </w:rPr>
              <w:t>RM-14</w:t>
            </w:r>
          </w:p>
        </w:tc>
        <w:tc>
          <w:tcPr>
            <w:tcW w:type="dxa" w:w="7994"/>
          </w:tcPr>
          <w:p>
            <w:pPr>
              <w:spacing w:after="0"/>
            </w:pPr>
            <w:r>
              <w:rPr>
                <w:sz w:val="19"/>
              </w:rPr>
              <w:t>Toute action d’écriture sur un dossier (changement de statut, correction de score, planification) est journalisée dans le journal d’audit avec l’auteur et l’horodatage.</w:t>
            </w:r>
          </w:p>
        </w:tc>
      </w:tr>
      <w:tr>
        <w:tc>
          <w:tcPr>
            <w:tcW w:type="dxa" w:w="1077"/>
          </w:tcPr>
          <w:p>
            <w:pPr>
              <w:spacing w:after="0"/>
            </w:pPr>
            <w:r>
              <w:rPr>
                <w:sz w:val="19"/>
              </w:rPr>
              <w:t>RM-15</w:t>
            </w:r>
          </w:p>
        </w:tc>
        <w:tc>
          <w:tcPr>
            <w:tcW w:type="dxa" w:w="7994"/>
          </w:tcPr>
          <w:p>
            <w:pPr>
              <w:spacing w:after="0"/>
            </w:pPr>
            <w:r>
              <w:rPr>
                <w:sz w:val="19"/>
              </w:rPr>
              <w:t>Le retrait d’une candidature (WITHDRAWN) est distinct d’un rejet : il dispose de son propre filtre et n’entraîne pas la suppression du dossier.</w:t>
            </w:r>
          </w:p>
        </w:tc>
      </w:tr>
      <w:tr>
        <w:tc>
          <w:tcPr>
            <w:tcW w:type="dxa" w:w="1077"/>
          </w:tcPr>
          <w:p>
            <w:pPr>
              <w:spacing w:after="0"/>
            </w:pPr>
            <w:r>
              <w:rPr>
                <w:sz w:val="19"/>
              </w:rPr>
              <w:t>RM-16</w:t>
            </w:r>
          </w:p>
        </w:tc>
        <w:tc>
          <w:tcPr>
            <w:tcW w:type="dxa" w:w="7994"/>
          </w:tcPr>
          <w:p>
            <w:pPr>
              <w:spacing w:after="0"/>
            </w:pPr>
            <w:r>
              <w:rPr>
                <w:sz w:val="19"/>
              </w:rPr>
              <w:t>En cas d’indisponibilité ou d’erreur de l’API de Cohere, un mode dégradé calcule le score par heuristique locale (mots-clés et structure du texte) ; la source du score (COHERE ou SIMULATED) est conservée pour traçabilité.</w:t>
            </w:r>
          </w:p>
        </w:tc>
      </w:tr>
    </w:tbl>
    <w:p>
      <w:pPr>
        <w:spacing w:after="200" w:before="0"/>
      </w:pPr>
      <w:r>
        <w:rPr>
          <w:b w:val="0"/>
          <w:i/>
          <w:sz w:val="20"/>
        </w:rPr>
        <w:t>Tableau 5 : Règles métier du projet.</w:t>
      </w:r>
    </w:p>
    <w:p>
      <w:pPr>
        <w:pStyle w:val="Heading1"/>
        <w:pageBreakBefore/>
      </w:pPr>
      <w:r>
        <w:t>7. Cycle de vie d’une candidature</w:t>
      </w:r>
    </w:p>
    <w:p>
      <w:pPr>
        <w:pStyle w:val="Heading2"/>
      </w:pPr>
      <w:r>
        <w:t>7.1 Statuts d’une candidature</w:t>
      </w:r>
    </w:p>
    <w:tbl>
      <w:tblPr>
        <w:tblW w:type="auto" w:w="0"/>
        <w:jc w:val="center"/>
        <w:tblLayout w:type="fixed"/>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60" w:type="dxa"/>
          <w:left w:w="100" w:type="dxa"/>
          <w:bottom w:w="60" w:type="dxa"/>
          <w:right w:w="100" w:type="dxa"/>
        </w:tblCellMar>
      </w:tblPr>
      <w:tblGrid>
        <w:gridCol w:w="2835"/>
        <w:gridCol w:w="5216"/>
        <w:gridCol w:w="1020"/>
      </w:tblGrid>
      <w:tr>
        <w:trPr>
          <w:tblHeader/>
        </w:trPr>
        <w:tc>
          <w:tcPr>
            <w:tcW w:type="dxa" w:w="2835"/>
            <w:shd w:val="clear" w:fill="E8EEF7"/>
          </w:tcPr>
          <w:p>
            <w:pPr>
              <w:spacing w:after="0"/>
            </w:pPr>
            <w:r/>
            <w:r>
              <w:rPr>
                <w:b/>
                <w:sz w:val="19"/>
              </w:rPr>
              <w:t>Statut</w:t>
            </w:r>
          </w:p>
        </w:tc>
        <w:tc>
          <w:tcPr>
            <w:tcW w:type="dxa" w:w="5216"/>
            <w:shd w:val="clear" w:fill="E8EEF7"/>
          </w:tcPr>
          <w:p>
            <w:pPr>
              <w:spacing w:after="0"/>
            </w:pPr>
            <w:r/>
            <w:r>
              <w:rPr>
                <w:b/>
                <w:sz w:val="19"/>
              </w:rPr>
              <w:t>Signification</w:t>
            </w:r>
          </w:p>
        </w:tc>
        <w:tc>
          <w:tcPr>
            <w:tcW w:type="dxa" w:w="1020"/>
            <w:shd w:val="clear" w:fill="E8EEF7"/>
          </w:tcPr>
          <w:p>
            <w:pPr>
              <w:spacing w:after="0"/>
            </w:pPr>
            <w:r/>
            <w:r>
              <w:rPr>
                <w:b/>
                <w:sz w:val="19"/>
              </w:rPr>
              <w:t>Terminal</w:t>
            </w:r>
          </w:p>
        </w:tc>
      </w:tr>
      <w:tr>
        <w:tc>
          <w:tcPr>
            <w:tcW w:type="dxa" w:w="2835"/>
          </w:tcPr>
          <w:p>
            <w:pPr>
              <w:spacing w:after="0"/>
            </w:pPr>
            <w:r>
              <w:rPr>
                <w:sz w:val="19"/>
              </w:rPr>
              <w:t>APPLIED</w:t>
            </w:r>
          </w:p>
        </w:tc>
        <w:tc>
          <w:tcPr>
            <w:tcW w:type="dxa" w:w="5216"/>
          </w:tcPr>
          <w:p>
            <w:pPr>
              <w:spacing w:after="0"/>
            </w:pPr>
            <w:r>
              <w:rPr>
                <w:sz w:val="19"/>
              </w:rPr>
              <w:t>Candidature soumise avec CV.</w:t>
            </w:r>
          </w:p>
        </w:tc>
        <w:tc>
          <w:tcPr>
            <w:tcW w:type="dxa" w:w="1020"/>
          </w:tcPr>
          <w:p>
            <w:pPr>
              <w:spacing w:after="0"/>
            </w:pPr>
            <w:r>
              <w:rPr>
                <w:sz w:val="19"/>
              </w:rPr>
              <w:t>Non</w:t>
            </w:r>
          </w:p>
        </w:tc>
      </w:tr>
      <w:tr>
        <w:tc>
          <w:tcPr>
            <w:tcW w:type="dxa" w:w="2835"/>
          </w:tcPr>
          <w:p>
            <w:pPr>
              <w:spacing w:after="0"/>
            </w:pPr>
            <w:r>
              <w:rPr>
                <w:sz w:val="19"/>
              </w:rPr>
              <w:t xml:space="preserve">AUTO_REJECTED</w:t>
            </w:r>
          </w:p>
        </w:tc>
        <w:tc>
          <w:tcPr>
            <w:tcW w:type="dxa" w:w="5216"/>
          </w:tcPr>
          <w:p>
            <w:pPr>
              <w:spacing w:after="0"/>
            </w:pPr>
            <w:r>
              <w:rPr>
                <w:sz w:val="19"/>
              </w:rPr>
              <w:t xml:space="preserve">Rejeté automatiquement par l’IA (score inférieur au seuil) ; réversible par surcharge manuelle justifiée.</w:t>
            </w:r>
          </w:p>
        </w:tc>
        <w:tc>
          <w:tcPr>
            <w:tcW w:type="dxa" w:w="1020"/>
          </w:tcPr>
          <w:p>
            <w:pPr>
              <w:spacing w:after="0"/>
            </w:pPr>
            <w:r>
              <w:rPr>
                <w:sz w:val="19"/>
              </w:rPr>
              <w:t xml:space="preserve">Non</w:t>
            </w:r>
          </w:p>
        </w:tc>
      </w:tr>
      <w:tr>
        <w:tc>
          <w:tcPr>
            <w:tcW w:type="dxa" w:w="2835"/>
          </w:tcPr>
          <w:p>
            <w:pPr>
              <w:spacing w:after="0"/>
            </w:pPr>
            <w:r>
              <w:rPr>
                <w:sz w:val="19"/>
              </w:rPr>
              <w:t>CV_REVIEWED</w:t>
            </w:r>
          </w:p>
        </w:tc>
        <w:tc>
          <w:tcPr>
            <w:tcW w:type="dxa" w:w="5216"/>
          </w:tcPr>
          <w:p>
            <w:pPr>
              <w:spacing w:after="0"/>
            </w:pPr>
            <w:r>
              <w:rPr>
                <w:sz w:val="19"/>
              </w:rPr>
              <w:t>CV examiné et validé par le RH.</w:t>
            </w:r>
          </w:p>
        </w:tc>
        <w:tc>
          <w:tcPr>
            <w:tcW w:type="dxa" w:w="1020"/>
          </w:tcPr>
          <w:p>
            <w:pPr>
              <w:spacing w:after="0"/>
            </w:pPr>
            <w:r>
              <w:rPr>
                <w:sz w:val="19"/>
              </w:rPr>
              <w:t>Non</w:t>
            </w:r>
          </w:p>
        </w:tc>
      </w:tr>
      <w:tr>
        <w:tc>
          <w:tcPr>
            <w:tcW w:type="dxa" w:w="2835"/>
          </w:tcPr>
          <w:p>
            <w:pPr>
              <w:spacing w:after="0"/>
            </w:pPr>
            <w:r>
              <w:rPr>
                <w:sz w:val="19"/>
              </w:rPr>
              <w:t>PHONE_SCREENING</w:t>
            </w:r>
          </w:p>
        </w:tc>
        <w:tc>
          <w:tcPr>
            <w:tcW w:type="dxa" w:w="5216"/>
          </w:tcPr>
          <w:p>
            <w:pPr>
              <w:spacing w:after="0"/>
            </w:pPr>
            <w:r>
              <w:rPr>
                <w:sz w:val="19"/>
              </w:rPr>
              <w:t>Entretien téléphonique de pré-sélection mené par le RH.</w:t>
            </w:r>
          </w:p>
        </w:tc>
        <w:tc>
          <w:tcPr>
            <w:tcW w:type="dxa" w:w="1020"/>
          </w:tcPr>
          <w:p>
            <w:pPr>
              <w:spacing w:after="0"/>
            </w:pPr>
            <w:r>
              <w:rPr>
                <w:sz w:val="19"/>
              </w:rPr>
              <w:t>Non</w:t>
            </w:r>
          </w:p>
        </w:tc>
      </w:tr>
      <w:tr>
        <w:tc>
          <w:tcPr>
            <w:tcW w:type="dxa" w:w="2835"/>
          </w:tcPr>
          <w:p>
            <w:pPr>
              <w:spacing w:after="0"/>
            </w:pPr>
            <w:r>
              <w:rPr>
                <w:sz w:val="19"/>
              </w:rPr>
              <w:t>TECHNICAL_TEST</w:t>
            </w:r>
          </w:p>
        </w:tc>
        <w:tc>
          <w:tcPr>
            <w:tcW w:type="dxa" w:w="5216"/>
          </w:tcPr>
          <w:p>
            <w:pPr>
              <w:spacing w:after="0"/>
            </w:pPr>
            <w:r>
              <w:rPr>
                <w:sz w:val="19"/>
              </w:rPr>
              <w:t>Évaluation technique : le manager du département est routé et notifié.</w:t>
            </w:r>
          </w:p>
        </w:tc>
        <w:tc>
          <w:tcPr>
            <w:tcW w:type="dxa" w:w="1020"/>
          </w:tcPr>
          <w:p>
            <w:pPr>
              <w:spacing w:after="0"/>
            </w:pPr>
            <w:r>
              <w:rPr>
                <w:sz w:val="19"/>
              </w:rPr>
              <w:t>Non</w:t>
            </w:r>
          </w:p>
        </w:tc>
      </w:tr>
      <w:tr>
        <w:tc>
          <w:tcPr>
            <w:tcW w:type="dxa" w:w="2835"/>
          </w:tcPr>
          <w:p>
            <w:pPr>
              <w:spacing w:after="0"/>
            </w:pPr>
            <w:r>
              <w:rPr>
                <w:sz w:val="19"/>
              </w:rPr>
              <w:t>INTERVIEW / FINAL_INTERVIEW</w:t>
            </w:r>
          </w:p>
        </w:tc>
        <w:tc>
          <w:tcPr>
            <w:tcW w:type="dxa" w:w="5216"/>
          </w:tcPr>
          <w:p>
            <w:pPr>
              <w:spacing w:after="0"/>
            </w:pPr>
            <w:r>
              <w:rPr>
                <w:sz w:val="19"/>
              </w:rPr>
              <w:t>Entretiens technique et final avec le manager.</w:t>
            </w:r>
          </w:p>
        </w:tc>
        <w:tc>
          <w:tcPr>
            <w:tcW w:type="dxa" w:w="1020"/>
          </w:tcPr>
          <w:p>
            <w:pPr>
              <w:spacing w:after="0"/>
            </w:pPr>
            <w:r>
              <w:rPr>
                <w:sz w:val="19"/>
              </w:rPr>
              <w:t>Non</w:t>
            </w:r>
          </w:p>
        </w:tc>
      </w:tr>
      <w:tr>
        <w:tc>
          <w:tcPr>
            <w:tcW w:type="dxa" w:w="2835"/>
          </w:tcPr>
          <w:p>
            <w:pPr>
              <w:spacing w:after="0"/>
            </w:pPr>
            <w:r>
              <w:rPr>
                <w:sz w:val="19"/>
              </w:rPr>
              <w:t>INTERVIEW_SCHEDULED</w:t>
            </w:r>
          </w:p>
        </w:tc>
        <w:tc>
          <w:tcPr>
            <w:tcW w:type="dxa" w:w="5216"/>
          </w:tcPr>
          <w:p>
            <w:pPr>
              <w:spacing w:after="0"/>
            </w:pPr>
            <w:r>
              <w:rPr>
                <w:sz w:val="19"/>
              </w:rPr>
              <w:t>Convocation à l’entretien final de cadrage RH et à la signature de la promesse d’embauche, consécutive à l’acceptation.</w:t>
            </w:r>
          </w:p>
        </w:tc>
        <w:tc>
          <w:tcPr>
            <w:tcW w:type="dxa" w:w="1020"/>
          </w:tcPr>
          <w:p>
            <w:pPr>
              <w:spacing w:after="0"/>
            </w:pPr>
            <w:r>
              <w:rPr>
                <w:sz w:val="19"/>
              </w:rPr>
              <w:t>Non</w:t>
            </w:r>
          </w:p>
        </w:tc>
      </w:tr>
      <w:tr>
        <w:tc>
          <w:tcPr>
            <w:tcW w:type="dxa" w:w="2835"/>
          </w:tcPr>
          <w:p>
            <w:pPr>
              <w:spacing w:after="0"/>
            </w:pPr>
            <w:r>
              <w:rPr>
                <w:sz w:val="19"/>
              </w:rPr>
              <w:t>ACCEPTED</w:t>
            </w:r>
          </w:p>
        </w:tc>
        <w:tc>
          <w:tcPr>
            <w:tcW w:type="dxa" w:w="5216"/>
          </w:tcPr>
          <w:p>
            <w:pPr>
              <w:spacing w:after="0"/>
            </w:pPr>
            <w:r>
              <w:rPr>
                <w:sz w:val="19"/>
              </w:rPr>
              <w:t>Candidat accepté en pré-embauche.</w:t>
            </w:r>
          </w:p>
        </w:tc>
        <w:tc>
          <w:tcPr>
            <w:tcW w:type="dxa" w:w="1020"/>
          </w:tcPr>
          <w:p>
            <w:pPr>
              <w:spacing w:after="0"/>
            </w:pPr>
            <w:r>
              <w:rPr>
                <w:sz w:val="19"/>
              </w:rPr>
              <w:t>Non</w:t>
            </w:r>
          </w:p>
        </w:tc>
      </w:tr>
      <w:tr>
        <w:tc>
          <w:tcPr>
            <w:tcW w:type="dxa" w:w="2835"/>
          </w:tcPr>
          <w:p>
            <w:pPr>
              <w:spacing w:after="0"/>
            </w:pPr>
            <w:r>
              <w:rPr>
                <w:sz w:val="19"/>
              </w:rPr>
              <w:t>HIRED</w:t>
            </w:r>
          </w:p>
        </w:tc>
        <w:tc>
          <w:tcPr>
            <w:tcW w:type="dxa" w:w="5216"/>
          </w:tcPr>
          <w:p>
            <w:pPr>
              <w:spacing w:after="0"/>
            </w:pPr>
            <w:r>
              <w:rPr>
                <w:sz w:val="19"/>
              </w:rPr>
              <w:t>Décision finale positive : candidat embauché.</w:t>
            </w:r>
          </w:p>
        </w:tc>
        <w:tc>
          <w:tcPr>
            <w:tcW w:type="dxa" w:w="1020"/>
          </w:tcPr>
          <w:p>
            <w:pPr>
              <w:spacing w:after="0"/>
            </w:pPr>
            <w:r>
              <w:rPr>
                <w:sz w:val="19"/>
              </w:rPr>
              <w:t>Oui</w:t>
            </w:r>
          </w:p>
        </w:tc>
      </w:tr>
      <w:tr>
        <w:tc>
          <w:tcPr>
            <w:tcW w:type="dxa" w:w="2835"/>
          </w:tcPr>
          <w:p>
            <w:pPr>
              <w:spacing w:after="0"/>
            </w:pPr>
            <w:r>
              <w:rPr>
                <w:sz w:val="19"/>
              </w:rPr>
              <w:t>MANAGER_REJECTED</w:t>
            </w:r>
          </w:p>
        </w:tc>
        <w:tc>
          <w:tcPr>
            <w:tcW w:type="dxa" w:w="5216"/>
          </w:tcPr>
          <w:p>
            <w:pPr>
              <w:spacing w:after="0"/>
            </w:pPr>
            <w:r>
              <w:rPr>
                <w:sz w:val="19"/>
              </w:rPr>
              <w:t>Refus prononcé par le manager ou le RH après validation du dossier.</w:t>
            </w:r>
          </w:p>
        </w:tc>
        <w:tc>
          <w:tcPr>
            <w:tcW w:type="dxa" w:w="1020"/>
          </w:tcPr>
          <w:p>
            <w:pPr>
              <w:spacing w:after="0"/>
            </w:pPr>
            <w:r>
              <w:rPr>
                <w:sz w:val="19"/>
              </w:rPr>
              <w:t>Oui</w:t>
            </w:r>
          </w:p>
        </w:tc>
      </w:tr>
      <w:tr>
        <w:tc>
          <w:tcPr>
            <w:tcW w:type="dxa" w:w="2835"/>
          </w:tcPr>
          <w:p>
            <w:pPr>
              <w:spacing w:after="0"/>
            </w:pPr>
            <w:r>
              <w:rPr>
                <w:sz w:val="19"/>
              </w:rPr>
              <w:t>WITHDRAWN</w:t>
            </w:r>
          </w:p>
        </w:tc>
        <w:tc>
          <w:tcPr>
            <w:tcW w:type="dxa" w:w="5216"/>
          </w:tcPr>
          <w:p>
            <w:pPr>
              <w:spacing w:after="0"/>
            </w:pPr>
            <w:r>
              <w:rPr>
                <w:sz w:val="19"/>
              </w:rPr>
              <w:t>Candidature retirée par le candidat.</w:t>
            </w:r>
          </w:p>
        </w:tc>
        <w:tc>
          <w:tcPr>
            <w:tcW w:type="dxa" w:w="1020"/>
          </w:tcPr>
          <w:p>
            <w:pPr>
              <w:spacing w:after="0"/>
            </w:pPr>
            <w:r>
              <w:rPr>
                <w:sz w:val="19"/>
              </w:rPr>
              <w:t>Oui</w:t>
            </w:r>
          </w:p>
        </w:tc>
      </w:tr>
    </w:tbl>
    <w:p>
      <w:pPr>
        <w:spacing w:after="200" w:before="0"/>
      </w:pPr>
      <w:r>
        <w:rPr>
          <w:b w:val="0"/>
          <w:i/>
          <w:sz w:val="20"/>
        </w:rPr>
        <w:t>Tableau 6 : Statuts possibles d’une candidature.</w:t>
      </w:r>
    </w:p>
    <w:p>
      <w:pPr>
        <w:spacing w:after="160" w:before="0"/>
      </w:pPr>
      <w:r>
        <w:rPr>
          <w:b w:val="0"/>
          <w:i w:val="0"/>
          <w:sz w:val="22"/>
        </w:rPr>
        <w:t>Les états terminaux (HIRED, MANAGER_REJECTED, WITHDRAWN) n’autorisent plus aucune modification du statut depuis l’interface d’administration. L’état AUTO_REJECTED n’est pas définitif : une correction manuelle justifiée du score le ramène vers CV_REVIEWED.</w:t>
      </w:r>
    </w:p>
    <w:p>
      <w:pPr>
        <w:pStyle w:val="Heading2"/>
      </w:pPr>
      <w:r>
        <w:t>7.2 Transitions autorisées</w:t>
      </w:r>
    </w:p>
    <w:tbl>
      <w:tblPr>
        <w:tblW w:type="auto" w:w="0"/>
        <w:jc w:val="center"/>
        <w:tblLayout w:type="fixed"/>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60" w:type="dxa"/>
          <w:left w:w="100" w:type="dxa"/>
          <w:bottom w:w="60" w:type="dxa"/>
          <w:right w:w="100" w:type="dxa"/>
        </w:tblCellMar>
      </w:tblPr>
      <w:tblGrid>
        <w:gridCol w:w="2211"/>
        <w:gridCol w:w="2494"/>
        <w:gridCol w:w="1871"/>
        <w:gridCol w:w="2494"/>
      </w:tblGrid>
      <w:tr>
        <w:trPr>
          <w:tblHeader/>
        </w:trPr>
        <w:tc>
          <w:tcPr>
            <w:tcW w:type="dxa" w:w="2211"/>
            <w:shd w:val="clear" w:fill="E8EEF7"/>
          </w:tcPr>
          <w:p>
            <w:pPr>
              <w:spacing w:after="0"/>
            </w:pPr>
            <w:r/>
            <w:r>
              <w:rPr>
                <w:b/>
                <w:sz w:val="19"/>
              </w:rPr>
              <w:t>De</w:t>
            </w:r>
          </w:p>
        </w:tc>
        <w:tc>
          <w:tcPr>
            <w:tcW w:type="dxa" w:w="2494"/>
            <w:shd w:val="clear" w:fill="E8EEF7"/>
          </w:tcPr>
          <w:p>
            <w:pPr>
              <w:spacing w:after="0"/>
            </w:pPr>
            <w:r/>
            <w:r>
              <w:rPr>
                <w:b/>
                <w:sz w:val="19"/>
              </w:rPr>
              <w:t>Vers</w:t>
            </w:r>
          </w:p>
        </w:tc>
        <w:tc>
          <w:tcPr>
            <w:tcW w:type="dxa" w:w="1871"/>
            <w:shd w:val="clear" w:fill="E8EEF7"/>
          </w:tcPr>
          <w:p>
            <w:pPr>
              <w:spacing w:after="0"/>
            </w:pPr>
            <w:r/>
            <w:r>
              <w:rPr>
                <w:b/>
                <w:sz w:val="19"/>
              </w:rPr>
              <w:t>Déclencheur</w:t>
            </w:r>
          </w:p>
        </w:tc>
        <w:tc>
          <w:tcPr>
            <w:tcW w:type="dxa" w:w="2494"/>
            <w:shd w:val="clear" w:fill="E8EEF7"/>
          </w:tcPr>
          <w:p>
            <w:pPr>
              <w:spacing w:after="0"/>
            </w:pPr>
            <w:r/>
            <w:r>
              <w:rPr>
                <w:b/>
                <w:sz w:val="19"/>
              </w:rPr>
              <w:t>Condition</w:t>
            </w:r>
          </w:p>
        </w:tc>
      </w:tr>
      <w:tr>
        <w:tc>
          <w:tcPr>
            <w:tcW w:type="dxa" w:w="2211"/>
          </w:tcPr>
          <w:p>
            <w:pPr>
              <w:spacing w:after="0"/>
            </w:pPr>
            <w:r>
              <w:rPr>
                <w:sz w:val="19"/>
              </w:rPr>
              <w:t xml:space="preserve">Dépôt du CV</w:t>
            </w:r>
          </w:p>
        </w:tc>
        <w:tc>
          <w:tcPr>
            <w:tcW w:type="dxa" w:w="2494"/>
          </w:tcPr>
          <w:p>
            <w:pPr>
              <w:spacing w:after="0"/>
            </w:pPr>
            <w:r>
              <w:rPr>
                <w:sz w:val="19"/>
              </w:rPr>
              <w:t xml:space="preserve">APPLIED</w:t>
            </w:r>
          </w:p>
        </w:tc>
        <w:tc>
          <w:tcPr>
            <w:tcW w:type="dxa" w:w="1871"/>
          </w:tcPr>
          <w:p>
            <w:pPr>
              <w:spacing w:after="0"/>
            </w:pPr>
            <w:r>
              <w:rPr>
                <w:sz w:val="19"/>
              </w:rPr>
              <w:t xml:space="preserve">Candidat</w:t>
            </w:r>
          </w:p>
        </w:tc>
        <w:tc>
          <w:tcPr>
            <w:tcW w:type="dxa" w:w="2494"/>
          </w:tcPr>
          <w:p>
            <w:pPr>
              <w:spacing w:after="0"/>
            </w:pPr>
            <w:r>
              <w:rPr>
                <w:sz w:val="19"/>
              </w:rPr>
              <w:t xml:space="preserve">Candidature créée et CV enregistré.</w:t>
            </w:r>
          </w:p>
        </w:tc>
      </w:tr>
      <w:tr>
        <w:tc>
          <w:tcPr>
            <w:tcW w:type="dxa" w:w="2211"/>
          </w:tcPr>
          <w:p>
            <w:pPr>
              <w:spacing w:after="0"/>
            </w:pPr>
            <w:r>
              <w:rPr>
                <w:sz w:val="19"/>
              </w:rPr>
              <w:t xml:space="preserve">APPLIED</w:t>
            </w:r>
          </w:p>
        </w:tc>
        <w:tc>
          <w:tcPr>
            <w:tcW w:type="dxa" w:w="2494"/>
          </w:tcPr>
          <w:p>
            <w:pPr>
              <w:spacing w:after="0"/>
            </w:pPr>
            <w:r>
              <w:rPr>
                <w:sz w:val="19"/>
              </w:rPr>
              <w:t xml:space="preserve">CV_REVIEWED</w:t>
            </w:r>
          </w:p>
        </w:tc>
        <w:tc>
          <w:tcPr>
            <w:tcW w:type="dxa" w:w="1871"/>
          </w:tcPr>
          <w:p>
            <w:pPr>
              <w:spacing w:after="0"/>
            </w:pPr>
            <w:r>
              <w:rPr>
                <w:sz w:val="19"/>
              </w:rPr>
              <w:t xml:space="preserve">Système (agent n8n / IA)</w:t>
            </w:r>
          </w:p>
        </w:tc>
        <w:tc>
          <w:tcPr>
            <w:tcW w:type="dxa" w:w="2494"/>
          </w:tcPr>
          <w:p>
            <w:pPr>
              <w:spacing w:after="0"/>
            </w:pPr>
            <w:r>
              <w:rPr>
                <w:sz w:val="19"/>
              </w:rPr>
              <w:t xml:space="preserve">Score IA supérieur ou égal au seuil (60/100).</w:t>
            </w:r>
          </w:p>
        </w:tc>
      </w:tr>
      <w:tr>
        <w:tc>
          <w:tcPr>
            <w:tcW w:type="dxa" w:w="2211"/>
          </w:tcPr>
          <w:p>
            <w:pPr>
              <w:spacing w:after="0"/>
            </w:pPr>
            <w:r>
              <w:rPr>
                <w:sz w:val="19"/>
              </w:rPr>
              <w:t xml:space="preserve">APPLIED</w:t>
            </w:r>
          </w:p>
        </w:tc>
        <w:tc>
          <w:tcPr>
            <w:tcW w:type="dxa" w:w="2494"/>
          </w:tcPr>
          <w:p>
            <w:pPr>
              <w:spacing w:after="0"/>
            </w:pPr>
            <w:r>
              <w:rPr>
                <w:sz w:val="19"/>
              </w:rPr>
              <w:t xml:space="preserve">AUTO_REJECTED</w:t>
            </w:r>
          </w:p>
        </w:tc>
        <w:tc>
          <w:tcPr>
            <w:tcW w:type="dxa" w:w="1871"/>
          </w:tcPr>
          <w:p>
            <w:pPr>
              <w:spacing w:after="0"/>
            </w:pPr>
            <w:r>
              <w:rPr>
                <w:sz w:val="19"/>
              </w:rPr>
              <w:t xml:space="preserve">Système (agent n8n / IA)</w:t>
            </w:r>
          </w:p>
        </w:tc>
        <w:tc>
          <w:tcPr>
            <w:tcW w:type="dxa" w:w="2494"/>
          </w:tcPr>
          <w:p>
            <w:pPr>
              <w:spacing w:after="0"/>
            </w:pPr>
            <w:r>
              <w:rPr>
                <w:sz w:val="19"/>
              </w:rPr>
              <w:t xml:space="preserve">Score IA inférieur au seuil.</w:t>
            </w:r>
          </w:p>
        </w:tc>
      </w:tr>
      <w:tr>
        <w:tc>
          <w:tcPr>
            <w:tcW w:type="dxa" w:w="2211"/>
          </w:tcPr>
          <w:p>
            <w:pPr>
              <w:spacing w:after="0"/>
            </w:pPr>
            <w:r>
              <w:rPr>
                <w:sz w:val="19"/>
              </w:rPr>
              <w:t xml:space="preserve">AUTO_REJECTED</w:t>
            </w:r>
          </w:p>
        </w:tc>
        <w:tc>
          <w:tcPr>
            <w:tcW w:type="dxa" w:w="2494"/>
          </w:tcPr>
          <w:p>
            <w:pPr>
              <w:spacing w:after="0"/>
            </w:pPr>
            <w:r>
              <w:rPr>
                <w:sz w:val="19"/>
              </w:rPr>
              <w:t xml:space="preserve">CV_REVIEWED</w:t>
            </w:r>
          </w:p>
        </w:tc>
        <w:tc>
          <w:tcPr>
            <w:tcW w:type="dxa" w:w="1871"/>
          </w:tcPr>
          <w:p>
            <w:pPr>
              <w:spacing w:after="0"/>
            </w:pPr>
            <w:r>
              <w:rPr>
                <w:sz w:val="19"/>
              </w:rPr>
              <w:t xml:space="preserve">RH / Administrateur</w:t>
            </w:r>
          </w:p>
        </w:tc>
        <w:tc>
          <w:tcPr>
            <w:tcW w:type="dxa" w:w="2494"/>
          </w:tcPr>
          <w:p>
            <w:pPr>
              <w:spacing w:after="0"/>
            </w:pPr>
            <w:r>
              <w:rPr>
                <w:sz w:val="19"/>
              </w:rPr>
              <w:t xml:space="preserve">Surcharge manuelle du score justifiée et journalisée.</w:t>
            </w:r>
          </w:p>
        </w:tc>
      </w:tr>
      <w:tr>
        <w:tc>
          <w:tcPr>
            <w:tcW w:type="dxa" w:w="2211"/>
          </w:tcPr>
          <w:p>
            <w:pPr>
              <w:spacing w:after="0"/>
            </w:pPr>
            <w:r>
              <w:rPr>
                <w:sz w:val="19"/>
              </w:rPr>
              <w:t xml:space="preserve">CV_REVIEWED</w:t>
            </w:r>
          </w:p>
        </w:tc>
        <w:tc>
          <w:tcPr>
            <w:tcW w:type="dxa" w:w="2494"/>
          </w:tcPr>
          <w:p>
            <w:pPr>
              <w:spacing w:after="0"/>
            </w:pPr>
            <w:r>
              <w:rPr>
                <w:sz w:val="19"/>
              </w:rPr>
              <w:t xml:space="preserve">PHONE_SCREENING</w:t>
            </w:r>
          </w:p>
        </w:tc>
        <w:tc>
          <w:tcPr>
            <w:tcW w:type="dxa" w:w="1871"/>
          </w:tcPr>
          <w:p>
            <w:pPr>
              <w:spacing w:after="0"/>
            </w:pPr>
            <w:r>
              <w:rPr>
                <w:sz w:val="19"/>
              </w:rPr>
              <w:t xml:space="preserve">RH</w:t>
            </w:r>
          </w:p>
        </w:tc>
        <w:tc>
          <w:tcPr>
            <w:tcW w:type="dxa" w:w="2494"/>
          </w:tcPr>
          <w:p>
            <w:pPr>
              <w:spacing w:after="0"/>
            </w:pPr>
            <w:r>
              <w:rPr>
                <w:sz w:val="19"/>
              </w:rPr>
              <w:t xml:space="preserve">Entretien téléphonique de pré-sélection planifié.</w:t>
            </w:r>
          </w:p>
        </w:tc>
      </w:tr>
      <w:tr>
        <w:tc>
          <w:tcPr>
            <w:tcW w:type="dxa" w:w="2211"/>
          </w:tcPr>
          <w:p>
            <w:pPr>
              <w:spacing w:after="0"/>
            </w:pPr>
            <w:r>
              <w:rPr>
                <w:sz w:val="19"/>
              </w:rPr>
              <w:t xml:space="preserve">CV_REVIEWED</w:t>
            </w:r>
          </w:p>
        </w:tc>
        <w:tc>
          <w:tcPr>
            <w:tcW w:type="dxa" w:w="2494"/>
          </w:tcPr>
          <w:p>
            <w:pPr>
              <w:spacing w:after="0"/>
            </w:pPr>
            <w:r>
              <w:rPr>
                <w:sz w:val="19"/>
              </w:rPr>
              <w:t xml:space="preserve">AUTO_REJECTED</w:t>
            </w:r>
          </w:p>
        </w:tc>
        <w:tc>
          <w:tcPr>
            <w:tcW w:type="dxa" w:w="1871"/>
          </w:tcPr>
          <w:p>
            <w:pPr>
              <w:spacing w:after="0"/>
            </w:pPr>
            <w:r>
              <w:rPr>
                <w:sz w:val="19"/>
              </w:rPr>
              <w:t xml:space="preserve">RH / Administrateur</w:t>
            </w:r>
          </w:p>
        </w:tc>
        <w:tc>
          <w:tcPr>
            <w:tcW w:type="dxa" w:w="2494"/>
          </w:tcPr>
          <w:p>
            <w:pPr>
              <w:spacing w:after="0"/>
            </w:pPr>
            <w:r>
              <w:rPr>
                <w:sz w:val="19"/>
              </w:rPr>
              <w:t xml:space="preserve">Score corrigé ramené sous le seuil.</w:t>
            </w:r>
          </w:p>
        </w:tc>
      </w:tr>
      <w:tr>
        <w:tc>
          <w:tcPr>
            <w:tcW w:type="dxa" w:w="2211"/>
          </w:tcPr>
          <w:p>
            <w:pPr>
              <w:spacing w:after="0"/>
            </w:pPr>
            <w:r>
              <w:rPr>
                <w:sz w:val="19"/>
              </w:rPr>
              <w:t xml:space="preserve">CV_REVIEWED</w:t>
            </w:r>
          </w:p>
        </w:tc>
        <w:tc>
          <w:tcPr>
            <w:tcW w:type="dxa" w:w="2494"/>
          </w:tcPr>
          <w:p>
            <w:pPr>
              <w:spacing w:after="0"/>
            </w:pPr>
            <w:r>
              <w:rPr>
                <w:sz w:val="19"/>
              </w:rPr>
              <w:t xml:space="preserve">MANAGER_REJECTED</w:t>
            </w:r>
          </w:p>
        </w:tc>
        <w:tc>
          <w:tcPr>
            <w:tcW w:type="dxa" w:w="1871"/>
          </w:tcPr>
          <w:p>
            <w:pPr>
              <w:spacing w:after="0"/>
            </w:pPr>
            <w:r>
              <w:rPr>
                <w:sz w:val="19"/>
              </w:rPr>
              <w:t xml:space="preserve">RH</w:t>
            </w:r>
          </w:p>
        </w:tc>
        <w:tc>
          <w:tcPr>
            <w:tcW w:type="dxa" w:w="2494"/>
          </w:tcPr>
          <w:p>
            <w:pPr>
              <w:spacing w:after="0"/>
            </w:pPr>
            <w:r>
              <w:rPr>
                <w:sz w:val="19"/>
              </w:rPr>
              <w:t xml:space="preserve">Refus possible sans attendre l’entretien téléphonique.</w:t>
            </w:r>
          </w:p>
        </w:tc>
      </w:tr>
      <w:tr>
        <w:tc>
          <w:tcPr>
            <w:tcW w:type="dxa" w:w="2211"/>
          </w:tcPr>
          <w:p>
            <w:pPr>
              <w:spacing w:after="0"/>
            </w:pPr>
            <w:r>
              <w:rPr>
                <w:sz w:val="19"/>
              </w:rPr>
              <w:t xml:space="preserve">PHONE_SCREENING</w:t>
            </w:r>
          </w:p>
        </w:tc>
        <w:tc>
          <w:tcPr>
            <w:tcW w:type="dxa" w:w="2494"/>
          </w:tcPr>
          <w:p>
            <w:pPr>
              <w:spacing w:after="0"/>
            </w:pPr>
            <w:r>
              <w:rPr>
                <w:sz w:val="19"/>
              </w:rPr>
              <w:t xml:space="preserve">TECHNICAL_TEST</w:t>
            </w:r>
          </w:p>
        </w:tc>
        <w:tc>
          <w:tcPr>
            <w:tcW w:type="dxa" w:w="1871"/>
          </w:tcPr>
          <w:p>
            <w:pPr>
              <w:spacing w:after="0"/>
            </w:pPr>
            <w:r>
              <w:rPr>
                <w:sz w:val="19"/>
              </w:rPr>
              <w:t xml:space="preserve">RH</w:t>
            </w:r>
          </w:p>
        </w:tc>
        <w:tc>
          <w:tcPr>
            <w:tcW w:type="dxa" w:w="2494"/>
          </w:tcPr>
          <w:p>
            <w:pPr>
              <w:spacing w:after="0"/>
            </w:pPr>
            <w:r>
              <w:rPr>
                <w:sz w:val="19"/>
              </w:rPr>
              <w:t xml:space="preserve">Issue positive de l’entretien téléphonique ; routage et notification des managers du département.</w:t>
            </w:r>
          </w:p>
        </w:tc>
      </w:tr>
      <w:tr>
        <w:tc>
          <w:tcPr>
            <w:tcW w:type="dxa" w:w="2211"/>
          </w:tcPr>
          <w:p>
            <w:pPr>
              <w:spacing w:after="0"/>
            </w:pPr>
            <w:r>
              <w:rPr>
                <w:sz w:val="19"/>
              </w:rPr>
              <w:t xml:space="preserve">PHONE_SCREENING</w:t>
            </w:r>
          </w:p>
        </w:tc>
        <w:tc>
          <w:tcPr>
            <w:tcW w:type="dxa" w:w="2494"/>
          </w:tcPr>
          <w:p>
            <w:pPr>
              <w:spacing w:after="0"/>
            </w:pPr>
            <w:r>
              <w:rPr>
                <w:sz w:val="19"/>
              </w:rPr>
              <w:t xml:space="preserve">ACCEPTED</w:t>
            </w:r>
          </w:p>
        </w:tc>
        <w:tc>
          <w:tcPr>
            <w:tcW w:type="dxa" w:w="1871"/>
          </w:tcPr>
          <w:p>
            <w:pPr>
              <w:spacing w:after="0"/>
            </w:pPr>
            <w:r>
              <w:rPr>
                <w:sz w:val="19"/>
              </w:rPr>
              <w:t xml:space="preserve">RH / Manager</w:t>
            </w:r>
          </w:p>
        </w:tc>
        <w:tc>
          <w:tcPr>
            <w:tcW w:type="dxa" w:w="2494"/>
          </w:tcPr>
          <w:p>
            <w:pPr>
              <w:spacing w:after="0"/>
            </w:pPr>
            <w:r>
              <w:rPr>
                <w:sz w:val="19"/>
              </w:rPr>
              <w:t xml:space="preserve">Acceptation prononcée dès l’issue de l’entretien téléphonique.</w:t>
            </w:r>
          </w:p>
        </w:tc>
      </w:tr>
      <w:tr>
        <w:tc>
          <w:tcPr>
            <w:tcW w:type="dxa" w:w="2211"/>
          </w:tcPr>
          <w:p>
            <w:pPr>
              <w:spacing w:after="0"/>
            </w:pPr>
            <w:r>
              <w:rPr>
                <w:sz w:val="19"/>
              </w:rPr>
              <w:t xml:space="preserve">PHONE_SCREENING</w:t>
            </w:r>
          </w:p>
        </w:tc>
        <w:tc>
          <w:tcPr>
            <w:tcW w:type="dxa" w:w="2494"/>
          </w:tcPr>
          <w:p>
            <w:pPr>
              <w:spacing w:after="0"/>
            </w:pPr>
            <w:r>
              <w:rPr>
                <w:sz w:val="19"/>
              </w:rPr>
              <w:t xml:space="preserve">MANAGER_REJECTED</w:t>
            </w:r>
          </w:p>
        </w:tc>
        <w:tc>
          <w:tcPr>
            <w:tcW w:type="dxa" w:w="1871"/>
          </w:tcPr>
          <w:p>
            <w:pPr>
              <w:spacing w:after="0"/>
            </w:pPr>
            <w:r>
              <w:rPr>
                <w:sz w:val="19"/>
              </w:rPr>
              <w:t xml:space="preserve">RH</w:t>
            </w:r>
          </w:p>
        </w:tc>
        <w:tc>
          <w:tcPr>
            <w:tcW w:type="dxa" w:w="2494"/>
          </w:tcPr>
          <w:p>
            <w:pPr>
              <w:spacing w:after="0"/>
            </w:pPr>
            <w:r>
              <w:rPr>
                <w:sz w:val="19"/>
              </w:rPr>
              <w:t xml:space="preserve">Profil écarté à l’issue de l’entretien téléphonique.</w:t>
            </w:r>
          </w:p>
        </w:tc>
      </w:tr>
      <w:tr>
        <w:tc>
          <w:tcPr>
            <w:tcW w:type="dxa" w:w="2211"/>
          </w:tcPr>
          <w:p>
            <w:pPr>
              <w:spacing w:after="0"/>
            </w:pPr>
            <w:r>
              <w:rPr>
                <w:sz w:val="19"/>
              </w:rPr>
              <w:t xml:space="preserve">TECHNICAL_TEST</w:t>
            </w:r>
          </w:p>
        </w:tc>
        <w:tc>
          <w:tcPr>
            <w:tcW w:type="dxa" w:w="2494"/>
          </w:tcPr>
          <w:p>
            <w:pPr>
              <w:spacing w:after="0"/>
            </w:pPr>
            <w:r>
              <w:rPr>
                <w:sz w:val="19"/>
              </w:rPr>
              <w:t xml:space="preserve">INTERVIEW</w:t>
            </w:r>
          </w:p>
        </w:tc>
        <w:tc>
          <w:tcPr>
            <w:tcW w:type="dxa" w:w="1871"/>
          </w:tcPr>
          <w:p>
            <w:pPr>
              <w:spacing w:after="0"/>
            </w:pPr>
            <w:r>
              <w:rPr>
                <w:sz w:val="19"/>
              </w:rPr>
              <w:t xml:space="preserve">Manager</w:t>
            </w:r>
          </w:p>
        </w:tc>
        <w:tc>
          <w:tcPr>
            <w:tcW w:type="dxa" w:w="2494"/>
          </w:tcPr>
          <w:p>
            <w:pPr>
              <w:spacing w:after="0"/>
            </w:pPr>
            <w:r>
              <w:rPr>
                <w:sz w:val="19"/>
              </w:rPr>
              <w:t xml:space="preserve">Entretien technique réalisé.</w:t>
            </w:r>
          </w:p>
        </w:tc>
      </w:tr>
      <w:tr>
        <w:tc>
          <w:tcPr>
            <w:tcW w:type="dxa" w:w="2211"/>
          </w:tcPr>
          <w:p>
            <w:pPr>
              <w:spacing w:after="0"/>
            </w:pPr>
            <w:r>
              <w:rPr>
                <w:sz w:val="19"/>
              </w:rPr>
              <w:t xml:space="preserve">TECHNICAL_TEST</w:t>
            </w:r>
          </w:p>
        </w:tc>
        <w:tc>
          <w:tcPr>
            <w:tcW w:type="dxa" w:w="2494"/>
          </w:tcPr>
          <w:p>
            <w:pPr>
              <w:spacing w:after="0"/>
            </w:pPr>
            <w:r>
              <w:rPr>
                <w:sz w:val="19"/>
              </w:rPr>
              <w:t xml:space="preserve">ACCEPTED / MANAGER_REJECTED</w:t>
            </w:r>
          </w:p>
        </w:tc>
        <w:tc>
          <w:tcPr>
            <w:tcW w:type="dxa" w:w="1871"/>
          </w:tcPr>
          <w:p>
            <w:pPr>
              <w:spacing w:after="0"/>
            </w:pPr>
            <w:r>
              <w:rPr>
                <w:sz w:val="19"/>
              </w:rPr>
              <w:t xml:space="preserve">Manager / RH</w:t>
            </w:r>
          </w:p>
        </w:tc>
        <w:tc>
          <w:tcPr>
            <w:tcW w:type="dxa" w:w="2494"/>
          </w:tcPr>
          <w:p>
            <w:pPr>
              <w:spacing w:after="0"/>
            </w:pPr>
            <w:r>
              <w:rPr>
                <w:sz w:val="19"/>
              </w:rPr>
              <w:t xml:space="preserve">Décision prise sans entretien complémentaire.</w:t>
            </w:r>
          </w:p>
        </w:tc>
      </w:tr>
      <w:tr>
        <w:tc>
          <w:tcPr>
            <w:tcW w:type="dxa" w:w="2211"/>
          </w:tcPr>
          <w:p>
            <w:pPr>
              <w:spacing w:after="0"/>
            </w:pPr>
            <w:r>
              <w:rPr>
                <w:sz w:val="19"/>
              </w:rPr>
              <w:t xml:space="preserve">INTERVIEW</w:t>
            </w:r>
          </w:p>
        </w:tc>
        <w:tc>
          <w:tcPr>
            <w:tcW w:type="dxa" w:w="2494"/>
          </w:tcPr>
          <w:p>
            <w:pPr>
              <w:spacing w:after="0"/>
            </w:pPr>
            <w:r>
              <w:rPr>
                <w:sz w:val="19"/>
              </w:rPr>
              <w:t xml:space="preserve">FINAL_INTERVIEW</w:t>
            </w:r>
          </w:p>
        </w:tc>
        <w:tc>
          <w:tcPr>
            <w:tcW w:type="dxa" w:w="1871"/>
          </w:tcPr>
          <w:p>
            <w:pPr>
              <w:spacing w:after="0"/>
            </w:pPr>
            <w:r>
              <w:rPr>
                <w:sz w:val="19"/>
              </w:rPr>
              <w:t xml:space="preserve">Manager</w:t>
            </w:r>
          </w:p>
        </w:tc>
        <w:tc>
          <w:tcPr>
            <w:tcW w:type="dxa" w:w="2494"/>
          </w:tcPr>
          <w:p>
            <w:pPr>
              <w:spacing w:after="0"/>
            </w:pPr>
            <w:r>
              <w:rPr>
                <w:sz w:val="19"/>
              </w:rPr>
              <w:t xml:space="preserve">Poursuite du processus.</w:t>
            </w:r>
          </w:p>
        </w:tc>
      </w:tr>
      <w:tr>
        <w:tc>
          <w:tcPr>
            <w:tcW w:type="dxa" w:w="2211"/>
          </w:tcPr>
          <w:p>
            <w:pPr>
              <w:spacing w:after="0"/>
            </w:pPr>
            <w:r>
              <w:rPr>
                <w:sz w:val="19"/>
              </w:rPr>
              <w:t xml:space="preserve">INTERVIEW / FINAL_INTERVIEW</w:t>
            </w:r>
          </w:p>
        </w:tc>
        <w:tc>
          <w:tcPr>
            <w:tcW w:type="dxa" w:w="2494"/>
          </w:tcPr>
          <w:p>
            <w:pPr>
              <w:spacing w:after="0"/>
            </w:pPr>
            <w:r>
              <w:rPr>
                <w:sz w:val="19"/>
              </w:rPr>
              <w:t xml:space="preserve">ACCEPTED</w:t>
            </w:r>
          </w:p>
        </w:tc>
        <w:tc>
          <w:tcPr>
            <w:tcW w:type="dxa" w:w="1871"/>
          </w:tcPr>
          <w:p>
            <w:pPr>
              <w:spacing w:after="0"/>
            </w:pPr>
            <w:r>
              <w:rPr>
                <w:sz w:val="19"/>
              </w:rPr>
              <w:t xml:space="preserve">Manager / RH</w:t>
            </w:r>
          </w:p>
        </w:tc>
        <w:tc>
          <w:tcPr>
            <w:tcW w:type="dxa" w:w="2494"/>
          </w:tcPr>
          <w:p>
            <w:pPr>
              <w:spacing w:after="0"/>
            </w:pPr>
            <w:r>
              <w:rPr>
                <w:sz w:val="19"/>
              </w:rPr>
              <w:t xml:space="preserve">Décision positive à l’issue des entretiens.</w:t>
            </w:r>
          </w:p>
        </w:tc>
      </w:tr>
      <w:tr>
        <w:tc>
          <w:tcPr>
            <w:tcW w:type="dxa" w:w="2211"/>
          </w:tcPr>
          <w:p>
            <w:pPr>
              <w:spacing w:after="0"/>
            </w:pPr>
            <w:r>
              <w:rPr>
                <w:sz w:val="19"/>
              </w:rPr>
              <w:t xml:space="preserve">INTERVIEW / FINAL_INTERVIEW</w:t>
            </w:r>
          </w:p>
        </w:tc>
        <w:tc>
          <w:tcPr>
            <w:tcW w:type="dxa" w:w="2494"/>
          </w:tcPr>
          <w:p>
            <w:pPr>
              <w:spacing w:after="0"/>
            </w:pPr>
            <w:r>
              <w:rPr>
                <w:sz w:val="19"/>
              </w:rPr>
              <w:t xml:space="preserve">MANAGER_REJECTED</w:t>
            </w:r>
          </w:p>
        </w:tc>
        <w:tc>
          <w:tcPr>
            <w:tcW w:type="dxa" w:w="1871"/>
          </w:tcPr>
          <w:p>
            <w:pPr>
              <w:spacing w:after="0"/>
            </w:pPr>
            <w:r>
              <w:rPr>
                <w:sz w:val="19"/>
              </w:rPr>
              <w:t xml:space="preserve">Manager / RH</w:t>
            </w:r>
          </w:p>
        </w:tc>
        <w:tc>
          <w:tcPr>
            <w:tcW w:type="dxa" w:w="2494"/>
          </w:tcPr>
          <w:p>
            <w:pPr>
              <w:spacing w:after="0"/>
            </w:pPr>
            <w:r>
              <w:rPr>
                <w:sz w:val="19"/>
              </w:rPr>
              <w:t xml:space="preserve">Décision négative à l’issue des entretiens.</w:t>
            </w:r>
          </w:p>
        </w:tc>
      </w:tr>
      <w:tr>
        <w:tc>
          <w:tcPr>
            <w:tcW w:type="dxa" w:w="2211"/>
          </w:tcPr>
          <w:p>
            <w:pPr>
              <w:spacing w:after="0"/>
            </w:pPr>
            <w:r>
              <w:rPr>
                <w:sz w:val="19"/>
              </w:rPr>
              <w:t xml:space="preserve">ACCEPTED</w:t>
            </w:r>
          </w:p>
        </w:tc>
        <w:tc>
          <w:tcPr>
            <w:tcW w:type="dxa" w:w="2494"/>
          </w:tcPr>
          <w:p>
            <w:pPr>
              <w:spacing w:after="0"/>
            </w:pPr>
            <w:r>
              <w:rPr>
                <w:sz w:val="19"/>
              </w:rPr>
              <w:t xml:space="preserve">INTERVIEW_SCHEDULED</w:t>
            </w:r>
          </w:p>
        </w:tc>
        <w:tc>
          <w:tcPr>
            <w:tcW w:type="dxa" w:w="1871"/>
          </w:tcPr>
          <w:p>
            <w:pPr>
              <w:spacing w:after="0"/>
            </w:pPr>
            <w:r>
              <w:rPr>
                <w:sz w:val="19"/>
              </w:rPr>
              <w:t xml:space="preserve">RH</w:t>
            </w:r>
          </w:p>
        </w:tc>
        <w:tc>
          <w:tcPr>
            <w:tcW w:type="dxa" w:w="2494"/>
          </w:tcPr>
          <w:p>
            <w:pPr>
              <w:spacing w:after="0"/>
            </w:pPr>
            <w:r>
              <w:rPr>
                <w:sz w:val="19"/>
              </w:rPr>
              <w:t xml:space="preserve">Convocation à l’entretien final de cadrage RH et à la signature de la promesse d’embauche.</w:t>
            </w:r>
          </w:p>
        </w:tc>
      </w:tr>
      <w:tr>
        <w:tc>
          <w:tcPr>
            <w:tcW w:type="dxa" w:w="2211"/>
          </w:tcPr>
          <w:p>
            <w:pPr>
              <w:spacing w:after="0"/>
            </w:pPr>
            <w:r>
              <w:rPr>
                <w:sz w:val="19"/>
              </w:rPr>
              <w:t xml:space="preserve">ACCEPTED / INTERVIEW_SCHEDULED</w:t>
            </w:r>
          </w:p>
        </w:tc>
        <w:tc>
          <w:tcPr>
            <w:tcW w:type="dxa" w:w="2494"/>
          </w:tcPr>
          <w:p>
            <w:pPr>
              <w:spacing w:after="0"/>
            </w:pPr>
            <w:r>
              <w:rPr>
                <w:sz w:val="19"/>
              </w:rPr>
              <w:t xml:space="preserve">HIRED</w:t>
            </w:r>
          </w:p>
        </w:tc>
        <w:tc>
          <w:tcPr>
            <w:tcW w:type="dxa" w:w="1871"/>
          </w:tcPr>
          <w:p>
            <w:pPr>
              <w:spacing w:after="0"/>
            </w:pPr>
            <w:r>
              <w:rPr>
                <w:sz w:val="19"/>
              </w:rPr>
              <w:t xml:space="preserve">RH / Manager</w:t>
            </w:r>
          </w:p>
        </w:tc>
        <w:tc>
          <w:tcPr>
            <w:tcW w:type="dxa" w:w="2494"/>
          </w:tcPr>
          <w:p>
            <w:pPr>
              <w:spacing w:after="0"/>
            </w:pPr>
            <w:r>
              <w:rPr>
                <w:sz w:val="19"/>
              </w:rPr>
              <w:t xml:space="preserve">Décision finale confirmée.</w:t>
            </w:r>
          </w:p>
        </w:tc>
      </w:tr>
      <w:tr>
        <w:tc>
          <w:tcPr>
            <w:tcW w:type="dxa" w:w="2211"/>
          </w:tcPr>
          <w:p>
            <w:pPr>
              <w:spacing w:after="0"/>
            </w:pPr>
            <w:r>
              <w:rPr>
                <w:sz w:val="19"/>
              </w:rPr>
              <w:t xml:space="preserve">Tout statut non terminal</w:t>
            </w:r>
          </w:p>
        </w:tc>
        <w:tc>
          <w:tcPr>
            <w:tcW w:type="dxa" w:w="2494"/>
          </w:tcPr>
          <w:p>
            <w:pPr>
              <w:spacing w:after="0"/>
            </w:pPr>
            <w:r>
              <w:rPr>
                <w:sz w:val="19"/>
              </w:rPr>
              <w:t xml:space="preserve">WITHDRAWN</w:t>
            </w:r>
          </w:p>
        </w:tc>
        <w:tc>
          <w:tcPr>
            <w:tcW w:type="dxa" w:w="1871"/>
          </w:tcPr>
          <w:p>
            <w:pPr>
              <w:spacing w:after="0"/>
            </w:pPr>
            <w:r>
              <w:rPr>
                <w:sz w:val="19"/>
              </w:rPr>
              <w:t xml:space="preserve">Candidat</w:t>
            </w:r>
          </w:p>
        </w:tc>
        <w:tc>
          <w:tcPr>
            <w:tcW w:type="dxa" w:w="2494"/>
          </w:tcPr>
          <w:p>
            <w:pPr>
              <w:spacing w:after="0"/>
            </w:pPr>
            <w:r>
              <w:rPr>
                <w:sz w:val="19"/>
              </w:rPr>
              <w:t xml:space="preserve">Retrait en libre-service tant que le dossier n’est pas clos.</w:t>
            </w:r>
          </w:p>
        </w:tc>
      </w:tr>
    </w:tbl>
    <w:p>
      <w:pPr>
        <w:spacing w:after="200" w:before="0"/>
      </w:pPr>
      <w:r>
        <w:rPr>
          <w:b w:val="0"/>
          <w:i/>
          <w:sz w:val="20"/>
        </w:rPr>
        <w:t>Tableau 7 : Transitions autorisées et conditions associées.</w:t>
      </w:r>
    </w:p>
    <w:p>
      <w:pPr>
        <w:pStyle w:val="Heading1"/>
        <w:pageBreakBefore/>
      </w:pPr>
      <w:r>
        <w:t>8. Besoins non fonctionnels</w:t>
      </w:r>
    </w:p>
    <w:tbl>
      <w:tblPr>
        <w:tblW w:type="auto" w:w="0"/>
        <w:jc w:val="center"/>
        <w:tblLayout w:type="fixed"/>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60" w:type="dxa"/>
          <w:left w:w="100" w:type="dxa"/>
          <w:bottom w:w="60" w:type="dxa"/>
          <w:right w:w="100" w:type="dxa"/>
        </w:tblCellMar>
      </w:tblPr>
      <w:tblGrid>
        <w:gridCol w:w="1077"/>
        <w:gridCol w:w="1644"/>
        <w:gridCol w:w="3855"/>
        <w:gridCol w:w="2494"/>
      </w:tblGrid>
      <w:tr>
        <w:trPr>
          <w:tblHeader/>
        </w:trPr>
        <w:tc>
          <w:tcPr>
            <w:tcW w:type="dxa" w:w="1077"/>
            <w:shd w:val="clear" w:fill="E8EEF7"/>
          </w:tcPr>
          <w:p>
            <w:pPr>
              <w:spacing w:after="0"/>
            </w:pPr>
            <w:r/>
            <w:r>
              <w:rPr>
                <w:b/>
                <w:sz w:val="19"/>
              </w:rPr>
              <w:t>ID</w:t>
            </w:r>
          </w:p>
        </w:tc>
        <w:tc>
          <w:tcPr>
            <w:tcW w:type="dxa" w:w="1644"/>
            <w:shd w:val="clear" w:fill="E8EEF7"/>
          </w:tcPr>
          <w:p>
            <w:pPr>
              <w:spacing w:after="0"/>
            </w:pPr>
            <w:r/>
            <w:r>
              <w:rPr>
                <w:b/>
                <w:sz w:val="19"/>
              </w:rPr>
              <w:t>Catégorie</w:t>
            </w:r>
          </w:p>
        </w:tc>
        <w:tc>
          <w:tcPr>
            <w:tcW w:type="dxa" w:w="3855"/>
            <w:shd w:val="clear" w:fill="E8EEF7"/>
          </w:tcPr>
          <w:p>
            <w:pPr>
              <w:spacing w:after="0"/>
            </w:pPr>
            <w:r/>
            <w:r>
              <w:rPr>
                <w:b/>
                <w:sz w:val="19"/>
              </w:rPr>
              <w:t>Exigence</w:t>
            </w:r>
          </w:p>
        </w:tc>
        <w:tc>
          <w:tcPr>
            <w:tcW w:type="dxa" w:w="2494"/>
            <w:shd w:val="clear" w:fill="E8EEF7"/>
          </w:tcPr>
          <w:p>
            <w:pPr>
              <w:spacing w:after="0"/>
            </w:pPr>
            <w:r/>
            <w:r>
              <w:rPr>
                <w:b/>
                <w:sz w:val="19"/>
              </w:rPr>
              <w:t>Critère de vérification</w:t>
            </w:r>
          </w:p>
        </w:tc>
      </w:tr>
      <w:tr>
        <w:tc>
          <w:tcPr>
            <w:tcW w:type="dxa" w:w="1077"/>
          </w:tcPr>
          <w:p>
            <w:pPr>
              <w:spacing w:after="0"/>
            </w:pPr>
            <w:r>
              <w:rPr>
                <w:sz w:val="19"/>
              </w:rPr>
              <w:t>BNF-01</w:t>
            </w:r>
          </w:p>
        </w:tc>
        <w:tc>
          <w:tcPr>
            <w:tcW w:type="dxa" w:w="1644"/>
          </w:tcPr>
          <w:p>
            <w:pPr>
              <w:spacing w:after="0"/>
            </w:pPr>
            <w:r>
              <w:rPr>
                <w:sz w:val="19"/>
              </w:rPr>
              <w:t>Sécurité</w:t>
            </w:r>
          </w:p>
        </w:tc>
        <w:tc>
          <w:tcPr>
            <w:tcW w:type="dxa" w:w="3855"/>
          </w:tcPr>
          <w:p>
            <w:pPr>
              <w:spacing w:after="0"/>
            </w:pPr>
            <w:r>
              <w:rPr>
                <w:sz w:val="19"/>
              </w:rPr>
              <w:t>Authentification par JWT, hachage BCrypt des mots de passe, contrôle d’accès RBAC sur chaque point d’entrée de l’API, jeton de réinitialisation de mot de passe valable 15 minutes et limitation du nombre de tentatives de connexion.</w:t>
            </w:r>
          </w:p>
        </w:tc>
        <w:tc>
          <w:tcPr>
            <w:tcW w:type="dxa" w:w="2494"/>
          </w:tcPr>
          <w:p>
            <w:pPr>
              <w:spacing w:after="0"/>
            </w:pPr>
            <w:r>
              <w:rPr>
                <w:sz w:val="19"/>
              </w:rPr>
              <w:t>Un compte Candidat qui accède à une route RH obtient une erreur 403 ; un appel sans jeton obtient 401.</w:t>
            </w:r>
          </w:p>
        </w:tc>
      </w:tr>
      <w:tr>
        <w:tc>
          <w:tcPr>
            <w:tcW w:type="dxa" w:w="1077"/>
          </w:tcPr>
          <w:p>
            <w:pPr>
              <w:spacing w:after="0"/>
            </w:pPr>
            <w:r>
              <w:rPr>
                <w:sz w:val="19"/>
              </w:rPr>
              <w:t>BNF-02</w:t>
            </w:r>
          </w:p>
        </w:tc>
        <w:tc>
          <w:tcPr>
            <w:tcW w:type="dxa" w:w="1644"/>
          </w:tcPr>
          <w:p>
            <w:pPr>
              <w:spacing w:after="0"/>
            </w:pPr>
            <w:r>
              <w:rPr>
                <w:sz w:val="19"/>
              </w:rPr>
              <w:t>Confidentialité</w:t>
            </w:r>
          </w:p>
        </w:tc>
        <w:tc>
          <w:tcPr>
            <w:tcW w:type="dxa" w:w="3855"/>
          </w:tcPr>
          <w:p>
            <w:pPr>
              <w:spacing w:after="0"/>
            </w:pPr>
            <w:r>
              <w:rPr>
                <w:sz w:val="19"/>
              </w:rPr>
              <w:t>Cloisonnement strict des données par périmètre pour le manager, en lecture comme en écriture.</w:t>
            </w:r>
          </w:p>
        </w:tc>
        <w:tc>
          <w:tcPr>
            <w:tcW w:type="dxa" w:w="2494"/>
          </w:tcPr>
          <w:p>
            <w:pPr>
              <w:spacing w:after="0"/>
            </w:pPr>
            <w:r>
              <w:rPr>
                <w:sz w:val="19"/>
              </w:rPr>
              <w:t>Un manager ne liste ni ne consulte aucun dossier hors de son département (tests unitaires dédiés).</w:t>
            </w:r>
          </w:p>
        </w:tc>
      </w:tr>
      <w:tr>
        <w:tc>
          <w:tcPr>
            <w:tcW w:type="dxa" w:w="1077"/>
          </w:tcPr>
          <w:p>
            <w:pPr>
              <w:spacing w:after="0"/>
            </w:pPr>
            <w:r>
              <w:rPr>
                <w:sz w:val="19"/>
              </w:rPr>
              <w:t>BNF-03</w:t>
            </w:r>
          </w:p>
        </w:tc>
        <w:tc>
          <w:tcPr>
            <w:tcW w:type="dxa" w:w="1644"/>
          </w:tcPr>
          <w:p>
            <w:pPr>
              <w:spacing w:after="0"/>
            </w:pPr>
            <w:r>
              <w:rPr>
                <w:sz w:val="19"/>
              </w:rPr>
              <w:t>Performance</w:t>
            </w:r>
          </w:p>
        </w:tc>
        <w:tc>
          <w:tcPr>
            <w:tcW w:type="dxa" w:w="3855"/>
          </w:tcPr>
          <w:p>
            <w:pPr>
              <w:spacing w:after="0"/>
            </w:pPr>
            <w:r>
              <w:rPr>
                <w:sz w:val="19"/>
              </w:rPr>
              <w:t>Traitements longs exécutés de façon asynchrone (scoring IA, envoi d’e-mails) afin de ne pas bloquer l’utilisateur ; temps de réponse cible inférieur à 500 ms en lecture et à 2 s en écriture.</w:t>
            </w:r>
          </w:p>
        </w:tc>
        <w:tc>
          <w:tcPr>
            <w:tcW w:type="dxa" w:w="2494"/>
          </w:tcPr>
          <w:p>
            <w:pPr>
              <w:spacing w:after="0"/>
            </w:pPr>
            <w:r>
              <w:rPr>
                <w:sz w:val="19"/>
              </w:rPr>
              <w:t>Le dépôt d’une candidature retourne immédiatement le statut APPLIED, le scoring étant effectué en tâche de fond.</w:t>
            </w:r>
          </w:p>
        </w:tc>
      </w:tr>
      <w:tr>
        <w:tc>
          <w:tcPr>
            <w:tcW w:type="dxa" w:w="1077"/>
          </w:tcPr>
          <w:p>
            <w:pPr>
              <w:spacing w:after="0"/>
            </w:pPr>
            <w:r>
              <w:rPr>
                <w:sz w:val="19"/>
              </w:rPr>
              <w:t>BNF-04</w:t>
            </w:r>
          </w:p>
        </w:tc>
        <w:tc>
          <w:tcPr>
            <w:tcW w:type="dxa" w:w="1644"/>
          </w:tcPr>
          <w:p>
            <w:pPr>
              <w:spacing w:after="0"/>
            </w:pPr>
            <w:r>
              <w:rPr>
                <w:sz w:val="19"/>
              </w:rPr>
              <w:t>Fiabilité</w:t>
            </w:r>
          </w:p>
        </w:tc>
        <w:tc>
          <w:tcPr>
            <w:tcW w:type="dxa" w:w="3855"/>
          </w:tcPr>
          <w:p>
            <w:pPr>
              <w:spacing w:after="0"/>
            </w:pPr>
            <w:r>
              <w:rPr>
                <w:sz w:val="19"/>
              </w:rPr>
              <w:t>Garde-fous métier empêchant les transitions de statut incohérentes et les opérations sur dossiers clos.</w:t>
            </w:r>
          </w:p>
        </w:tc>
        <w:tc>
          <w:tcPr>
            <w:tcW w:type="dxa" w:w="2494"/>
          </w:tcPr>
          <w:p>
            <w:pPr>
              <w:spacing w:after="0"/>
            </w:pPr>
            <w:r>
              <w:rPr>
                <w:sz w:val="19"/>
              </w:rPr>
              <w:t>Une décision ou une planification sur dossier clos renvoie une erreur 400 explicite.</w:t>
            </w:r>
          </w:p>
        </w:tc>
      </w:tr>
      <w:tr>
        <w:tc>
          <w:tcPr>
            <w:tcW w:type="dxa" w:w="1077"/>
          </w:tcPr>
          <w:p>
            <w:pPr>
              <w:spacing w:after="0"/>
            </w:pPr>
            <w:r>
              <w:rPr>
                <w:sz w:val="19"/>
              </w:rPr>
              <w:t>BNF-05</w:t>
            </w:r>
          </w:p>
        </w:tc>
        <w:tc>
          <w:tcPr>
            <w:tcW w:type="dxa" w:w="1644"/>
          </w:tcPr>
          <w:p>
            <w:pPr>
              <w:spacing w:after="0"/>
            </w:pPr>
            <w:r>
              <w:rPr>
                <w:sz w:val="19"/>
              </w:rPr>
              <w:t>Résilience</w:t>
            </w:r>
          </w:p>
        </w:tc>
        <w:tc>
          <w:tcPr>
            <w:tcW w:type="dxa" w:w="3855"/>
          </w:tcPr>
          <w:p>
            <w:pPr>
              <w:spacing w:after="0"/>
            </w:pPr>
            <w:r>
              <w:rPr>
                <w:sz w:val="19"/>
              </w:rPr>
              <w:t>Mode dégradé en cas d’indisponibilité du service d’IA et file d’attente avec nouvelle tentative automatique pour les appels à n8n.</w:t>
            </w:r>
          </w:p>
        </w:tc>
        <w:tc>
          <w:tcPr>
            <w:tcW w:type="dxa" w:w="2494"/>
          </w:tcPr>
          <w:p>
            <w:pPr>
              <w:spacing w:after="0"/>
            </w:pPr>
            <w:r>
              <w:rPr>
                <w:sz w:val="19"/>
              </w:rPr>
              <w:t>Une candidature reste déposable lorsque l’API de Cohere est injoignable ; la source du score est tracée.</w:t>
            </w:r>
          </w:p>
        </w:tc>
      </w:tr>
      <w:tr>
        <w:tc>
          <w:tcPr>
            <w:tcW w:type="dxa" w:w="1077"/>
          </w:tcPr>
          <w:p>
            <w:pPr>
              <w:spacing w:after="0"/>
            </w:pPr>
            <w:r>
              <w:rPr>
                <w:sz w:val="19"/>
              </w:rPr>
              <w:t>BNF-06</w:t>
            </w:r>
          </w:p>
        </w:tc>
        <w:tc>
          <w:tcPr>
            <w:tcW w:type="dxa" w:w="1644"/>
          </w:tcPr>
          <w:p>
            <w:pPr>
              <w:spacing w:after="0"/>
            </w:pPr>
            <w:r>
              <w:rPr>
                <w:sz w:val="19"/>
              </w:rPr>
              <w:t>Traçabilité</w:t>
            </w:r>
          </w:p>
        </w:tc>
        <w:tc>
          <w:tcPr>
            <w:tcW w:type="dxa" w:w="3855"/>
          </w:tcPr>
          <w:p>
            <w:pPr>
              <w:spacing w:after="0"/>
            </w:pPr>
            <w:r>
              <w:rPr>
                <w:sz w:val="19"/>
              </w:rPr>
              <w:t>Journal d’audit horodaté de toute action sensible (changement de statut, correction de score, planification).</w:t>
            </w:r>
          </w:p>
        </w:tc>
        <w:tc>
          <w:tcPr>
            <w:tcW w:type="dxa" w:w="2494"/>
          </w:tcPr>
          <w:p>
            <w:pPr>
              <w:spacing w:after="0"/>
            </w:pPr>
            <w:r>
              <w:rPr>
                <w:sz w:val="19"/>
              </w:rPr>
              <w:t>Chaque décision est retrouvable dans le journal avec son auteur et son horodatage.</w:t>
            </w:r>
          </w:p>
        </w:tc>
      </w:tr>
      <w:tr>
        <w:tc>
          <w:tcPr>
            <w:tcW w:type="dxa" w:w="1077"/>
          </w:tcPr>
          <w:p>
            <w:pPr>
              <w:spacing w:after="0"/>
            </w:pPr>
            <w:r>
              <w:rPr>
                <w:sz w:val="19"/>
              </w:rPr>
              <w:t>BNF-07</w:t>
            </w:r>
          </w:p>
        </w:tc>
        <w:tc>
          <w:tcPr>
            <w:tcW w:type="dxa" w:w="1644"/>
          </w:tcPr>
          <w:p>
            <w:pPr>
              <w:spacing w:after="0"/>
            </w:pPr>
            <w:r>
              <w:rPr>
                <w:sz w:val="19"/>
              </w:rPr>
              <w:t>Ergonomie</w:t>
            </w:r>
          </w:p>
        </w:tc>
        <w:tc>
          <w:tcPr>
            <w:tcW w:type="dxa" w:w="3855"/>
          </w:tcPr>
          <w:p>
            <w:pPr>
              <w:spacing w:after="0"/>
            </w:pPr>
            <w:r>
              <w:rPr>
                <w:sz w:val="19"/>
              </w:rPr>
              <w:t>Interface claire et responsive, utilisable sur poste de travail et sur tablette.</w:t>
            </w:r>
          </w:p>
        </w:tc>
        <w:tc>
          <w:tcPr>
            <w:tcW w:type="dxa" w:w="2494"/>
          </w:tcPr>
          <w:p>
            <w:pPr>
              <w:spacing w:after="0"/>
            </w:pPr>
            <w:r>
              <w:rPr>
                <w:sz w:val="19"/>
              </w:rPr>
              <w:t>Consultation des écrans clés sur différentes résolutions sans perte de fonctionnalité.</w:t>
            </w:r>
          </w:p>
        </w:tc>
      </w:tr>
      <w:tr>
        <w:tc>
          <w:tcPr>
            <w:tcW w:type="dxa" w:w="1077"/>
          </w:tcPr>
          <w:p>
            <w:pPr>
              <w:spacing w:after="0"/>
            </w:pPr>
            <w:r>
              <w:rPr>
                <w:sz w:val="19"/>
              </w:rPr>
              <w:t>BNF-08</w:t>
            </w:r>
          </w:p>
        </w:tc>
        <w:tc>
          <w:tcPr>
            <w:tcW w:type="dxa" w:w="1644"/>
          </w:tcPr>
          <w:p>
            <w:pPr>
              <w:spacing w:after="0"/>
            </w:pPr>
            <w:r>
              <w:rPr>
                <w:sz w:val="19"/>
              </w:rPr>
              <w:t>Maintenabilité</w:t>
            </w:r>
          </w:p>
        </w:tc>
        <w:tc>
          <w:tcPr>
            <w:tcW w:type="dxa" w:w="3855"/>
          </w:tcPr>
          <w:p>
            <w:pPr>
              <w:spacing w:after="0"/>
            </w:pPr>
            <w:r>
              <w:rPr>
                <w:sz w:val="19"/>
              </w:rPr>
              <w:t>Architecture modulaire en couches (contrôleurs, services, repositories) et séparation nette front-end / back-end / automatisation.</w:t>
            </w:r>
          </w:p>
        </w:tc>
        <w:tc>
          <w:tcPr>
            <w:tcW w:type="dxa" w:w="2494"/>
          </w:tcPr>
          <w:p>
            <w:pPr>
              <w:spacing w:after="0"/>
            </w:pPr>
            <w:r>
              <w:rPr>
                <w:sz w:val="19"/>
              </w:rPr>
              <w:t>Une nouvelle ressource métier peut être ajoutée sans modifier les couches adjacentes.</w:t>
            </w:r>
          </w:p>
        </w:tc>
      </w:tr>
      <w:tr>
        <w:tc>
          <w:tcPr>
            <w:tcW w:type="dxa" w:w="1077"/>
          </w:tcPr>
          <w:p>
            <w:pPr>
              <w:spacing w:after="0"/>
            </w:pPr>
            <w:r>
              <w:rPr>
                <w:sz w:val="19"/>
              </w:rPr>
              <w:t>BNF-09</w:t>
            </w:r>
          </w:p>
        </w:tc>
        <w:tc>
          <w:tcPr>
            <w:tcW w:type="dxa" w:w="1644"/>
          </w:tcPr>
          <w:p>
            <w:pPr>
              <w:spacing w:after="0"/>
            </w:pPr>
            <w:r>
              <w:rPr>
                <w:sz w:val="19"/>
              </w:rPr>
              <w:t>Éthique et données</w:t>
            </w:r>
          </w:p>
        </w:tc>
        <w:tc>
          <w:tcPr>
            <w:tcW w:type="dxa" w:w="3855"/>
          </w:tcPr>
          <w:p>
            <w:pPr>
              <w:spacing w:after="0"/>
            </w:pPr>
            <w:r>
              <w:rPr>
                <w:sz w:val="19"/>
              </w:rPr>
              <w:t>Contrôle humain maintenu sur toute décision ; données de test fictives ou anonymisées dans les démonstrations.</w:t>
            </w:r>
          </w:p>
        </w:tc>
        <w:tc>
          <w:tcPr>
            <w:tcW w:type="dxa" w:w="2494"/>
          </w:tcPr>
          <w:p>
            <w:pPr>
              <w:spacing w:after="0"/>
            </w:pPr>
            <w:r>
              <w:rPr>
                <w:sz w:val="19"/>
              </w:rPr>
              <w:t>Tout rejet automatique est réversible avec justification ; aucun champ interne n’est exposé au chatbot.</w:t>
            </w:r>
          </w:p>
        </w:tc>
      </w:tr>
      <w:tr>
        <w:tc>
          <w:tcPr>
            <w:tcW w:type="dxa" w:w="1077"/>
          </w:tcPr>
          <w:p>
            <w:pPr>
              <w:spacing w:after="0"/>
            </w:pPr>
            <w:r>
              <w:rPr>
                <w:sz w:val="19"/>
              </w:rPr>
              <w:t>BNF-10</w:t>
            </w:r>
          </w:p>
        </w:tc>
        <w:tc>
          <w:tcPr>
            <w:tcW w:type="dxa" w:w="1644"/>
          </w:tcPr>
          <w:p>
            <w:pPr>
              <w:spacing w:after="0"/>
            </w:pPr>
            <w:r>
              <w:rPr>
                <w:sz w:val="19"/>
              </w:rPr>
              <w:t>Documentation</w:t>
            </w:r>
          </w:p>
        </w:tc>
        <w:tc>
          <w:tcPr>
            <w:tcW w:type="dxa" w:w="3855"/>
          </w:tcPr>
          <w:p>
            <w:pPr>
              <w:spacing w:after="0"/>
            </w:pPr>
            <w:r>
              <w:rPr>
                <w:sz w:val="19"/>
              </w:rPr>
              <w:t>Documentation interactive de l’API (Swagger) et tests unitaires et fonctionnels couvrant les parcours critiques.</w:t>
            </w:r>
          </w:p>
        </w:tc>
        <w:tc>
          <w:tcPr>
            <w:tcW w:type="dxa" w:w="2494"/>
          </w:tcPr>
          <w:p>
            <w:pPr>
              <w:spacing w:after="0"/>
            </w:pPr>
            <w:r>
              <w:rPr>
                <w:sz w:val="19"/>
              </w:rPr>
              <w:t>Couverture de 108 méthodes de test réparties sur 12 classes, plus les tests manuels documentés.</w:t>
            </w:r>
          </w:p>
        </w:tc>
      </w:tr>
    </w:tbl>
    <w:p>
      <w:pPr>
        <w:spacing w:after="200" w:before="0"/>
      </w:pPr>
      <w:r>
        <w:rPr>
          <w:b w:val="0"/>
          <w:i/>
          <w:sz w:val="20"/>
        </w:rPr>
        <w:t>Tableau 8 : Besoins non fonctionnels.</w:t>
      </w:r>
    </w:p>
    <w:p>
      <w:pPr>
        <w:pStyle w:val="Heading1"/>
        <w:pageBreakBefore/>
      </w:pPr>
      <w:r>
        <w:t>9. Architecture et technologies</w:t>
      </w:r>
    </w:p>
    <w:p>
      <w:pPr>
        <w:pStyle w:val="Heading2"/>
      </w:pPr>
      <w:r>
        <w:t>9.1 Architecture générale</w:t>
      </w:r>
    </w:p>
    <w:p>
      <w:pPr>
        <w:spacing w:after="80" w:before="0"/>
      </w:pPr>
      <w:r>
        <w:rPr>
          <w:b w:val="0"/>
          <w:i w:val="0"/>
          <w:sz w:val="22"/>
        </w:rPr>
        <w:t>La plateforme adopte une architecture trois-tiers découplée, complétée d’une couche d’automatisation :</w:t>
      </w:r>
    </w:p>
    <w:p>
      <w:pPr>
        <w:spacing w:after="40"/>
        <w:ind w:left="425" w:hanging="198"/>
      </w:pPr>
      <w:r>
        <w:rPr>
          <w:sz w:val="22"/>
        </w:rPr>
        <w:t>•</w:t>
        <w:tab/>
        <w:t>Couche présentation : application Angular servie par le navigateur, organisée en pages publiques, pages d’administration et services dédiés par ressource métier.</w:t>
      </w:r>
    </w:p>
    <w:p>
      <w:pPr>
        <w:spacing w:after="40"/>
        <w:ind w:left="425" w:hanging="198"/>
      </w:pPr>
      <w:r>
        <w:rPr>
          <w:sz w:val="22"/>
        </w:rPr>
        <w:t>•</w:t>
        <w:tab/>
        <w:t>Couche métier : API REST Spring Boot en couches (contrôleurs, services métier, repositories Spring Data JPA, entités JPA), sécurisée par Spring Security et JWT.</w:t>
      </w:r>
    </w:p>
    <w:p>
      <w:pPr>
        <w:spacing w:after="40"/>
        <w:ind w:left="425" w:hanging="198"/>
      </w:pPr>
      <w:r>
        <w:rPr>
          <w:sz w:val="22"/>
        </w:rPr>
        <w:t>•</w:t>
        <w:tab/>
        <w:t>Couche données : base relationnelle PostgreSQL, générée à partir du modèle JPA (utilisation de hibernate ddl-auto en développement).</w:t>
      </w:r>
    </w:p>
    <w:p>
      <w:pPr>
        <w:spacing w:after="40"/>
        <w:ind w:left="425" w:hanging="198"/>
      </w:pPr>
      <w:r>
        <w:rPr>
          <w:sz w:val="22"/>
        </w:rPr>
        <w:t>•</w:t>
        <w:tab/>
        <w:t>Couche automatisation et services externes : agents n8n déclenchés par webhooks (CV Parser, RH Manager, Interview Manager), API de Cohere pour le scoring, API OpenRouter pour l’assistant conversationnel, Google Calendar pour la création des événements et du lien Meet, serveur SMTP pour les notifications.</w:t>
      </w:r>
    </w:p>
    <w:p>
      <w:pPr>
        <w:spacing w:after="80" w:before="0"/>
      </w:pPr>
      <w:r>
        <w:rPr>
          <w:b w:val="0"/>
          <w:i w:val="0"/>
          <w:sz w:val="22"/>
        </w:rPr>
      </w:r>
    </w:p>
    <w:p>
      <w:pPr>
        <w:pStyle w:val="Heading2"/>
      </w:pPr>
      <w:r>
        <w:t>9.2 Technologies retenues</w:t>
      </w:r>
    </w:p>
    <w:tbl>
      <w:tblPr>
        <w:tblW w:type="auto" w:w="0"/>
        <w:jc w:val="center"/>
        <w:tblLayout w:type="fixed"/>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60" w:type="dxa"/>
          <w:left w:w="100" w:type="dxa"/>
          <w:bottom w:w="60" w:type="dxa"/>
          <w:right w:w="100" w:type="dxa"/>
        </w:tblCellMar>
      </w:tblPr>
      <w:tblGrid>
        <w:gridCol w:w="1587"/>
        <w:gridCol w:w="1814"/>
        <w:gridCol w:w="1361"/>
        <w:gridCol w:w="4309"/>
      </w:tblGrid>
      <w:tr>
        <w:trPr>
          <w:tblHeader/>
        </w:trPr>
        <w:tc>
          <w:tcPr>
            <w:tcW w:type="dxa" w:w="1587"/>
            <w:shd w:val="clear" w:fill="E8EEF7"/>
          </w:tcPr>
          <w:p>
            <w:pPr>
              <w:spacing w:after="0"/>
            </w:pPr>
            <w:r/>
            <w:r>
              <w:rPr>
                <w:b/>
                <w:sz w:val="19"/>
              </w:rPr>
              <w:t>Couche</w:t>
            </w:r>
          </w:p>
        </w:tc>
        <w:tc>
          <w:tcPr>
            <w:tcW w:type="dxa" w:w="1814"/>
            <w:shd w:val="clear" w:fill="E8EEF7"/>
          </w:tcPr>
          <w:p>
            <w:pPr>
              <w:spacing w:after="0"/>
            </w:pPr>
            <w:r/>
            <w:r>
              <w:rPr>
                <w:b/>
                <w:sz w:val="19"/>
              </w:rPr>
              <w:t>Technologie</w:t>
            </w:r>
          </w:p>
        </w:tc>
        <w:tc>
          <w:tcPr>
            <w:tcW w:type="dxa" w:w="1361"/>
            <w:shd w:val="clear" w:fill="E8EEF7"/>
          </w:tcPr>
          <w:p>
            <w:pPr>
              <w:spacing w:after="0"/>
            </w:pPr>
            <w:r/>
            <w:r>
              <w:rPr>
                <w:b/>
                <w:sz w:val="19"/>
              </w:rPr>
              <w:t>Version</w:t>
            </w:r>
          </w:p>
        </w:tc>
        <w:tc>
          <w:tcPr>
            <w:tcW w:type="dxa" w:w="4309"/>
            <w:shd w:val="clear" w:fill="E8EEF7"/>
          </w:tcPr>
          <w:p>
            <w:pPr>
              <w:spacing w:after="0"/>
            </w:pPr>
            <w:r/>
            <w:r>
              <w:rPr>
                <w:b/>
                <w:sz w:val="19"/>
              </w:rPr>
              <w:t>Justification</w:t>
            </w:r>
          </w:p>
        </w:tc>
      </w:tr>
      <w:tr>
        <w:tc>
          <w:tcPr>
            <w:tcW w:type="dxa" w:w="1587"/>
          </w:tcPr>
          <w:p>
            <w:pPr>
              <w:spacing w:after="0"/>
            </w:pPr>
            <w:r>
              <w:rPr>
                <w:sz w:val="19"/>
              </w:rPr>
              <w:t>Front-end</w:t>
            </w:r>
          </w:p>
        </w:tc>
        <w:tc>
          <w:tcPr>
            <w:tcW w:type="dxa" w:w="1814"/>
          </w:tcPr>
          <w:p>
            <w:pPr>
              <w:spacing w:after="0"/>
            </w:pPr>
            <w:r>
              <w:rPr>
                <w:sz w:val="19"/>
              </w:rPr>
              <w:t>Angular</w:t>
            </w:r>
          </w:p>
        </w:tc>
        <w:tc>
          <w:tcPr>
            <w:tcW w:type="dxa" w:w="1361"/>
          </w:tcPr>
          <w:p>
            <w:pPr>
              <w:spacing w:after="0"/>
            </w:pPr>
            <w:r>
              <w:rPr>
                <w:sz w:val="19"/>
              </w:rPr>
              <w:t>20</w:t>
            </w:r>
          </w:p>
        </w:tc>
        <w:tc>
          <w:tcPr>
            <w:tcW w:type="dxa" w:w="4309"/>
          </w:tcPr>
          <w:p>
            <w:pPr>
              <w:spacing w:after="0"/>
            </w:pPr>
            <w:r>
              <w:rPr>
                <w:sz w:val="19"/>
              </w:rPr>
              <w:t>Framework moderne, réactif et performant pour des interfaces RH riches ; composants autonomes, guards et intercepteurs.</w:t>
            </w:r>
          </w:p>
        </w:tc>
      </w:tr>
      <w:tr>
        <w:tc>
          <w:tcPr>
            <w:tcW w:type="dxa" w:w="1587"/>
          </w:tcPr>
          <w:p>
            <w:pPr>
              <w:spacing w:after="0"/>
            </w:pPr>
            <w:r>
              <w:rPr>
                <w:sz w:val="19"/>
              </w:rPr>
              <w:t>Back-end</w:t>
            </w:r>
          </w:p>
        </w:tc>
        <w:tc>
          <w:tcPr>
            <w:tcW w:type="dxa" w:w="1814"/>
          </w:tcPr>
          <w:p>
            <w:pPr>
              <w:spacing w:after="0"/>
            </w:pPr>
            <w:r>
              <w:rPr>
                <w:sz w:val="19"/>
              </w:rPr>
              <w:t>Java / Spring Boot</w:t>
            </w:r>
          </w:p>
        </w:tc>
        <w:tc>
          <w:tcPr>
            <w:tcW w:type="dxa" w:w="1361"/>
          </w:tcPr>
          <w:p>
            <w:pPr>
              <w:spacing w:after="0"/>
            </w:pPr>
            <w:r>
              <w:rPr>
                <w:sz w:val="19"/>
              </w:rPr>
              <w:t>3.2 / Java 17</w:t>
            </w:r>
          </w:p>
        </w:tc>
        <w:tc>
          <w:tcPr>
            <w:tcW w:type="dxa" w:w="4309"/>
          </w:tcPr>
          <w:p>
            <w:pPr>
              <w:spacing w:after="0"/>
            </w:pPr>
            <w:r>
              <w:rPr>
                <w:sz w:val="19"/>
              </w:rPr>
              <w:t>Écosystème mature pour les API REST ; architecture en couches et sécurité intégrée.</w:t>
            </w:r>
          </w:p>
        </w:tc>
      </w:tr>
      <w:tr>
        <w:tc>
          <w:tcPr>
            <w:tcW w:type="dxa" w:w="1587"/>
          </w:tcPr>
          <w:p>
            <w:pPr>
              <w:spacing w:after="0"/>
            </w:pPr>
            <w:r>
              <w:rPr>
                <w:sz w:val="19"/>
              </w:rPr>
              <w:t>Sécurité</w:t>
            </w:r>
          </w:p>
        </w:tc>
        <w:tc>
          <w:tcPr>
            <w:tcW w:type="dxa" w:w="1814"/>
          </w:tcPr>
          <w:p>
            <w:pPr>
              <w:spacing w:after="0"/>
            </w:pPr>
            <w:r>
              <w:rPr>
                <w:sz w:val="19"/>
              </w:rPr>
              <w:t>Spring Security + JWT</w:t>
            </w:r>
          </w:p>
        </w:tc>
        <w:tc>
          <w:tcPr>
            <w:tcW w:type="dxa" w:w="1361"/>
          </w:tcPr>
          <w:p>
            <w:pPr>
              <w:spacing w:after="0"/>
            </w:pPr>
            <w:r>
              <w:rPr>
                <w:sz w:val="19"/>
              </w:rPr>
              <w:t>BCrypt</w:t>
            </w:r>
          </w:p>
        </w:tc>
        <w:tc>
          <w:tcPr>
            <w:tcW w:type="dxa" w:w="4309"/>
          </w:tcPr>
          <w:p>
            <w:pPr>
              <w:spacing w:after="0"/>
            </w:pPr>
            <w:r>
              <w:rPr>
                <w:sz w:val="19"/>
              </w:rPr>
              <w:t>Authentification sans état, scalable, et contrôle d’accès basé sur les rôles.</w:t>
            </w:r>
          </w:p>
        </w:tc>
      </w:tr>
      <w:tr>
        <w:tc>
          <w:tcPr>
            <w:tcW w:type="dxa" w:w="1587"/>
          </w:tcPr>
          <w:p>
            <w:pPr>
              <w:spacing w:after="0"/>
            </w:pPr>
            <w:r>
              <w:rPr>
                <w:sz w:val="19"/>
              </w:rPr>
              <w:t>Base de données</w:t>
            </w:r>
          </w:p>
        </w:tc>
        <w:tc>
          <w:tcPr>
            <w:tcW w:type="dxa" w:w="1814"/>
          </w:tcPr>
          <w:p>
            <w:pPr>
              <w:spacing w:after="0"/>
            </w:pPr>
            <w:r>
              <w:rPr>
                <w:sz w:val="19"/>
              </w:rPr>
              <w:t>PostgreSQL</w:t>
            </w:r>
          </w:p>
        </w:tc>
        <w:tc>
          <w:tcPr>
            <w:tcW w:type="dxa" w:w="1361"/>
          </w:tcPr>
          <w:p>
            <w:pPr>
              <w:spacing w:after="0"/>
            </w:pPr>
            <w:r>
              <w:rPr>
                <w:sz w:val="19"/>
              </w:rPr>
              <w:t>14+</w:t>
            </w:r>
          </w:p>
        </w:tc>
        <w:tc>
          <w:tcPr>
            <w:tcW w:type="dxa" w:w="4309"/>
          </w:tcPr>
          <w:p>
            <w:pPr>
              <w:spacing w:after="0"/>
            </w:pPr>
            <w:r>
              <w:rPr>
                <w:sz w:val="19"/>
              </w:rPr>
              <w:t>SGBDR performant et sécurisé, adapté aux données sensibles RH ; relations modélisées par clés étrangères.</w:t>
            </w:r>
          </w:p>
        </w:tc>
      </w:tr>
      <w:tr>
        <w:tc>
          <w:tcPr>
            <w:tcW w:type="dxa" w:w="1587"/>
          </w:tcPr>
          <w:p>
            <w:pPr>
              <w:spacing w:after="0"/>
            </w:pPr>
            <w:r>
              <w:rPr>
                <w:sz w:val="19"/>
              </w:rPr>
              <w:t>Automatisation</w:t>
            </w:r>
          </w:p>
        </w:tc>
        <w:tc>
          <w:tcPr>
            <w:tcW w:type="dxa" w:w="1814"/>
          </w:tcPr>
          <w:p>
            <w:pPr>
              <w:spacing w:after="0"/>
            </w:pPr>
            <w:r>
              <w:rPr>
                <w:sz w:val="19"/>
              </w:rPr>
              <w:t>n8n</w:t>
            </w:r>
          </w:p>
        </w:tc>
        <w:tc>
          <w:tcPr>
            <w:tcW w:type="dxa" w:w="1361"/>
          </w:tcPr>
          <w:p>
            <w:pPr>
              <w:spacing w:after="0"/>
            </w:pPr>
            <w:r>
              <w:rPr>
                <w:sz w:val="19"/>
              </w:rPr>
              <w:t>2.x</w:t>
            </w:r>
          </w:p>
        </w:tc>
        <w:tc>
          <w:tcPr>
            <w:tcW w:type="dxa" w:w="4309"/>
          </w:tcPr>
          <w:p>
            <w:pPr>
              <w:spacing w:after="0"/>
            </w:pPr>
            <w:r>
              <w:rPr>
                <w:sz w:val="19"/>
              </w:rPr>
              <w:t>Orchestration low-code des workflows, déclenchés par webhooks, avec reprise automatique.</w:t>
            </w:r>
          </w:p>
        </w:tc>
      </w:tr>
      <w:tr>
        <w:tc>
          <w:tcPr>
            <w:tcW w:type="dxa" w:w="1587"/>
          </w:tcPr>
          <w:p>
            <w:pPr>
              <w:spacing w:after="0"/>
            </w:pPr>
            <w:r>
              <w:rPr>
                <w:sz w:val="19"/>
              </w:rPr>
              <w:t>IA — scoring</w:t>
            </w:r>
          </w:p>
        </w:tc>
        <w:tc>
          <w:tcPr>
            <w:tcW w:type="dxa" w:w="1814"/>
          </w:tcPr>
          <w:p>
            <w:pPr>
              <w:spacing w:after="0"/>
            </w:pPr>
            <w:r>
              <w:rPr>
                <w:sz w:val="19"/>
              </w:rPr>
              <w:t>API de Cohere</w:t>
            </w:r>
          </w:p>
        </w:tc>
        <w:tc>
          <w:tcPr>
            <w:tcW w:type="dxa" w:w="1361"/>
          </w:tcPr>
          <w:p>
            <w:pPr>
              <w:spacing w:after="0"/>
            </w:pPr>
            <w:r>
              <w:rPr>
                <w:sz w:val="19"/>
              </w:rPr>
              <w:t>command</w:t>
            </w:r>
          </w:p>
        </w:tc>
        <w:tc>
          <w:tcPr>
            <w:tcW w:type="dxa" w:w="4309"/>
          </w:tcPr>
          <w:p>
            <w:pPr>
              <w:spacing w:after="0"/>
            </w:pPr>
            <w:r>
              <w:rPr>
                <w:sz w:val="19"/>
              </w:rPr>
              <w:t>Analyse sémantique des CV et calcul d’un score de pertinence par critère.</w:t>
            </w:r>
          </w:p>
        </w:tc>
      </w:tr>
      <w:tr>
        <w:tc>
          <w:tcPr>
            <w:tcW w:type="dxa" w:w="1587"/>
          </w:tcPr>
          <w:p>
            <w:pPr>
              <w:spacing w:after="0"/>
            </w:pPr>
            <w:r>
              <w:rPr>
                <w:sz w:val="19"/>
              </w:rPr>
              <w:t>IA — chatbot</w:t>
            </w:r>
          </w:p>
        </w:tc>
        <w:tc>
          <w:tcPr>
            <w:tcW w:type="dxa" w:w="1814"/>
          </w:tcPr>
          <w:p>
            <w:pPr>
              <w:spacing w:after="0"/>
            </w:pPr>
            <w:r>
              <w:rPr>
                <w:sz w:val="19"/>
              </w:rPr>
              <w:t>API OpenRouter</w:t>
            </w:r>
          </w:p>
        </w:tc>
        <w:tc>
          <w:tcPr>
            <w:tcW w:type="dxa" w:w="1361"/>
          </w:tcPr>
          <w:p>
            <w:pPr>
              <w:spacing w:after="0"/>
            </w:pPr>
            <w:r>
              <w:rPr>
                <w:sz w:val="19"/>
              </w:rPr>
              <w:t>modèle compatible OpenAI</w:t>
            </w:r>
          </w:p>
        </w:tc>
        <w:tc>
          <w:tcPr>
            <w:tcW w:type="dxa" w:w="4309"/>
          </w:tcPr>
          <w:p>
            <w:pPr>
              <w:spacing w:after="0"/>
            </w:pPr>
            <w:r>
              <w:rPr>
                <w:sz w:val="19"/>
              </w:rPr>
              <w:t>Assistant conversationnel du candidat, alimenté par ses seules données réelles.</w:t>
            </w:r>
          </w:p>
        </w:tc>
      </w:tr>
      <w:tr>
        <w:tc>
          <w:tcPr>
            <w:tcW w:type="dxa" w:w="1587"/>
          </w:tcPr>
          <w:p>
            <w:pPr>
              <w:spacing w:after="0"/>
            </w:pPr>
            <w:r>
              <w:rPr>
                <w:sz w:val="19"/>
              </w:rPr>
              <w:t>Agenda</w:t>
            </w:r>
          </w:p>
        </w:tc>
        <w:tc>
          <w:tcPr>
            <w:tcW w:type="dxa" w:w="1814"/>
          </w:tcPr>
          <w:p>
            <w:pPr>
              <w:spacing w:after="0"/>
            </w:pPr>
            <w:r>
              <w:rPr>
                <w:sz w:val="19"/>
              </w:rPr>
              <w:t>Google Calendar</w:t>
            </w:r>
          </w:p>
        </w:tc>
        <w:tc>
          <w:tcPr>
            <w:tcW w:type="dxa" w:w="1361"/>
          </w:tcPr>
          <w:p>
            <w:pPr>
              <w:spacing w:after="0"/>
            </w:pPr>
            <w:r>
              <w:rPr>
                <w:sz w:val="19"/>
              </w:rPr>
              <w:t>API v3</w:t>
            </w:r>
          </w:p>
        </w:tc>
        <w:tc>
          <w:tcPr>
            <w:tcW w:type="dxa" w:w="4309"/>
          </w:tcPr>
          <w:p>
            <w:pPr>
              <w:spacing w:after="0"/>
            </w:pPr>
            <w:r>
              <w:rPr>
                <w:sz w:val="19"/>
              </w:rPr>
              <w:t>Création réelle de l’événement et génération automatique du lien Google Meet.</w:t>
            </w:r>
          </w:p>
        </w:tc>
      </w:tr>
      <w:tr>
        <w:tc>
          <w:tcPr>
            <w:tcW w:type="dxa" w:w="1587"/>
          </w:tcPr>
          <w:p>
            <w:pPr>
              <w:spacing w:after="0"/>
            </w:pPr>
            <w:r>
              <w:rPr>
                <w:sz w:val="19"/>
              </w:rPr>
              <w:t>Notifications</w:t>
            </w:r>
          </w:p>
        </w:tc>
        <w:tc>
          <w:tcPr>
            <w:tcW w:type="dxa" w:w="1814"/>
          </w:tcPr>
          <w:p>
            <w:pPr>
              <w:spacing w:after="0"/>
            </w:pPr>
            <w:r>
              <w:rPr>
                <w:sz w:val="19"/>
              </w:rPr>
              <w:t>Gmail SMTP</w:t>
            </w:r>
          </w:p>
        </w:tc>
        <w:tc>
          <w:tcPr>
            <w:tcW w:type="dxa" w:w="1361"/>
          </w:tcPr>
          <w:p>
            <w:pPr>
              <w:spacing w:after="0"/>
            </w:pPr>
            <w:r>
              <w:rPr>
                <w:sz w:val="19"/>
              </w:rPr>
              <w:t>-</w:t>
            </w:r>
          </w:p>
        </w:tc>
        <w:tc>
          <w:tcPr>
            <w:tcW w:type="dxa" w:w="4309"/>
          </w:tcPr>
          <w:p>
            <w:pPr>
              <w:spacing w:after="0"/>
            </w:pPr>
            <w:r>
              <w:rPr>
                <w:sz w:val="19"/>
              </w:rPr>
              <w:t>Envoi des e-mails transactionnels du processus.</w:t>
            </w:r>
          </w:p>
        </w:tc>
      </w:tr>
      <w:tr>
        <w:tc>
          <w:tcPr>
            <w:tcW w:type="dxa" w:w="1587"/>
          </w:tcPr>
          <w:p>
            <w:pPr>
              <w:spacing w:after="0"/>
            </w:pPr>
            <w:r>
              <w:rPr>
                <w:sz w:val="19"/>
              </w:rPr>
              <w:t>Tests et documentation</w:t>
            </w:r>
          </w:p>
        </w:tc>
        <w:tc>
          <w:tcPr>
            <w:tcW w:type="dxa" w:w="1814"/>
          </w:tcPr>
          <w:p>
            <w:pPr>
              <w:spacing w:after="0"/>
            </w:pPr>
            <w:r>
              <w:rPr>
                <w:sz w:val="19"/>
              </w:rPr>
              <w:t>JUnit 5 / Mockito, Postman, Swagger</w:t>
            </w:r>
          </w:p>
        </w:tc>
        <w:tc>
          <w:tcPr>
            <w:tcW w:type="dxa" w:w="1361"/>
          </w:tcPr>
          <w:p>
            <w:pPr>
              <w:spacing w:after="0"/>
            </w:pPr>
            <w:r>
              <w:rPr>
                <w:sz w:val="19"/>
              </w:rPr>
              <w:t>-</w:t>
            </w:r>
          </w:p>
        </w:tc>
        <w:tc>
          <w:tcPr>
            <w:tcW w:type="dxa" w:w="4309"/>
          </w:tcPr>
          <w:p>
            <w:pPr>
              <w:spacing w:after="0"/>
            </w:pPr>
            <w:r>
              <w:rPr>
                <w:sz w:val="19"/>
              </w:rPr>
              <w:t>Automatisation des tests, vérification manuelle des API et documentation interactive.</w:t>
            </w:r>
          </w:p>
        </w:tc>
      </w:tr>
      <w:tr>
        <w:tc>
          <w:tcPr>
            <w:tcW w:type="dxa" w:w="1587"/>
          </w:tcPr>
          <w:p>
            <w:pPr>
              <w:spacing w:after="0"/>
            </w:pPr>
            <w:r>
              <w:rPr>
                <w:sz w:val="19"/>
              </w:rPr>
              <w:t>Build et versionnage</w:t>
            </w:r>
          </w:p>
        </w:tc>
        <w:tc>
          <w:tcPr>
            <w:tcW w:type="dxa" w:w="1814"/>
          </w:tcPr>
          <w:p>
            <w:pPr>
              <w:spacing w:after="0"/>
            </w:pPr>
            <w:r>
              <w:rPr>
                <w:sz w:val="19"/>
              </w:rPr>
              <w:t>Maven, npm, Git / GitHub</w:t>
            </w:r>
          </w:p>
        </w:tc>
        <w:tc>
          <w:tcPr>
            <w:tcW w:type="dxa" w:w="1361"/>
          </w:tcPr>
          <w:p>
            <w:pPr>
              <w:spacing w:after="0"/>
            </w:pPr>
            <w:r>
              <w:rPr>
                <w:sz w:val="19"/>
              </w:rPr>
              <w:t>-</w:t>
            </w:r>
          </w:p>
        </w:tc>
        <w:tc>
          <w:tcPr>
            <w:tcW w:type="dxa" w:w="4309"/>
          </w:tcPr>
          <w:p>
            <w:pPr>
              <w:spacing w:after="0"/>
            </w:pPr>
            <w:r>
              <w:rPr>
                <w:sz w:val="19"/>
              </w:rPr>
              <w:t>Gestion des dépendances et traçabilité des évolutions.</w:t>
            </w:r>
          </w:p>
        </w:tc>
      </w:tr>
    </w:tbl>
    <w:p>
      <w:pPr>
        <w:spacing w:after="200" w:before="0"/>
      </w:pPr>
      <w:r>
        <w:rPr>
          <w:b w:val="0"/>
          <w:i/>
          <w:sz w:val="20"/>
        </w:rPr>
        <w:t>Tableau 9 : Technologies retenues et justification.</w:t>
      </w:r>
    </w:p>
    <w:p>
      <w:pPr>
        <w:pStyle w:val="Heading1"/>
        <w:pageBreakBefore/>
      </w:pPr>
      <w:r>
        <w:t>10. Parcours utilisateurs</w:t>
      </w:r>
    </w:p>
    <w:p>
      <w:pPr>
        <w:pStyle w:val="Heading2"/>
      </w:pPr>
      <w:r>
        <w:t>10.1 Parcours candidat</w:t>
      </w:r>
    </w:p>
    <w:p>
      <w:pPr>
        <w:spacing w:after="40"/>
        <w:ind w:left="425" w:hanging="198"/>
      </w:pPr>
      <w:r>
        <w:rPr>
          <w:sz w:val="22"/>
        </w:rPr>
        <w:t>•</w:t>
        <w:tab/>
        <w:t>1. Consulter les offres publiées et consulter le détail d’une offre (accès public, sans authentification).</w:t>
      </w:r>
    </w:p>
    <w:p>
      <w:pPr>
        <w:spacing w:after="40"/>
        <w:ind w:left="425" w:hanging="198"/>
      </w:pPr>
      <w:r>
        <w:rPr>
          <w:sz w:val="22"/>
        </w:rPr>
        <w:t>•</w:t>
        <w:tab/>
        <w:t>2. S’inscrire ou se connecter pour postuler ; le jeton JWT est stocké côté navigateur et transmis à chaque requête.</w:t>
      </w:r>
    </w:p>
    <w:p>
      <w:pPr>
        <w:spacing w:after="40"/>
        <w:ind w:left="425" w:hanging="198"/>
      </w:pPr>
      <w:r>
        <w:rPr>
          <w:sz w:val="22"/>
        </w:rPr>
        <w:t>•</w:t>
        <w:tab/>
        <w:t>3. Remplir le formulaire de candidature et déposer son CV (format et taille validés).</w:t>
      </w:r>
    </w:p>
    <w:p>
      <w:pPr>
        <w:spacing w:after="40"/>
        <w:ind w:left="425" w:hanging="198"/>
      </w:pPr>
      <w:r>
        <w:rPr>
          <w:sz w:val="22"/>
        </w:rPr>
        <w:t>•</w:t>
        <w:tab/>
        <w:t>4. Recevoir l’e-mail de confirmation de réception de la candidature.</w:t>
      </w:r>
    </w:p>
    <w:p>
      <w:pPr>
        <w:spacing w:after="40"/>
        <w:ind w:left="425" w:hanging="198"/>
      </w:pPr>
      <w:r>
        <w:rPr>
          <w:sz w:val="22"/>
        </w:rPr>
        <w:t>•</w:t>
        <w:tab/>
        <w:t>5. Suivre l’état d’avancement de son dossier depuis son espace candidat.</w:t>
      </w:r>
    </w:p>
    <w:p>
      <w:pPr>
        <w:spacing w:after="40"/>
        <w:ind w:left="425" w:hanging="198"/>
      </w:pPr>
      <w:r>
        <w:rPr>
          <w:sz w:val="22"/>
        </w:rPr>
        <w:t>•</w:t>
        <w:tab/>
        <w:t>6. Recevoir les notifications de présélection, d’invitation et de rappel d’entretien, puis la décision finale.</w:t>
      </w:r>
    </w:p>
    <w:p>
      <w:pPr>
        <w:spacing w:after="40"/>
        <w:ind w:left="425" w:hanging="198"/>
      </w:pPr>
      <w:r>
        <w:rPr>
          <w:sz w:val="22"/>
        </w:rPr>
        <w:t>•</w:t>
        <w:tab/>
        <w:t>7. Demander une suggestion d’offres pertinentes à partir de son CV (« Job idéal »).</w:t>
      </w:r>
    </w:p>
    <w:p>
      <w:pPr>
        <w:spacing w:after="40"/>
        <w:ind w:left="425" w:hanging="198"/>
      </w:pPr>
      <w:r>
        <w:rPr>
          <w:sz w:val="22"/>
        </w:rPr>
        <w:t>•</w:t>
        <w:tab/>
        <w:t>8. Poser une question en langage naturel à l’assistant conversationnel sur ses candidatures.</w:t>
      </w:r>
    </w:p>
    <w:p>
      <w:pPr>
        <w:spacing w:after="40"/>
        <w:ind w:left="425" w:hanging="198"/>
      </w:pPr>
      <w:r>
        <w:rPr>
          <w:sz w:val="22"/>
        </w:rPr>
        <w:t>•</w:t>
        <w:tab/>
        <w:t>9. Retirer une candidature tant qu’elle n’est pas close.</w:t>
      </w:r>
    </w:p>
    <w:p>
      <w:pPr>
        <w:spacing w:after="80" w:before="0"/>
      </w:pPr>
      <w:r>
        <w:rPr>
          <w:b w:val="0"/>
          <w:i w:val="0"/>
          <w:sz w:val="22"/>
        </w:rPr>
      </w:r>
    </w:p>
    <w:p>
      <w:pPr>
        <w:pStyle w:val="Heading2"/>
      </w:pPr>
      <w:r>
        <w:t>10.2 Parcours responsable RH</w:t>
      </w:r>
    </w:p>
    <w:p>
      <w:pPr>
        <w:spacing w:after="40"/>
        <w:ind w:left="425" w:hanging="198"/>
      </w:pPr>
      <w:r>
        <w:rPr>
          <w:sz w:val="22"/>
        </w:rPr>
        <w:t>•</w:t>
        <w:tab/>
        <w:t>1. Publier une offre d’emploi (intitulé, description, département, date limite).</w:t>
      </w:r>
    </w:p>
    <w:p>
      <w:pPr>
        <w:spacing w:after="40"/>
        <w:ind w:left="425" w:hanging="198"/>
      </w:pPr>
      <w:r>
        <w:rPr>
          <w:sz w:val="22"/>
        </w:rPr>
        <w:t>•</w:t>
        <w:tab/>
        <w:t>2. Consulter les candidatures reçues et consulter l’analyse détaillée du CV (score par critère).</w:t>
      </w:r>
    </w:p>
    <w:p>
      <w:pPr>
        <w:spacing w:after="40"/>
        <w:ind w:left="425" w:hanging="198"/>
      </w:pPr>
      <w:r>
        <w:rPr>
          <w:sz w:val="22"/>
        </w:rPr>
        <w:t>•</w:t>
        <w:tab/>
        <w:t>3. L’IA propose automatiquement un score ; le RH peut le corriger avec une justification journalisée.</w:t>
      </w:r>
    </w:p>
    <w:p>
      <w:pPr>
        <w:spacing w:after="40"/>
        <w:ind w:left="425" w:hanging="198"/>
      </w:pPr>
      <w:r>
        <w:rPr>
          <w:sz w:val="22"/>
        </w:rPr>
        <w:t>•</w:t>
        <w:tab/>
        <w:t>4. Mener l’entretien téléphonique de pré-sélection puis faire passer le dossier en évaluation technique.</w:t>
      </w:r>
    </w:p>
    <w:p>
      <w:pPr>
        <w:spacing w:after="40"/>
        <w:ind w:left="425" w:hanging="198"/>
      </w:pPr>
      <w:r>
        <w:rPr>
          <w:sz w:val="22"/>
        </w:rPr>
        <w:t>•</w:t>
        <w:tab/>
        <w:t>5. Planifier l’entretien technique : l’événement Google Calendar et le lien Google Meet sont créés automatiquement, les invitations sont envoyées.</w:t>
      </w:r>
    </w:p>
    <w:p>
      <w:pPr>
        <w:spacing w:after="40"/>
        <w:ind w:left="425" w:hanging="198"/>
      </w:pPr>
      <w:r>
        <w:rPr>
          <w:sz w:val="22"/>
        </w:rPr>
        <w:t>•</w:t>
        <w:tab/>
        <w:t>6. Suivre le pipeline sur le tableau Kanban et consulter le tableau de bord.</w:t>
      </w:r>
    </w:p>
    <w:p>
      <w:pPr>
        <w:spacing w:after="40"/>
        <w:ind w:left="425" w:hanging="198"/>
      </w:pPr>
      <w:r>
        <w:rPr>
          <w:sz w:val="22"/>
        </w:rPr>
        <w:t>•</w:t>
        <w:tab/>
        <w:t>7. Valider le feedback saisi par le manager avant transmission au candidat.</w:t>
      </w:r>
    </w:p>
    <w:p>
      <w:pPr>
        <w:spacing w:after="40"/>
        <w:ind w:left="425" w:hanging="198"/>
      </w:pPr>
      <w:r>
        <w:rPr>
          <w:sz w:val="22"/>
        </w:rPr>
        <w:t>•</w:t>
        <w:tab/>
        <w:t>8. Prononcer la décision finale : le candidat est informé par e-mail et la décision est tracée dans l’audit.</w:t>
      </w:r>
    </w:p>
    <w:p>
      <w:pPr>
        <w:spacing w:after="80" w:before="0"/>
      </w:pPr>
      <w:r>
        <w:rPr>
          <w:b w:val="0"/>
          <w:i w:val="0"/>
          <w:sz w:val="22"/>
        </w:rPr>
      </w:r>
    </w:p>
    <w:p>
      <w:pPr>
        <w:pStyle w:val="Heading2"/>
      </w:pPr>
      <w:r>
        <w:t>10.3 Parcours manager</w:t>
      </w:r>
    </w:p>
    <w:p>
      <w:pPr>
        <w:spacing w:after="40"/>
        <w:ind w:left="425" w:hanging="198"/>
      </w:pPr>
      <w:r>
        <w:rPr>
          <w:sz w:val="22"/>
        </w:rPr>
        <w:t>•</w:t>
        <w:tab/>
        <w:t>1. Recevoir une notification à l’entrée en évaluation technique d’un dossier de son département.</w:t>
      </w:r>
    </w:p>
    <w:p>
      <w:pPr>
        <w:spacing w:after="40"/>
        <w:ind w:left="425" w:hanging="198"/>
      </w:pPr>
      <w:r>
        <w:rPr>
          <w:sz w:val="22"/>
        </w:rPr>
        <w:t>•</w:t>
        <w:tab/>
        <w:t>2. Consulter la liste des candidatures de son périmètre et le détail d’un dossier (CV, scores, feedbacks).</w:t>
      </w:r>
    </w:p>
    <w:p>
      <w:pPr>
        <w:spacing w:after="40"/>
        <w:ind w:left="425" w:hanging="198"/>
      </w:pPr>
      <w:r>
        <w:rPr>
          <w:sz w:val="22"/>
        </w:rPr>
        <w:t>•</w:t>
        <w:tab/>
        <w:t>3. Mener l’entretien et saisir un feedback structuré.</w:t>
      </w:r>
    </w:p>
    <w:p>
      <w:pPr>
        <w:spacing w:after="40"/>
        <w:ind w:left="425" w:hanging="198"/>
      </w:pPr>
      <w:r>
        <w:rPr>
          <w:sz w:val="22"/>
        </w:rPr>
        <w:t>•</w:t>
        <w:tab/>
        <w:t>4. Consulter son calendrier (entretiens du mois et trois prochains rendez-vous), en lecture seule.</w:t>
      </w:r>
    </w:p>
    <w:p>
      <w:pPr>
        <w:spacing w:after="40"/>
        <w:ind w:left="425" w:hanging="198"/>
      </w:pPr>
      <w:r>
        <w:rPr>
          <w:sz w:val="22"/>
        </w:rPr>
        <w:t>•</w:t>
        <w:tab/>
        <w:t>5. Prononcer la décision finale sur un dossier de son périmètre, puis vérifier la notification envoyée au candidat.</w:t>
      </w:r>
    </w:p>
    <w:p>
      <w:pPr>
        <w:spacing w:after="80" w:before="0"/>
      </w:pPr>
      <w:r>
        <w:rPr>
          <w:b w:val="0"/>
          <w:i w:val="0"/>
          <w:sz w:val="22"/>
        </w:rPr>
      </w:r>
    </w:p>
    <w:p>
      <w:pPr>
        <w:pStyle w:val="Heading2"/>
      </w:pPr>
      <w:r>
        <w:t>10.4 Parcours administrateur</w:t>
      </w:r>
    </w:p>
    <w:p>
      <w:pPr>
        <w:spacing w:after="40"/>
        <w:ind w:left="425" w:hanging="198"/>
      </w:pPr>
      <w:r>
        <w:rPr>
          <w:sz w:val="22"/>
        </w:rPr>
        <w:t>•</w:t>
        <w:tab/>
        <w:t>1. Créer les comptes utilisateurs et affecter les rôles (Administrateur, RH, Manager, Candidat).</w:t>
      </w:r>
    </w:p>
    <w:p>
      <w:pPr>
        <w:spacing w:after="40"/>
        <w:ind w:left="425" w:hanging="198"/>
      </w:pPr>
      <w:r>
        <w:rPr>
          <w:sz w:val="22"/>
        </w:rPr>
        <w:t>•</w:t>
        <w:tab/>
        <w:t>2. Rattacher chaque utilisateur à un département ou une famille de métier, déterminant son périmètre de visibilité.</w:t>
      </w:r>
    </w:p>
    <w:p>
      <w:pPr>
        <w:spacing w:after="40"/>
        <w:ind w:left="425" w:hanging="198"/>
      </w:pPr>
      <w:r>
        <w:rPr>
          <w:sz w:val="22"/>
        </w:rPr>
        <w:t>•</w:t>
        <w:tab/>
        <w:t>3. Paramétrer les pondérations du scoring IA par famille de métier et niveau de séniorité.</w:t>
      </w:r>
    </w:p>
    <w:p>
      <w:pPr>
        <w:spacing w:after="40"/>
        <w:ind w:left="425" w:hanging="198"/>
      </w:pPr>
      <w:r>
        <w:rPr>
          <w:sz w:val="22"/>
        </w:rPr>
        <w:t>•</w:t>
        <w:tab/>
        <w:t>4. Consulter le journal d’audit pour tracer l’historique des décisions sur les dossiers.</w:t>
      </w:r>
    </w:p>
    <w:p>
      <w:pPr>
        <w:spacing w:after="40"/>
        <w:ind w:left="425" w:hanging="198"/>
      </w:pPr>
      <w:r>
        <w:rPr>
          <w:sz w:val="22"/>
        </w:rPr>
        <w:t>•</w:t>
        <w:tab/>
        <w:t>5. Intervenir sur un dossier en cas de blocage, en conservant la trace de son action.</w:t>
      </w:r>
    </w:p>
    <w:p>
      <w:pPr>
        <w:spacing w:after="80" w:before="0"/>
      </w:pPr>
      <w:r>
        <w:rPr>
          <w:b w:val="0"/>
          <w:i w:val="0"/>
          <w:sz w:val="22"/>
        </w:rPr>
      </w:r>
    </w:p>
    <w:p>
      <w:pPr>
        <w:pStyle w:val="Heading1"/>
        <w:pageBreakBefore/>
      </w:pPr>
      <w:r>
        <w:t>11. Critères de validation</w:t>
      </w:r>
    </w:p>
    <w:p>
      <w:pPr>
        <w:spacing w:after="160" w:before="0"/>
      </w:pPr>
      <w:r>
        <w:rPr>
          <w:b w:val="0"/>
          <w:i w:val="0"/>
          <w:sz w:val="22"/>
        </w:rPr>
        <w:t>Un besoin est considéré comme satisfait lorsque le cas de test correspondant produit le résultat attendu, en nominal comme en cas d’erreur. La validation a été conduite par une campagne de tests unitaires (JUnit 5 / Mockito), des tests fonctionnels manuels dans l’application, des tests d’API (Postman, Swagger) et une vérification de bout en bout du parcours complet.</w:t>
      </w:r>
    </w:p>
    <w:tbl>
      <w:tblPr>
        <w:tblW w:type="auto" w:w="0"/>
        <w:jc w:val="center"/>
        <w:tblLayout w:type="fixed"/>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60" w:type="dxa"/>
          <w:left w:w="100" w:type="dxa"/>
          <w:bottom w:w="60" w:type="dxa"/>
          <w:right w:w="100" w:type="dxa"/>
        </w:tblCellMar>
      </w:tblPr>
      <w:tblGrid>
        <w:gridCol w:w="1077"/>
        <w:gridCol w:w="3742"/>
        <w:gridCol w:w="2324"/>
        <w:gridCol w:w="1077"/>
      </w:tblGrid>
      <w:tr>
        <w:trPr>
          <w:tblHeader/>
        </w:trPr>
        <w:tc>
          <w:tcPr>
            <w:tcW w:type="dxa" w:w="1077"/>
            <w:shd w:val="clear" w:fill="E8EEF7"/>
          </w:tcPr>
          <w:p>
            <w:pPr>
              <w:spacing w:after="0"/>
            </w:pPr>
            <w:r/>
            <w:r>
              <w:rPr>
                <w:b/>
                <w:sz w:val="19"/>
              </w:rPr>
              <w:t>ID</w:t>
            </w:r>
          </w:p>
        </w:tc>
        <w:tc>
          <w:tcPr>
            <w:tcW w:type="dxa" w:w="3742"/>
            <w:shd w:val="clear" w:fill="E8EEF7"/>
          </w:tcPr>
          <w:p>
            <w:pPr>
              <w:spacing w:after="0"/>
            </w:pPr>
            <w:r/>
            <w:r>
              <w:rPr>
                <w:b/>
                <w:sz w:val="19"/>
              </w:rPr>
              <w:t>Critère de validation</w:t>
            </w:r>
          </w:p>
        </w:tc>
        <w:tc>
          <w:tcPr>
            <w:tcW w:type="dxa" w:w="2324"/>
            <w:shd w:val="clear" w:fill="E8EEF7"/>
          </w:tcPr>
          <w:p>
            <w:pPr>
              <w:spacing w:after="0"/>
            </w:pPr>
            <w:r/>
            <w:r>
              <w:rPr>
                <w:b/>
                <w:sz w:val="19"/>
              </w:rPr>
              <w:t>Moyen de vérification</w:t>
            </w:r>
          </w:p>
        </w:tc>
        <w:tc>
          <w:tcPr>
            <w:tcW w:type="dxa" w:w="1077"/>
            <w:shd w:val="clear" w:fill="E8EEF7"/>
          </w:tcPr>
          <w:p>
            <w:pPr>
              <w:spacing w:after="0"/>
            </w:pPr>
            <w:r/>
            <w:r>
              <w:rPr>
                <w:b/>
                <w:sz w:val="19"/>
              </w:rPr>
              <w:t>Résultat</w:t>
            </w:r>
          </w:p>
        </w:tc>
      </w:tr>
      <w:tr>
        <w:tc>
          <w:tcPr>
            <w:tcW w:type="dxa" w:w="1077"/>
          </w:tcPr>
          <w:p>
            <w:pPr>
              <w:spacing w:after="0"/>
            </w:pPr>
            <w:r>
              <w:rPr>
                <w:sz w:val="19"/>
              </w:rPr>
              <w:t>CV-01</w:t>
            </w:r>
          </w:p>
        </w:tc>
        <w:tc>
          <w:tcPr>
            <w:tcW w:type="dxa" w:w="3742"/>
          </w:tcPr>
          <w:p>
            <w:pPr>
              <w:spacing w:after="0"/>
            </w:pPr>
            <w:r>
              <w:rPr>
                <w:sz w:val="19"/>
              </w:rPr>
              <w:t>Un utilisateur valide peut se connecter et obtient un jeton JWT exploitable.</w:t>
            </w:r>
          </w:p>
        </w:tc>
        <w:tc>
          <w:tcPr>
            <w:tcW w:type="dxa" w:w="2324"/>
          </w:tcPr>
          <w:p>
            <w:pPr>
              <w:spacing w:after="0"/>
            </w:pPr>
            <w:r>
              <w:rPr>
                <w:sz w:val="19"/>
              </w:rPr>
              <w:t>Test fonctionnel + Postman</w:t>
            </w:r>
          </w:p>
        </w:tc>
        <w:tc>
          <w:tcPr>
            <w:tcW w:type="dxa" w:w="1077"/>
          </w:tcPr>
          <w:p>
            <w:pPr>
              <w:spacing w:after="0"/>
            </w:pPr>
            <w:r>
              <w:rPr>
                <w:sz w:val="19"/>
              </w:rPr>
              <w:t>Conforme</w:t>
            </w:r>
          </w:p>
        </w:tc>
      </w:tr>
      <w:tr>
        <w:tc>
          <w:tcPr>
            <w:tcW w:type="dxa" w:w="1077"/>
          </w:tcPr>
          <w:p>
            <w:pPr>
              <w:spacing w:after="0"/>
            </w:pPr>
            <w:r>
              <w:rPr>
                <w:sz w:val="19"/>
              </w:rPr>
              <w:t>CV-02</w:t>
            </w:r>
          </w:p>
        </w:tc>
        <w:tc>
          <w:tcPr>
            <w:tcW w:type="dxa" w:w="3742"/>
          </w:tcPr>
          <w:p>
            <w:pPr>
              <w:spacing w:after="0"/>
            </w:pPr>
            <w:r>
              <w:rPr>
                <w:sz w:val="19"/>
              </w:rPr>
              <w:t>Un mot de passe invalide ou un accès non autorisé est refusé (401 / 403).</w:t>
            </w:r>
          </w:p>
        </w:tc>
        <w:tc>
          <w:tcPr>
            <w:tcW w:type="dxa" w:w="2324"/>
          </w:tcPr>
          <w:p>
            <w:pPr>
              <w:spacing w:after="0"/>
            </w:pPr>
            <w:r>
              <w:rPr>
                <w:sz w:val="19"/>
              </w:rPr>
              <w:t>Test fonctionnel + tests de sécurité</w:t>
            </w:r>
          </w:p>
        </w:tc>
        <w:tc>
          <w:tcPr>
            <w:tcW w:type="dxa" w:w="1077"/>
          </w:tcPr>
          <w:p>
            <w:pPr>
              <w:spacing w:after="0"/>
            </w:pPr>
            <w:r>
              <w:rPr>
                <w:sz w:val="19"/>
              </w:rPr>
              <w:t>Conforme</w:t>
            </w:r>
          </w:p>
        </w:tc>
      </w:tr>
      <w:tr>
        <w:tc>
          <w:tcPr>
            <w:tcW w:type="dxa" w:w="1077"/>
          </w:tcPr>
          <w:p>
            <w:pPr>
              <w:spacing w:after="0"/>
            </w:pPr>
            <w:r>
              <w:rPr>
                <w:sz w:val="19"/>
              </w:rPr>
              <w:t>CV-03</w:t>
            </w:r>
          </w:p>
        </w:tc>
        <w:tc>
          <w:tcPr>
            <w:tcW w:type="dxa" w:w="3742"/>
          </w:tcPr>
          <w:p>
            <w:pPr>
              <w:spacing w:after="0"/>
            </w:pPr>
            <w:r>
              <w:rPr>
                <w:sz w:val="19"/>
              </w:rPr>
              <w:t>Le RH publie une offre, visible immédiatement sur la page publique et expirant automatiquement à la date limite.</w:t>
            </w:r>
          </w:p>
        </w:tc>
        <w:tc>
          <w:tcPr>
            <w:tcW w:type="dxa" w:w="2324"/>
          </w:tcPr>
          <w:p>
            <w:pPr>
              <w:spacing w:after="0"/>
            </w:pPr>
            <w:r>
              <w:rPr>
                <w:sz w:val="19"/>
              </w:rPr>
              <w:t>Test fonctionnel</w:t>
            </w:r>
          </w:p>
        </w:tc>
        <w:tc>
          <w:tcPr>
            <w:tcW w:type="dxa" w:w="1077"/>
          </w:tcPr>
          <w:p>
            <w:pPr>
              <w:spacing w:after="0"/>
            </w:pPr>
            <w:r>
              <w:rPr>
                <w:sz w:val="19"/>
              </w:rPr>
              <w:t>Conforme</w:t>
            </w:r>
          </w:p>
        </w:tc>
      </w:tr>
      <w:tr>
        <w:tc>
          <w:tcPr>
            <w:tcW w:type="dxa" w:w="1077"/>
          </w:tcPr>
          <w:p>
            <w:pPr>
              <w:spacing w:after="0"/>
            </w:pPr>
            <w:r>
              <w:rPr>
                <w:sz w:val="19"/>
              </w:rPr>
              <w:t>CV-04</w:t>
            </w:r>
          </w:p>
        </w:tc>
        <w:tc>
          <w:tcPr>
            <w:tcW w:type="dxa" w:w="3742"/>
          </w:tcPr>
          <w:p>
            <w:pPr>
              <w:spacing w:after="0"/>
            </w:pPr>
            <w:r>
              <w:rPr>
                <w:sz w:val="19"/>
              </w:rPr>
              <w:t>Le dépôt d’un CV crée la candidature (statut APPLIED) et déclenche l’analyse IA.</w:t>
            </w:r>
          </w:p>
        </w:tc>
        <w:tc>
          <w:tcPr>
            <w:tcW w:type="dxa" w:w="2324"/>
          </w:tcPr>
          <w:p>
            <w:pPr>
              <w:spacing w:after="0"/>
            </w:pPr>
            <w:r>
              <w:rPr>
                <w:sz w:val="19"/>
              </w:rPr>
              <w:t>Vérification de bout en bout</w:t>
            </w:r>
          </w:p>
        </w:tc>
        <w:tc>
          <w:tcPr>
            <w:tcW w:type="dxa" w:w="1077"/>
          </w:tcPr>
          <w:p>
            <w:pPr>
              <w:spacing w:after="0"/>
            </w:pPr>
            <w:r>
              <w:rPr>
                <w:sz w:val="19"/>
              </w:rPr>
              <w:t>Conforme</w:t>
            </w:r>
          </w:p>
        </w:tc>
      </w:tr>
      <w:tr>
        <w:tc>
          <w:tcPr>
            <w:tcW w:type="dxa" w:w="1077"/>
          </w:tcPr>
          <w:p>
            <w:pPr>
              <w:spacing w:after="0"/>
            </w:pPr>
            <w:r>
              <w:rPr>
                <w:sz w:val="19"/>
              </w:rPr>
              <w:t>CV-05</w:t>
            </w:r>
          </w:p>
        </w:tc>
        <w:tc>
          <w:tcPr>
            <w:tcW w:type="dxa" w:w="3742"/>
          </w:tcPr>
          <w:p>
            <w:pPr>
              <w:spacing w:after="0"/>
            </w:pPr>
            <w:r>
              <w:rPr>
                <w:sz w:val="19"/>
              </w:rPr>
              <w:t>Le score IA oriente le dossier vers CV_REVIEWED ou AUTO_REJECTED selon le seuil de 60/100.</w:t>
            </w:r>
          </w:p>
        </w:tc>
        <w:tc>
          <w:tcPr>
            <w:tcW w:type="dxa" w:w="2324"/>
          </w:tcPr>
          <w:p>
            <w:pPr>
              <w:spacing w:after="0"/>
            </w:pPr>
            <w:r>
              <w:rPr>
                <w:sz w:val="19"/>
              </w:rPr>
              <w:t>Tests unitaires du scoring + test fonctionnel</w:t>
            </w:r>
          </w:p>
        </w:tc>
        <w:tc>
          <w:tcPr>
            <w:tcW w:type="dxa" w:w="1077"/>
          </w:tcPr>
          <w:p>
            <w:pPr>
              <w:spacing w:after="0"/>
            </w:pPr>
            <w:r>
              <w:rPr>
                <w:sz w:val="19"/>
              </w:rPr>
              <w:t>Conforme</w:t>
            </w:r>
          </w:p>
        </w:tc>
      </w:tr>
      <w:tr>
        <w:tc>
          <w:tcPr>
            <w:tcW w:type="dxa" w:w="1077"/>
          </w:tcPr>
          <w:p>
            <w:pPr>
              <w:spacing w:after="0"/>
            </w:pPr>
            <w:r>
              <w:rPr>
                <w:sz w:val="19"/>
              </w:rPr>
              <w:t>CV-06</w:t>
            </w:r>
          </w:p>
        </w:tc>
        <w:tc>
          <w:tcPr>
            <w:tcW w:type="dxa" w:w="3742"/>
          </w:tcPr>
          <w:p>
            <w:pPr>
              <w:spacing w:after="0"/>
            </w:pPr>
            <w:r>
              <w:rPr>
                <w:sz w:val="19"/>
              </w:rPr>
              <w:t>Une décision manager sur un dossier non validé par le RH est refusée (400).</w:t>
            </w:r>
          </w:p>
        </w:tc>
        <w:tc>
          <w:tcPr>
            <w:tcW w:type="dxa" w:w="2324"/>
          </w:tcPr>
          <w:p>
            <w:pPr>
              <w:spacing w:after="0"/>
            </w:pPr>
            <w:r>
              <w:rPr>
                <w:sz w:val="19"/>
              </w:rPr>
              <w:t>Test fonctionnel</w:t>
            </w:r>
          </w:p>
        </w:tc>
        <w:tc>
          <w:tcPr>
            <w:tcW w:type="dxa" w:w="1077"/>
          </w:tcPr>
          <w:p>
            <w:pPr>
              <w:spacing w:after="0"/>
            </w:pPr>
            <w:r>
              <w:rPr>
                <w:sz w:val="19"/>
              </w:rPr>
              <w:t>Conforme</w:t>
            </w:r>
          </w:p>
        </w:tc>
      </w:tr>
      <w:tr>
        <w:tc>
          <w:tcPr>
            <w:tcW w:type="dxa" w:w="1077"/>
          </w:tcPr>
          <w:p>
            <w:pPr>
              <w:spacing w:after="0"/>
            </w:pPr>
            <w:r>
              <w:rPr>
                <w:sz w:val="19"/>
              </w:rPr>
              <w:t>CV-07</w:t>
            </w:r>
          </w:p>
        </w:tc>
        <w:tc>
          <w:tcPr>
            <w:tcW w:type="dxa" w:w="3742"/>
          </w:tcPr>
          <w:p>
            <w:pPr>
              <w:spacing w:after="0"/>
            </w:pPr>
            <w:r>
              <w:rPr>
                <w:sz w:val="19"/>
              </w:rPr>
              <w:t>Une acceptation sans entretien téléphonique RH est refusée (400).</w:t>
            </w:r>
          </w:p>
        </w:tc>
        <w:tc>
          <w:tcPr>
            <w:tcW w:type="dxa" w:w="2324"/>
          </w:tcPr>
          <w:p>
            <w:pPr>
              <w:spacing w:after="0"/>
            </w:pPr>
            <w:r>
              <w:rPr>
                <w:sz w:val="19"/>
              </w:rPr>
              <w:t>Test fonctionnel</w:t>
            </w:r>
          </w:p>
        </w:tc>
        <w:tc>
          <w:tcPr>
            <w:tcW w:type="dxa" w:w="1077"/>
          </w:tcPr>
          <w:p>
            <w:pPr>
              <w:spacing w:after="0"/>
            </w:pPr>
            <w:r>
              <w:rPr>
                <w:sz w:val="19"/>
              </w:rPr>
              <w:t>Conforme</w:t>
            </w:r>
          </w:p>
        </w:tc>
      </w:tr>
      <w:tr>
        <w:tc>
          <w:tcPr>
            <w:tcW w:type="dxa" w:w="1077"/>
          </w:tcPr>
          <w:p>
            <w:pPr>
              <w:spacing w:after="0"/>
            </w:pPr>
            <w:r>
              <w:rPr>
                <w:sz w:val="19"/>
              </w:rPr>
              <w:t>CV-08</w:t>
            </w:r>
          </w:p>
        </w:tc>
        <w:tc>
          <w:tcPr>
            <w:tcW w:type="dxa" w:w="3742"/>
          </w:tcPr>
          <w:p>
            <w:pPr>
              <w:spacing w:after="0"/>
            </w:pPr>
            <w:r>
              <w:rPr>
                <w:sz w:val="19"/>
              </w:rPr>
              <w:t>Une planification d’entretien sur un dossier clos est refusée, et ne modifie jamais le statut d’un dossier existant.</w:t>
            </w:r>
          </w:p>
        </w:tc>
        <w:tc>
          <w:tcPr>
            <w:tcW w:type="dxa" w:w="2324"/>
          </w:tcPr>
          <w:p>
            <w:pPr>
              <w:spacing w:after="0"/>
            </w:pPr>
            <w:r>
              <w:rPr>
                <w:sz w:val="19"/>
              </w:rPr>
              <w:t>Tests unitaires + test fonctionnel</w:t>
            </w:r>
          </w:p>
        </w:tc>
        <w:tc>
          <w:tcPr>
            <w:tcW w:type="dxa" w:w="1077"/>
          </w:tcPr>
          <w:p>
            <w:pPr>
              <w:spacing w:after="0"/>
            </w:pPr>
            <w:r>
              <w:rPr>
                <w:sz w:val="19"/>
              </w:rPr>
              <w:t>Conforme</w:t>
            </w:r>
          </w:p>
        </w:tc>
      </w:tr>
      <w:tr>
        <w:tc>
          <w:tcPr>
            <w:tcW w:type="dxa" w:w="1077"/>
          </w:tcPr>
          <w:p>
            <w:pPr>
              <w:spacing w:after="0"/>
            </w:pPr>
            <w:r>
              <w:rPr>
                <w:sz w:val="19"/>
              </w:rPr>
              <w:t>CV-09</w:t>
            </w:r>
          </w:p>
        </w:tc>
        <w:tc>
          <w:tcPr>
            <w:tcW w:type="dxa" w:w="3742"/>
          </w:tcPr>
          <w:p>
            <w:pPr>
              <w:spacing w:after="0"/>
            </w:pPr>
            <w:r>
              <w:rPr>
                <w:sz w:val="19"/>
              </w:rPr>
              <w:t>Un manager ne voit et n’agit sur aucun dossier hors de son département, y compris en appel direct à l’API.</w:t>
            </w:r>
          </w:p>
        </w:tc>
        <w:tc>
          <w:tcPr>
            <w:tcW w:type="dxa" w:w="2324"/>
          </w:tcPr>
          <w:p>
            <w:pPr>
              <w:spacing w:after="0"/>
            </w:pPr>
            <w:r>
              <w:rPr>
                <w:sz w:val="19"/>
              </w:rPr>
              <w:t>2 tests unitaires dédiés + test fonctionnel</w:t>
            </w:r>
          </w:p>
        </w:tc>
        <w:tc>
          <w:tcPr>
            <w:tcW w:type="dxa" w:w="1077"/>
          </w:tcPr>
          <w:p>
            <w:pPr>
              <w:spacing w:after="0"/>
            </w:pPr>
            <w:r>
              <w:rPr>
                <w:sz w:val="19"/>
              </w:rPr>
              <w:t>Conforme</w:t>
            </w:r>
          </w:p>
        </w:tc>
      </w:tr>
      <w:tr>
        <w:tc>
          <w:tcPr>
            <w:tcW w:type="dxa" w:w="1077"/>
          </w:tcPr>
          <w:p>
            <w:pPr>
              <w:spacing w:after="0"/>
            </w:pPr>
            <w:r>
              <w:rPr>
                <w:sz w:val="19"/>
              </w:rPr>
              <w:t>CV-10</w:t>
            </w:r>
          </w:p>
        </w:tc>
        <w:tc>
          <w:tcPr>
            <w:tcW w:type="dxa" w:w="3742"/>
          </w:tcPr>
          <w:p>
            <w:pPr>
              <w:spacing w:after="0"/>
            </w:pPr>
            <w:r>
              <w:rPr>
                <w:sz w:val="19"/>
              </w:rPr>
              <w:t>Un manager n’est notifié qu’à l’entrée en évaluation technique, et chaque manager du département l’est.</w:t>
            </w:r>
          </w:p>
        </w:tc>
        <w:tc>
          <w:tcPr>
            <w:tcW w:type="dxa" w:w="2324"/>
          </w:tcPr>
          <w:p>
            <w:pPr>
              <w:spacing w:after="0"/>
            </w:pPr>
            <w:r>
              <w:rPr>
                <w:sz w:val="19"/>
              </w:rPr>
              <w:t>Tests de routage + test fonctionnel</w:t>
            </w:r>
          </w:p>
        </w:tc>
        <w:tc>
          <w:tcPr>
            <w:tcW w:type="dxa" w:w="1077"/>
          </w:tcPr>
          <w:p>
            <w:pPr>
              <w:spacing w:after="0"/>
            </w:pPr>
            <w:r>
              <w:rPr>
                <w:sz w:val="19"/>
              </w:rPr>
              <w:t>Conforme</w:t>
            </w:r>
          </w:p>
        </w:tc>
      </w:tr>
      <w:tr>
        <w:tc>
          <w:tcPr>
            <w:tcW w:type="dxa" w:w="1077"/>
          </w:tcPr>
          <w:p>
            <w:pPr>
              <w:spacing w:after="0"/>
            </w:pPr>
            <w:r>
              <w:rPr>
                <w:sz w:val="19"/>
              </w:rPr>
              <w:t>CV-11</w:t>
            </w:r>
          </w:p>
        </w:tc>
        <w:tc>
          <w:tcPr>
            <w:tcW w:type="dxa" w:w="3742"/>
          </w:tcPr>
          <w:p>
            <w:pPr>
              <w:spacing w:after="0"/>
            </w:pPr>
            <w:r>
              <w:rPr>
                <w:sz w:val="19"/>
              </w:rPr>
              <w:t>L’événement Google Calendar et le lien Google Meet sont créés réellement et transmis par e-mail.</w:t>
            </w:r>
          </w:p>
        </w:tc>
        <w:tc>
          <w:tcPr>
            <w:tcW w:type="dxa" w:w="2324"/>
          </w:tcPr>
          <w:p>
            <w:pPr>
              <w:spacing w:after="0"/>
            </w:pPr>
            <w:r>
              <w:rPr>
                <w:sz w:val="19"/>
              </w:rPr>
              <w:t>Vérification de bout en bout</w:t>
            </w:r>
          </w:p>
        </w:tc>
        <w:tc>
          <w:tcPr>
            <w:tcW w:type="dxa" w:w="1077"/>
          </w:tcPr>
          <w:p>
            <w:pPr>
              <w:spacing w:after="0"/>
            </w:pPr>
            <w:r>
              <w:rPr>
                <w:sz w:val="19"/>
              </w:rPr>
              <w:t>Conforme</w:t>
            </w:r>
          </w:p>
        </w:tc>
      </w:tr>
      <w:tr>
        <w:tc>
          <w:tcPr>
            <w:tcW w:type="dxa" w:w="1077"/>
          </w:tcPr>
          <w:p>
            <w:pPr>
              <w:spacing w:after="0"/>
            </w:pPr>
            <w:r>
              <w:rPr>
                <w:sz w:val="19"/>
              </w:rPr>
              <w:t>CV-12</w:t>
            </w:r>
          </w:p>
        </w:tc>
        <w:tc>
          <w:tcPr>
            <w:tcW w:type="dxa" w:w="3742"/>
          </w:tcPr>
          <w:p>
            <w:pPr>
              <w:spacing w:after="0"/>
            </w:pPr>
            <w:r>
              <w:rPr>
                <w:sz w:val="19"/>
              </w:rPr>
              <w:t>Les notifications e-mail partent à chaque étape clé, une seule fois pour le candidat.</w:t>
            </w:r>
          </w:p>
        </w:tc>
        <w:tc>
          <w:tcPr>
            <w:tcW w:type="dxa" w:w="2324"/>
          </w:tcPr>
          <w:p>
            <w:pPr>
              <w:spacing w:after="0"/>
            </w:pPr>
            <w:r>
              <w:rPr>
                <w:sz w:val="19"/>
              </w:rPr>
              <w:t>Test fonctionnel</w:t>
            </w:r>
          </w:p>
        </w:tc>
        <w:tc>
          <w:tcPr>
            <w:tcW w:type="dxa" w:w="1077"/>
          </w:tcPr>
          <w:p>
            <w:pPr>
              <w:spacing w:after="0"/>
            </w:pPr>
            <w:r>
              <w:rPr>
                <w:sz w:val="19"/>
              </w:rPr>
              <w:t>Conforme</w:t>
            </w:r>
          </w:p>
        </w:tc>
      </w:tr>
      <w:tr>
        <w:tc>
          <w:tcPr>
            <w:tcW w:type="dxa" w:w="1077"/>
          </w:tcPr>
          <w:p>
            <w:pPr>
              <w:spacing w:after="0"/>
            </w:pPr>
            <w:r>
              <w:rPr>
                <w:sz w:val="19"/>
              </w:rPr>
              <w:t>CV-13</w:t>
            </w:r>
          </w:p>
        </w:tc>
        <w:tc>
          <w:tcPr>
            <w:tcW w:type="dxa" w:w="3742"/>
          </w:tcPr>
          <w:p>
            <w:pPr>
              <w:spacing w:after="0"/>
            </w:pPr>
            <w:r>
              <w:rPr>
                <w:sz w:val="19"/>
              </w:rPr>
              <w:t>Le changement de statut est répercuté immédiatement dans la liste et le tableau Kanban, sans rechargement.</w:t>
            </w:r>
          </w:p>
        </w:tc>
        <w:tc>
          <w:tcPr>
            <w:tcW w:type="dxa" w:w="2324"/>
          </w:tcPr>
          <w:p>
            <w:pPr>
              <w:spacing w:after="0"/>
            </w:pPr>
            <w:r>
              <w:rPr>
                <w:sz w:val="19"/>
              </w:rPr>
              <w:t>Test fonctionnel</w:t>
            </w:r>
          </w:p>
        </w:tc>
        <w:tc>
          <w:tcPr>
            <w:tcW w:type="dxa" w:w="1077"/>
          </w:tcPr>
          <w:p>
            <w:pPr>
              <w:spacing w:after="0"/>
            </w:pPr>
            <w:r>
              <w:rPr>
                <w:sz w:val="19"/>
              </w:rPr>
              <w:t>Conforme</w:t>
            </w:r>
          </w:p>
        </w:tc>
      </w:tr>
      <w:tr>
        <w:tc>
          <w:tcPr>
            <w:tcW w:type="dxa" w:w="1077"/>
          </w:tcPr>
          <w:p>
            <w:pPr>
              <w:spacing w:after="0"/>
            </w:pPr>
            <w:r>
              <w:rPr>
                <w:sz w:val="19"/>
              </w:rPr>
              <w:t>CV-14</w:t>
            </w:r>
          </w:p>
        </w:tc>
        <w:tc>
          <w:tcPr>
            <w:tcW w:type="dxa" w:w="3742"/>
          </w:tcPr>
          <w:p>
            <w:pPr>
              <w:spacing w:after="0"/>
            </w:pPr>
            <w:r>
              <w:rPr>
                <w:sz w:val="19"/>
              </w:rPr>
              <w:t>Toute action sensible apparaît dans le journal d’audit avec son auteur et son horodatage.</w:t>
            </w:r>
          </w:p>
        </w:tc>
        <w:tc>
          <w:tcPr>
            <w:tcW w:type="dxa" w:w="2324"/>
          </w:tcPr>
          <w:p>
            <w:pPr>
              <w:spacing w:after="0"/>
            </w:pPr>
            <w:r>
              <w:rPr>
                <w:sz w:val="19"/>
              </w:rPr>
              <w:t>Consultation du journal d’audit</w:t>
            </w:r>
          </w:p>
        </w:tc>
        <w:tc>
          <w:tcPr>
            <w:tcW w:type="dxa" w:w="1077"/>
          </w:tcPr>
          <w:p>
            <w:pPr>
              <w:spacing w:after="0"/>
            </w:pPr>
            <w:r>
              <w:rPr>
                <w:sz w:val="19"/>
              </w:rPr>
              <w:t>Conforme</w:t>
            </w:r>
          </w:p>
        </w:tc>
      </w:tr>
      <w:tr>
        <w:tc>
          <w:tcPr>
            <w:tcW w:type="dxa" w:w="1077"/>
          </w:tcPr>
          <w:p>
            <w:pPr>
              <w:spacing w:after="0"/>
            </w:pPr>
            <w:r>
              <w:rPr>
                <w:sz w:val="19"/>
              </w:rPr>
              <w:t>CV-15</w:t>
            </w:r>
          </w:p>
        </w:tc>
        <w:tc>
          <w:tcPr>
            <w:tcW w:type="dxa" w:w="3742"/>
          </w:tcPr>
          <w:p>
            <w:pPr>
              <w:spacing w:after="0"/>
            </w:pPr>
            <w:r>
              <w:rPr>
                <w:sz w:val="19"/>
              </w:rPr>
              <w:t>L’assistant conversationnel refuse de révéler un champ interne et résiste à une tentative d’injection de prompt.</w:t>
            </w:r>
          </w:p>
        </w:tc>
        <w:tc>
          <w:tcPr>
            <w:tcW w:type="dxa" w:w="2324"/>
          </w:tcPr>
          <w:p>
            <w:pPr>
              <w:spacing w:after="0"/>
            </w:pPr>
            <w:r>
              <w:rPr>
                <w:sz w:val="19"/>
              </w:rPr>
              <w:t>3 tests manuels explicites</w:t>
            </w:r>
          </w:p>
        </w:tc>
        <w:tc>
          <w:tcPr>
            <w:tcW w:type="dxa" w:w="1077"/>
          </w:tcPr>
          <w:p>
            <w:pPr>
              <w:spacing w:after="0"/>
            </w:pPr>
            <w:r>
              <w:rPr>
                <w:sz w:val="19"/>
              </w:rPr>
              <w:t>Conforme</w:t>
            </w:r>
          </w:p>
        </w:tc>
      </w:tr>
      <w:tr>
        <w:tc>
          <w:tcPr>
            <w:tcW w:type="dxa" w:w="1077"/>
          </w:tcPr>
          <w:p>
            <w:pPr>
              <w:spacing w:after="0"/>
            </w:pPr>
            <w:r>
              <w:rPr>
                <w:sz w:val="19"/>
              </w:rPr>
              <w:t>CV-16</w:t>
            </w:r>
          </w:p>
        </w:tc>
        <w:tc>
          <w:tcPr>
            <w:tcW w:type="dxa" w:w="3742"/>
          </w:tcPr>
          <w:p>
            <w:pPr>
              <w:spacing w:after="0"/>
            </w:pPr>
            <w:r>
              <w:rPr>
                <w:sz w:val="19"/>
              </w:rPr>
              <w:t>La campagne automatisée est verte : 12 classes de test, 108 méthodes.</w:t>
            </w:r>
          </w:p>
        </w:tc>
        <w:tc>
          <w:tcPr>
            <w:tcW w:type="dxa" w:w="2324"/>
          </w:tcPr>
          <w:p>
            <w:pPr>
              <w:spacing w:after="0"/>
            </w:pPr>
            <w:r>
              <w:rPr>
                <w:sz w:val="19"/>
              </w:rPr>
              <w:t>Exécution Maven</w:t>
            </w:r>
          </w:p>
        </w:tc>
        <w:tc>
          <w:tcPr>
            <w:tcW w:type="dxa" w:w="1077"/>
          </w:tcPr>
          <w:p>
            <w:pPr>
              <w:spacing w:after="0"/>
            </w:pPr>
            <w:r>
              <w:rPr>
                <w:sz w:val="19"/>
              </w:rPr>
              <w:t>Conforme</w:t>
            </w:r>
          </w:p>
        </w:tc>
      </w:tr>
    </w:tbl>
    <w:p>
      <w:pPr>
        <w:spacing w:after="200" w:before="0"/>
      </w:pPr>
      <w:r>
        <w:rPr>
          <w:b w:val="0"/>
          <w:i/>
          <w:sz w:val="20"/>
        </w:rPr>
        <w:t>Tableau 10 : Critères de validation et résultats obtenus.</w:t>
      </w:r>
    </w:p>
    <w:p>
      <w:pPr>
        <w:pStyle w:val="Heading1"/>
        <w:pageBreakBefore/>
      </w:pPr>
      <w:r>
        <w:t>12. Livrables du projet</w:t>
      </w:r>
    </w:p>
    <w:tbl>
      <w:tblPr>
        <w:tblW w:type="auto" w:w="0"/>
        <w:jc w:val="center"/>
        <w:tblLayout w:type="fixed"/>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60" w:type="dxa"/>
          <w:left w:w="100" w:type="dxa"/>
          <w:bottom w:w="60" w:type="dxa"/>
          <w:right w:w="100" w:type="dxa"/>
        </w:tblCellMar>
      </w:tblPr>
      <w:tblGrid>
        <w:gridCol w:w="1077"/>
        <w:gridCol w:w="2381"/>
        <w:gridCol w:w="5613"/>
      </w:tblGrid>
      <w:tr>
        <w:trPr>
          <w:tblHeader/>
        </w:trPr>
        <w:tc>
          <w:tcPr>
            <w:tcW w:type="dxa" w:w="1077"/>
            <w:shd w:val="clear" w:fill="E8EEF7"/>
          </w:tcPr>
          <w:p>
            <w:pPr>
              <w:spacing w:after="0"/>
            </w:pPr>
            <w:r/>
            <w:r>
              <w:rPr>
                <w:b/>
                <w:sz w:val="19"/>
              </w:rPr>
              <w:t>ID</w:t>
            </w:r>
          </w:p>
        </w:tc>
        <w:tc>
          <w:tcPr>
            <w:tcW w:type="dxa" w:w="2381"/>
            <w:shd w:val="clear" w:fill="E8EEF7"/>
          </w:tcPr>
          <w:p>
            <w:pPr>
              <w:spacing w:after="0"/>
            </w:pPr>
            <w:r/>
            <w:r>
              <w:rPr>
                <w:b/>
                <w:sz w:val="19"/>
              </w:rPr>
              <w:t>Livrable</w:t>
            </w:r>
          </w:p>
        </w:tc>
        <w:tc>
          <w:tcPr>
            <w:tcW w:type="dxa" w:w="5613"/>
            <w:shd w:val="clear" w:fill="E8EEF7"/>
          </w:tcPr>
          <w:p>
            <w:pPr>
              <w:spacing w:after="0"/>
            </w:pPr>
            <w:r/>
            <w:r>
              <w:rPr>
                <w:b/>
                <w:sz w:val="19"/>
              </w:rPr>
              <w:t>Contenu</w:t>
            </w:r>
          </w:p>
        </w:tc>
      </w:tr>
      <w:tr>
        <w:tc>
          <w:tcPr>
            <w:tcW w:type="dxa" w:w="1077"/>
          </w:tcPr>
          <w:p>
            <w:pPr>
              <w:spacing w:after="0"/>
            </w:pPr>
            <w:r>
              <w:rPr>
                <w:sz w:val="19"/>
              </w:rPr>
              <w:t>LV-01</w:t>
            </w:r>
          </w:p>
        </w:tc>
        <w:tc>
          <w:tcPr>
            <w:tcW w:type="dxa" w:w="2381"/>
          </w:tcPr>
          <w:p>
            <w:pPr>
              <w:spacing w:after="0"/>
            </w:pPr>
            <w:r>
              <w:rPr>
                <w:sz w:val="19"/>
              </w:rPr>
              <w:t>Application front-end Angular</w:t>
            </w:r>
          </w:p>
        </w:tc>
        <w:tc>
          <w:tcPr>
            <w:tcW w:type="dxa" w:w="5613"/>
          </w:tcPr>
          <w:p>
            <w:pPr>
              <w:spacing w:after="0"/>
            </w:pPr>
            <w:r>
              <w:rPr>
                <w:sz w:val="19"/>
              </w:rPr>
              <w:t>Interface publique (accueil, offres, candidature, Job idéal) et interfaces d’administration (candidats, offres, entretiens, feedbacks, utilisateurs, Kanban, tableau de bord, audit, calendrier manager, chatbot).</w:t>
            </w:r>
          </w:p>
        </w:tc>
      </w:tr>
      <w:tr>
        <w:tc>
          <w:tcPr>
            <w:tcW w:type="dxa" w:w="1077"/>
          </w:tcPr>
          <w:p>
            <w:pPr>
              <w:spacing w:after="0"/>
            </w:pPr>
            <w:r>
              <w:rPr>
                <w:sz w:val="19"/>
              </w:rPr>
              <w:t>LV-02</w:t>
            </w:r>
          </w:p>
        </w:tc>
        <w:tc>
          <w:tcPr>
            <w:tcW w:type="dxa" w:w="2381"/>
          </w:tcPr>
          <w:p>
            <w:pPr>
              <w:spacing w:after="0"/>
            </w:pPr>
            <w:r>
              <w:rPr>
                <w:sz w:val="19"/>
              </w:rPr>
              <w:t>API back-end Spring Boot</w:t>
            </w:r>
          </w:p>
        </w:tc>
        <w:tc>
          <w:tcPr>
            <w:tcW w:type="dxa" w:w="5613"/>
          </w:tcPr>
          <w:p>
            <w:pPr>
              <w:spacing w:after="0"/>
            </w:pPr>
            <w:r>
              <w:rPr>
                <w:sz w:val="19"/>
              </w:rPr>
              <w:t>API REST sécurisées par JWT : authentification, offres, candidatures, entretiens, feedbacks, décisions, audit, chatbot, webhooks n8n, documentation Swagger.</w:t>
            </w:r>
          </w:p>
        </w:tc>
      </w:tr>
      <w:tr>
        <w:tc>
          <w:tcPr>
            <w:tcW w:type="dxa" w:w="1077"/>
          </w:tcPr>
          <w:p>
            <w:pPr>
              <w:spacing w:after="0"/>
            </w:pPr>
            <w:r>
              <w:rPr>
                <w:sz w:val="19"/>
              </w:rPr>
              <w:t>LV-03</w:t>
            </w:r>
          </w:p>
        </w:tc>
        <w:tc>
          <w:tcPr>
            <w:tcW w:type="dxa" w:w="2381"/>
          </w:tcPr>
          <w:p>
            <w:pPr>
              <w:spacing w:after="0"/>
            </w:pPr>
            <w:r>
              <w:rPr>
                <w:sz w:val="19"/>
              </w:rPr>
              <w:t>Base de données PostgreSQL</w:t>
            </w:r>
          </w:p>
        </w:tc>
        <w:tc>
          <w:tcPr>
            <w:tcW w:type="dxa" w:w="5613"/>
          </w:tcPr>
          <w:p>
            <w:pPr>
              <w:spacing w:after="0"/>
            </w:pPr>
            <w:r>
              <w:rPr>
                <w:sz w:val="19"/>
              </w:rPr>
              <w:t>Schéma relationnel issu des entités JPA : users, roles, job_offers, candidates, interviews, feedbacks, audit_logs, paramètres de scoring.</w:t>
            </w:r>
          </w:p>
        </w:tc>
      </w:tr>
      <w:tr>
        <w:tc>
          <w:tcPr>
            <w:tcW w:type="dxa" w:w="1077"/>
          </w:tcPr>
          <w:p>
            <w:pPr>
              <w:spacing w:after="0"/>
            </w:pPr>
            <w:r>
              <w:rPr>
                <w:sz w:val="19"/>
              </w:rPr>
              <w:t>LV-04</w:t>
            </w:r>
          </w:p>
        </w:tc>
        <w:tc>
          <w:tcPr>
            <w:tcW w:type="dxa" w:w="2381"/>
          </w:tcPr>
          <w:p>
            <w:pPr>
              <w:spacing w:after="0"/>
            </w:pPr>
            <w:r>
              <w:rPr>
                <w:sz w:val="19"/>
              </w:rPr>
              <w:t>Workflows n8n</w:t>
            </w:r>
          </w:p>
        </w:tc>
        <w:tc>
          <w:tcPr>
            <w:tcW w:type="dxa" w:w="5613"/>
          </w:tcPr>
          <w:p>
            <w:pPr>
              <w:spacing w:after="0"/>
            </w:pPr>
            <w:r>
              <w:rPr>
                <w:sz w:val="19"/>
              </w:rPr>
              <w:t>Agents CV Parser, RH Manager et Interview Manager : analyse des CV, routage et notification des managers, envoi des e-mails, création des événements d’entretien.</w:t>
            </w:r>
          </w:p>
        </w:tc>
      </w:tr>
      <w:tr>
        <w:tc>
          <w:tcPr>
            <w:tcW w:type="dxa" w:w="1077"/>
          </w:tcPr>
          <w:p>
            <w:pPr>
              <w:spacing w:after="0"/>
            </w:pPr>
            <w:r>
              <w:rPr>
                <w:sz w:val="19"/>
              </w:rPr>
              <w:t>LV-05</w:t>
            </w:r>
          </w:p>
        </w:tc>
        <w:tc>
          <w:tcPr>
            <w:tcW w:type="dxa" w:w="2381"/>
          </w:tcPr>
          <w:p>
            <w:pPr>
              <w:spacing w:after="0"/>
            </w:pPr>
            <w:r>
              <w:rPr>
                <w:sz w:val="19"/>
              </w:rPr>
              <w:t>Intégrations externes</w:t>
            </w:r>
          </w:p>
        </w:tc>
        <w:tc>
          <w:tcPr>
            <w:tcW w:type="dxa" w:w="5613"/>
          </w:tcPr>
          <w:p>
            <w:pPr>
              <w:spacing w:after="0"/>
            </w:pPr>
            <w:r>
              <w:rPr>
                <w:sz w:val="19"/>
              </w:rPr>
              <w:t>API de Cohere (scoring et Job idéal), API OpenRouter (assistant conversationnel), Google Calendar (événements et lien Meet), SMTP (notifications).</w:t>
            </w:r>
          </w:p>
        </w:tc>
      </w:tr>
      <w:tr>
        <w:tc>
          <w:tcPr>
            <w:tcW w:type="dxa" w:w="1077"/>
          </w:tcPr>
          <w:p>
            <w:pPr>
              <w:spacing w:after="0"/>
            </w:pPr>
            <w:r>
              <w:rPr>
                <w:sz w:val="19"/>
              </w:rPr>
              <w:t>LV-06</w:t>
            </w:r>
          </w:p>
        </w:tc>
        <w:tc>
          <w:tcPr>
            <w:tcW w:type="dxa" w:w="2381"/>
          </w:tcPr>
          <w:p>
            <w:pPr>
              <w:spacing w:after="0"/>
            </w:pPr>
            <w:r>
              <w:rPr>
                <w:sz w:val="19"/>
              </w:rPr>
              <w:t>Tests</w:t>
            </w:r>
          </w:p>
        </w:tc>
        <w:tc>
          <w:tcPr>
            <w:tcW w:type="dxa" w:w="5613"/>
          </w:tcPr>
          <w:p>
            <w:pPr>
              <w:spacing w:after="0"/>
            </w:pPr>
            <w:r>
              <w:rPr>
                <w:sz w:val="19"/>
              </w:rPr>
              <w:t>12 classes de tests unitaires (108 méthodes) et campagne de tests fonctionnels documentés, avec collection Postman.</w:t>
            </w:r>
          </w:p>
        </w:tc>
      </w:tr>
      <w:tr>
        <w:tc>
          <w:tcPr>
            <w:tcW w:type="dxa" w:w="1077"/>
          </w:tcPr>
          <w:p>
            <w:pPr>
              <w:spacing w:after="0"/>
            </w:pPr>
            <w:r>
              <w:rPr>
                <w:sz w:val="19"/>
              </w:rPr>
              <w:t>LV-07</w:t>
            </w:r>
          </w:p>
        </w:tc>
        <w:tc>
          <w:tcPr>
            <w:tcW w:type="dxa" w:w="2381"/>
          </w:tcPr>
          <w:p>
            <w:pPr>
              <w:spacing w:after="0"/>
            </w:pPr>
            <w:r>
              <w:rPr>
                <w:sz w:val="19"/>
              </w:rPr>
              <w:t>Documentation</w:t>
            </w:r>
          </w:p>
        </w:tc>
        <w:tc>
          <w:tcPr>
            <w:tcW w:type="dxa" w:w="5613"/>
          </w:tcPr>
          <w:p>
            <w:pPr>
              <w:spacing w:after="0"/>
            </w:pPr>
            <w:r>
              <w:rPr>
                <w:sz w:val="19"/>
              </w:rPr>
              <w:t>Rapport de stage (76 pages), présentations des interfaces, documentation interactive Swagger.</w:t>
            </w:r>
          </w:p>
        </w:tc>
      </w:tr>
      <w:tr>
        <w:tc>
          <w:tcPr>
            <w:tcW w:type="dxa" w:w="1077"/>
          </w:tcPr>
          <w:p>
            <w:pPr>
              <w:spacing w:after="0"/>
            </w:pPr>
            <w:r>
              <w:rPr>
                <w:sz w:val="19"/>
              </w:rPr>
              <w:t>LV-08</w:t>
            </w:r>
          </w:p>
        </w:tc>
        <w:tc>
          <w:tcPr>
            <w:tcW w:type="dxa" w:w="2381"/>
          </w:tcPr>
          <w:p>
            <w:pPr>
              <w:spacing w:after="0"/>
            </w:pPr>
            <w:r>
              <w:rPr>
                <w:sz w:val="19"/>
              </w:rPr>
              <w:t>Code source</w:t>
            </w:r>
          </w:p>
        </w:tc>
        <w:tc>
          <w:tcPr>
            <w:tcW w:type="dxa" w:w="5613"/>
          </w:tcPr>
          <w:p>
            <w:pPr>
              <w:spacing w:after="0"/>
            </w:pPr>
            <w:r>
              <w:rPr>
                <w:sz w:val="19"/>
              </w:rPr>
              <w:t>Dépôt Git / GitHub organisé par couches, avec historique des commits retraçant les fonctionnalités et les corrections.</w:t>
            </w:r>
          </w:p>
        </w:tc>
      </w:tr>
    </w:tbl>
    <w:p>
      <w:pPr>
        <w:spacing w:after="200" w:before="0"/>
      </w:pPr>
      <w:r>
        <w:rPr>
          <w:b w:val="0"/>
          <w:i/>
          <w:sz w:val="20"/>
        </w:rPr>
        <w:t>Tableau 11 : Livrables du projet.</w:t>
      </w:r>
    </w:p>
    <w:p>
      <w:pPr>
        <w:pStyle w:val="Heading1"/>
        <w:pageBreakBefore/>
      </w:pPr>
      <w:r>
        <w:t>13. Planning</w:t>
      </w:r>
    </w:p>
    <w:p>
      <w:pPr>
        <w:spacing w:after="160" w:before="0"/>
      </w:pPr>
      <w:r>
        <w:rPr>
          <w:b w:val="0"/>
          <w:i w:val="0"/>
          <w:sz w:val="22"/>
        </w:rPr>
        <w:t>Le projet s’est déroulé sur sept mois, du 02 février au 31 août 2026, selon la méthode Agile Scrum adaptée au contexte d’un développeur seul : chaque fonctionnalité était analysée, conçue, développée puis validée au sein de sprints de deux à trois semaines, les points de synchronisation réguliers avec l’encadrant tenant lieu de revue de sprint.</w:t>
      </w:r>
    </w:p>
    <w:tbl>
      <w:tblPr>
        <w:tblW w:type="auto" w:w="0"/>
        <w:jc w:val="center"/>
        <w:tblLayout w:type="fixed"/>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60" w:type="dxa"/>
          <w:left w:w="100" w:type="dxa"/>
          <w:bottom w:w="60" w:type="dxa"/>
          <w:right w:w="100" w:type="dxa"/>
        </w:tblCellMar>
      </w:tblPr>
      <w:tblGrid>
        <w:gridCol w:w="2041"/>
        <w:gridCol w:w="1474"/>
        <w:gridCol w:w="4082"/>
        <w:gridCol w:w="1474"/>
      </w:tblGrid>
      <w:tr>
        <w:trPr>
          <w:tblHeader/>
        </w:trPr>
        <w:tc>
          <w:tcPr>
            <w:tcW w:type="dxa" w:w="2041"/>
            <w:shd w:val="clear" w:fill="E8EEF7"/>
          </w:tcPr>
          <w:p>
            <w:pPr>
              <w:spacing w:after="0"/>
            </w:pPr>
            <w:r/>
            <w:r>
              <w:rPr>
                <w:b/>
                <w:sz w:val="19"/>
              </w:rPr>
              <w:t>Phase</w:t>
            </w:r>
          </w:p>
        </w:tc>
        <w:tc>
          <w:tcPr>
            <w:tcW w:type="dxa" w:w="1474"/>
            <w:shd w:val="clear" w:fill="E8EEF7"/>
          </w:tcPr>
          <w:p>
            <w:pPr>
              <w:spacing w:after="0"/>
            </w:pPr>
            <w:r/>
            <w:r>
              <w:rPr>
                <w:b/>
                <w:sz w:val="19"/>
              </w:rPr>
              <w:t>Période</w:t>
            </w:r>
          </w:p>
        </w:tc>
        <w:tc>
          <w:tcPr>
            <w:tcW w:type="dxa" w:w="4082"/>
            <w:shd w:val="clear" w:fill="E8EEF7"/>
          </w:tcPr>
          <w:p>
            <w:pPr>
              <w:spacing w:after="0"/>
            </w:pPr>
            <w:r/>
            <w:r>
              <w:rPr>
                <w:b/>
                <w:sz w:val="19"/>
              </w:rPr>
              <w:t>Activités principales</w:t>
            </w:r>
          </w:p>
        </w:tc>
        <w:tc>
          <w:tcPr>
            <w:tcW w:type="dxa" w:w="1474"/>
            <w:shd w:val="clear" w:fill="E8EEF7"/>
          </w:tcPr>
          <w:p>
            <w:pPr>
              <w:spacing w:after="0"/>
            </w:pPr>
            <w:r/>
            <w:r>
              <w:rPr>
                <w:b/>
                <w:sz w:val="19"/>
              </w:rPr>
              <w:t>Livrable</w:t>
            </w:r>
          </w:p>
        </w:tc>
      </w:tr>
      <w:tr>
        <w:tc>
          <w:tcPr>
            <w:tcW w:type="dxa" w:w="2041"/>
          </w:tcPr>
          <w:p>
            <w:pPr>
              <w:spacing w:after="0"/>
            </w:pPr>
            <w:r>
              <w:rPr>
                <w:sz w:val="19"/>
              </w:rPr>
              <w:t>1. Prise en main et cadrage</w:t>
            </w:r>
          </w:p>
        </w:tc>
        <w:tc>
          <w:tcPr>
            <w:tcW w:type="dxa" w:w="1474"/>
          </w:tcPr>
          <w:p>
            <w:pPr>
              <w:spacing w:after="0"/>
            </w:pPr>
            <w:r>
              <w:rPr>
                <w:sz w:val="19"/>
              </w:rPr>
              <w:t>Février 2026</w:t>
            </w:r>
          </w:p>
        </w:tc>
        <w:tc>
          <w:tcPr>
            <w:tcW w:type="dxa" w:w="4082"/>
          </w:tcPr>
          <w:p>
            <w:pPr>
              <w:spacing w:after="0"/>
            </w:pPr>
            <w:r>
              <w:rPr>
                <w:sz w:val="19"/>
              </w:rPr>
              <w:t>Intégration dans l’équipe, étude de l’existant, analyse du besoin, rédaction du cahier des charges.</w:t>
            </w:r>
          </w:p>
        </w:tc>
        <w:tc>
          <w:tcPr>
            <w:tcW w:type="dxa" w:w="1474"/>
          </w:tcPr>
          <w:p>
            <w:pPr>
              <w:spacing w:after="0"/>
            </w:pPr>
            <w:r>
              <w:rPr>
                <w:sz w:val="19"/>
              </w:rPr>
              <w:t>Cahier des charges</w:t>
            </w:r>
          </w:p>
        </w:tc>
      </w:tr>
      <w:tr>
        <w:tc>
          <w:tcPr>
            <w:tcW w:type="dxa" w:w="2041"/>
          </w:tcPr>
          <w:p>
            <w:pPr>
              <w:spacing w:after="0"/>
            </w:pPr>
            <w:r>
              <w:rPr>
                <w:sz w:val="19"/>
              </w:rPr>
              <w:t>2. Analyse et conception</w:t>
            </w:r>
          </w:p>
        </w:tc>
        <w:tc>
          <w:tcPr>
            <w:tcW w:type="dxa" w:w="1474"/>
          </w:tcPr>
          <w:p>
            <w:pPr>
              <w:spacing w:after="0"/>
            </w:pPr>
            <w:r>
              <w:rPr>
                <w:sz w:val="19"/>
              </w:rPr>
              <w:t>Mars 2026</w:t>
            </w:r>
          </w:p>
        </w:tc>
        <w:tc>
          <w:tcPr>
            <w:tcW w:type="dxa" w:w="4082"/>
          </w:tcPr>
          <w:p>
            <w:pPr>
              <w:spacing w:after="0"/>
            </w:pPr>
            <w:r>
              <w:rPr>
                <w:sz w:val="19"/>
              </w:rPr>
              <w:t>Spécification des besoins, modélisation UML (cas d’utilisation, séquence, classes, états), conception de la base de données.</w:t>
            </w:r>
          </w:p>
        </w:tc>
        <w:tc>
          <w:tcPr>
            <w:tcW w:type="dxa" w:w="1474"/>
          </w:tcPr>
          <w:p>
            <w:pPr>
              <w:spacing w:after="0"/>
            </w:pPr>
            <w:r>
              <w:rPr>
                <w:sz w:val="19"/>
              </w:rPr>
              <w:t>Modèles UML et MLD</w:t>
            </w:r>
          </w:p>
        </w:tc>
      </w:tr>
      <w:tr>
        <w:tc>
          <w:tcPr>
            <w:tcW w:type="dxa" w:w="2041"/>
          </w:tcPr>
          <w:p>
            <w:pPr>
              <w:spacing w:after="0"/>
            </w:pPr>
            <w:r>
              <w:rPr>
                <w:sz w:val="19"/>
              </w:rPr>
              <w:t>3. Développement — socle applicatif</w:t>
            </w:r>
          </w:p>
        </w:tc>
        <w:tc>
          <w:tcPr>
            <w:tcW w:type="dxa" w:w="1474"/>
          </w:tcPr>
          <w:p>
            <w:pPr>
              <w:spacing w:after="0"/>
            </w:pPr>
            <w:r>
              <w:rPr>
                <w:sz w:val="19"/>
              </w:rPr>
              <w:t>Avril – Mai 2026</w:t>
            </w:r>
          </w:p>
        </w:tc>
        <w:tc>
          <w:tcPr>
            <w:tcW w:type="dxa" w:w="4082"/>
          </w:tcPr>
          <w:p>
            <w:pPr>
              <w:spacing w:after="0"/>
            </w:pPr>
            <w:r>
              <w:rPr>
                <w:sz w:val="19"/>
              </w:rPr>
              <w:t>Architecture back-end / front-end, authentification JWT, gestion des rôles, gestion des offres et des candidatures.</w:t>
            </w:r>
          </w:p>
        </w:tc>
        <w:tc>
          <w:tcPr>
            <w:tcW w:type="dxa" w:w="1474"/>
          </w:tcPr>
          <w:p>
            <w:pPr>
              <w:spacing w:after="0"/>
            </w:pPr>
            <w:r>
              <w:rPr>
                <w:sz w:val="19"/>
              </w:rPr>
              <w:t>Application opérationnelle (v1)</w:t>
            </w:r>
          </w:p>
        </w:tc>
      </w:tr>
      <w:tr>
        <w:tc>
          <w:tcPr>
            <w:tcW w:type="dxa" w:w="2041"/>
          </w:tcPr>
          <w:p>
            <w:pPr>
              <w:spacing w:after="0"/>
            </w:pPr>
            <w:r>
              <w:rPr>
                <w:sz w:val="19"/>
              </w:rPr>
              <w:t>4. Développement — fonctionnalités avancées</w:t>
            </w:r>
          </w:p>
        </w:tc>
        <w:tc>
          <w:tcPr>
            <w:tcW w:type="dxa" w:w="1474"/>
          </w:tcPr>
          <w:p>
            <w:pPr>
              <w:spacing w:after="0"/>
            </w:pPr>
            <w:r>
              <w:rPr>
                <w:sz w:val="19"/>
              </w:rPr>
              <w:t>Juin – Juillet 2026</w:t>
            </w:r>
          </w:p>
        </w:tc>
        <w:tc>
          <w:tcPr>
            <w:tcW w:type="dxa" w:w="4082"/>
          </w:tcPr>
          <w:p>
            <w:pPr>
              <w:spacing w:after="0"/>
            </w:pPr>
            <w:r>
              <w:rPr>
                <w:sz w:val="19"/>
              </w:rPr>
              <w:t>Scoring IA, agents n8n, gestion des entretiens, feedbacks, routage des managers, notifications, Kanban, audit, Job idéal, chatbot.</w:t>
            </w:r>
          </w:p>
        </w:tc>
        <w:tc>
          <w:tcPr>
            <w:tcW w:type="dxa" w:w="1474"/>
          </w:tcPr>
          <w:p>
            <w:pPr>
              <w:spacing w:after="0"/>
            </w:pPr>
            <w:r>
              <w:rPr>
                <w:sz w:val="19"/>
              </w:rPr>
              <w:t>Application complète</w:t>
            </w:r>
          </w:p>
        </w:tc>
      </w:tr>
      <w:tr>
        <w:tc>
          <w:tcPr>
            <w:tcW w:type="dxa" w:w="2041"/>
          </w:tcPr>
          <w:p>
            <w:pPr>
              <w:spacing w:after="0"/>
            </w:pPr>
            <w:r>
              <w:rPr>
                <w:sz w:val="19"/>
              </w:rPr>
              <w:t>5. Tests, corrections et finalisation</w:t>
            </w:r>
          </w:p>
        </w:tc>
        <w:tc>
          <w:tcPr>
            <w:tcW w:type="dxa" w:w="1474"/>
          </w:tcPr>
          <w:p>
            <w:pPr>
              <w:spacing w:after="0"/>
            </w:pPr>
            <w:r>
              <w:rPr>
                <w:sz w:val="19"/>
              </w:rPr>
              <w:t>Août 2026</w:t>
            </w:r>
          </w:p>
        </w:tc>
        <w:tc>
          <w:tcPr>
            <w:tcW w:type="dxa" w:w="4082"/>
          </w:tcPr>
          <w:p>
            <w:pPr>
              <w:spacing w:after="0"/>
            </w:pPr>
            <w:r>
              <w:rPr>
                <w:sz w:val="19"/>
              </w:rPr>
              <w:t>Tests fonctionnels et automatisés, corrections de bugs, améliorations UX et sécurité, rédaction du rapport.</w:t>
            </w:r>
          </w:p>
        </w:tc>
        <w:tc>
          <w:tcPr>
            <w:tcW w:type="dxa" w:w="1474"/>
          </w:tcPr>
          <w:p>
            <w:pPr>
              <w:spacing w:after="0"/>
            </w:pPr>
            <w:r>
              <w:rPr>
                <w:sz w:val="19"/>
              </w:rPr>
              <w:t>Rapport de stage</w:t>
            </w:r>
          </w:p>
        </w:tc>
      </w:tr>
    </w:tbl>
    <w:p>
      <w:pPr>
        <w:spacing w:after="200" w:before="0"/>
      </w:pPr>
      <w:r>
        <w:rPr>
          <w:b w:val="0"/>
          <w:i/>
          <w:sz w:val="20"/>
        </w:rPr>
        <w:t>Tableau 12 : Planning du projet sur sept mois.</w:t>
      </w:r>
    </w:p>
    <w:p>
      <w:pPr>
        <w:pStyle w:val="Heading1"/>
        <w:pageBreakBefore/>
      </w:pPr>
      <w:r>
        <w:t>14. Perspectives et conclusion</w:t>
      </w:r>
    </w:p>
    <w:p>
      <w:pPr>
        <w:pStyle w:val="Heading2"/>
      </w:pPr>
      <w:r>
        <w:t>14.1 Perspectives</w:t>
      </w:r>
    </w:p>
    <w:p>
      <w:pPr>
        <w:spacing w:after="40"/>
        <w:ind w:left="425" w:hanging="198"/>
      </w:pPr>
      <w:r>
        <w:rPr>
          <w:sz w:val="22"/>
        </w:rPr>
        <w:t>•</w:t>
        <w:tab/>
        <w:t>Analyse prédictive du taux de transformation des candidatures par famille de métier et par poste.</w:t>
      </w:r>
    </w:p>
    <w:p>
      <w:pPr>
        <w:spacing w:after="40"/>
        <w:ind w:left="425" w:hanging="198"/>
      </w:pPr>
      <w:r>
        <w:rPr>
          <w:sz w:val="22"/>
        </w:rPr>
        <w:t>•</w:t>
        <w:tab/>
        <w:t>Intégration avec des plateformes d’emploi externes (LinkedIn, Indeed) pour élargir le vivier de candidatures.</w:t>
      </w:r>
    </w:p>
    <w:p>
      <w:pPr>
        <w:spacing w:after="40"/>
        <w:ind w:left="425" w:hanging="198"/>
      </w:pPr>
      <w:r>
        <w:rPr>
          <w:sz w:val="22"/>
        </w:rPr>
        <w:t>•</w:t>
        <w:tab/>
        <w:t>Espace candidat enrichi : calendrier personnel, préparation d’entretien, suivi des notifications en un seul tableau de bord.</w:t>
      </w:r>
    </w:p>
    <w:p>
      <w:pPr>
        <w:spacing w:after="40"/>
        <w:ind w:left="425" w:hanging="198"/>
      </w:pPr>
      <w:r>
        <w:rPr>
          <w:sz w:val="22"/>
        </w:rPr>
        <w:t>•</w:t>
        <w:tab/>
        <w:t>Chaîne d’intégration et de livraison continues (CI/CD) et déploiement sur une infrastructure cloud.</w:t>
      </w:r>
    </w:p>
    <w:p>
      <w:pPr>
        <w:spacing w:after="40"/>
        <w:ind w:left="425" w:hanging="198"/>
      </w:pPr>
      <w:r>
        <w:rPr>
          <w:sz w:val="22"/>
        </w:rPr>
        <w:t>•</w:t>
        <w:tab/>
        <w:t>Campagne de tests plus exhaustive : tests d’intégration et tests de charge, en complément des 108 méthodes unitaires existantes.</w:t>
      </w:r>
    </w:p>
    <w:p>
      <w:pPr>
        <w:spacing w:after="40"/>
        <w:ind w:left="425" w:hanging="198"/>
      </w:pPr>
      <w:r>
        <w:rPr>
          <w:sz w:val="22"/>
        </w:rPr>
        <w:t>•</w:t>
        <w:tab/>
        <w:t>Migration des scripts de schéma vers un outil versionné (Flyway ou Liquibase) pour maîtriser les évolutions de base de données en production.</w:t>
      </w:r>
    </w:p>
    <w:p>
      <w:pPr>
        <w:spacing w:after="40"/>
        <w:ind w:left="425" w:hanging="198"/>
      </w:pPr>
      <w:r>
        <w:rPr>
          <w:sz w:val="22"/>
        </w:rPr>
        <w:t>•</w:t>
        <w:tab/>
        <w:t>Renforcement de la sécurité : analyse antivirus des fichiers déposés et durcissement du point d’entrée de test de connectivité des webhooks.</w:t>
      </w:r>
    </w:p>
    <w:p>
      <w:pPr>
        <w:spacing w:after="40"/>
        <w:ind w:left="425" w:hanging="198"/>
      </w:pPr>
      <w:r>
        <w:rPr>
          <w:sz w:val="22"/>
        </w:rPr>
        <w:t>•</w:t>
        <w:tab/>
        <w:t>Politique explicite de conservation et d’effacement des données candidats (durée de rétention, purge automatique) et recueil du consentement au dépôt du CV, conformément à la loi organique n° 2004-63 relative à la protection des données à caractère personnel.</w:t>
      </w:r>
    </w:p>
    <w:p>
      <w:pPr>
        <w:spacing w:after="80" w:before="0"/>
      </w:pPr>
      <w:r>
        <w:rPr>
          <w:b w:val="0"/>
          <w:i w:val="0"/>
          <w:sz w:val="22"/>
        </w:rPr>
      </w:r>
    </w:p>
    <w:p>
      <w:pPr>
        <w:pStyle w:val="Heading2"/>
      </w:pPr>
      <w:r>
        <w:t>14.2 Conclusion</w:t>
      </w:r>
    </w:p>
    <w:p>
      <w:pPr>
        <w:spacing w:after="120" w:before="0"/>
      </w:pPr>
      <w:r>
        <w:rPr>
          <w:b w:val="0"/>
          <w:i w:val="0"/>
          <w:sz w:val="22"/>
        </w:rPr>
        <w:t>Les objectifs fixés au démarrage du projet sont atteints : JOB4YOU est une plateforme fonctionnelle et sécurisée qui couvre l’intégralité du processus de recrutement, de la publication de l’offre à la décision finale, avec une analyse automatique des CV, des notifications à chaque étape clé et une traçabilité complète des décisions. Les fonctionnalités prévues ont été réalisées et validées par une campagne de tests unitaires automatisés et fonctionnels.</w:t>
      </w:r>
    </w:p>
    <w:p>
      <w:pPr>
        <w:spacing w:after="120" w:before="0"/>
      </w:pPr>
      <w:r>
        <w:rPr>
          <w:b w:val="0"/>
          <w:i w:val="0"/>
          <w:sz w:val="22"/>
        </w:rPr>
        <w:t>Sur le plan méthodologique, ce projet a permis de mettre en pratique la méthode Agile Scrum, adaptée à un besoin évolutif et au contexte d’un développeur seul, et de mesurer l’importance des garde-fous métier : la majorité des anomalies rencontrées ne portaient pas sur la logique principale, mais sur les transitions de statut, le cloisonnement des données et le calendrier des notifications. La plateforme est prête à entrer en phase de préindustrialisation au sein de Sopra HR Software Tunisie.</w:t>
      </w:r>
    </w:p>
    <w:sectPr>
      <w:footerReference w:type="default" r:id="rId6"/>
      <w:pgSz w:h="16838" w:w="11906" w:orient="portrait"/>
      <w:pgMar w:bottom="1247" w:top="1247" w:left="1247" w:right="1247" w:header="0" w:footer="720"/>
      <w:pgNumType w:start="1"/>
      <w:titlePg/>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Libre Baskervill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lade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JetBrains Mono">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footer1.xml><?xml version="1.0" encoding="utf-8"?>
<w:ftr xmlns:w="http://schemas.openxmlformats.org/wordprocessingml/2006/main">
  <w:p>
    <w:pPr>
      <w:jc w:val="center"/>
    </w:pPr>
    <w:r>
      <w:rPr>
        <w:sz w:val="18"/>
      </w:rPr>
      <w:fldChar w:fldCharType="begin"/>
    </w:r>
    <w:r>
      <w:rPr>
        <w:sz w:val="18"/>
      </w:rPr>
      <w:instrText xml:space="preserve"> PAGE </w:instrText>
    </w:r>
    <w:r>
      <w:rPr>
        <w:sz w:val="18"/>
      </w:rPr>
      <w:fldChar w:fldCharType="separate"/>
    </w:r>
    <w:r>
      <w:rPr>
        <w:sz w:val="18"/>
      </w:rPr>
      <w:t>1</w:t>
    </w:r>
    <w:r>
      <w:rPr>
        <w:sz w:val="18"/>
      </w:rPr>
      <w:fldChar w:fldCharType="end"/>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LibreBaskerville-regular.ttf"/><Relationship Id="rId2" Type="http://schemas.openxmlformats.org/officeDocument/2006/relationships/font" Target="fonts/LibreBaskerville-bold.ttf"/><Relationship Id="rId3" Type="http://schemas.openxmlformats.org/officeDocument/2006/relationships/font" Target="fonts/LibreBaskerville-italic.ttf"/><Relationship Id="rId4" Type="http://schemas.openxmlformats.org/officeDocument/2006/relationships/font" Target="fonts/LibreBaskerville-boldItalic.ttf"/><Relationship Id="rId11" Type="http://schemas.openxmlformats.org/officeDocument/2006/relationships/font" Target="fonts/JetBrainsMono-italic.ttf"/><Relationship Id="rId10" Type="http://schemas.openxmlformats.org/officeDocument/2006/relationships/font" Target="fonts/JetBrainsMono-bold.ttf"/><Relationship Id="rId12" Type="http://schemas.openxmlformats.org/officeDocument/2006/relationships/font" Target="fonts/JetBrainsMono-boldItalic.ttf"/><Relationship Id="rId9" Type="http://schemas.openxmlformats.org/officeDocument/2006/relationships/font" Target="fonts/JetBrainsMono-regular.ttf"/><Relationship Id="rId5" Type="http://schemas.openxmlformats.org/officeDocument/2006/relationships/font" Target="fonts/Caladea-regular.ttf"/><Relationship Id="rId6" Type="http://schemas.openxmlformats.org/officeDocument/2006/relationships/font" Target="fonts/Caladea-bold.ttf"/><Relationship Id="rId7" Type="http://schemas.openxmlformats.org/officeDocument/2006/relationships/font" Target="fonts/Caladea-italic.ttf"/><Relationship Id="rId8" Type="http://schemas.openxmlformats.org/officeDocument/2006/relationships/font" Target="fonts/Calade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