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57</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57</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58</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59</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60</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60</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61</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62</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62</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62</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63</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63</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63</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63</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64</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64</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64</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64</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65</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66</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67</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68</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69</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71</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78</w:t>
      </w:r>
    </w:p>
    <w:p w14:paraId="02CC94FF" w14:textId="73A2BE14" w:rsidR="000422CF" w:rsidRDefault="000422CF">
      <w:pPr>
        <w:pStyle w:val="TM1"/>
        <w:tabs>
          <w:tab w:val="right" w:leader="dot" w:pos="9066"/>
        </w:tabs>
        <w:rPr>
          <w:rFonts w:ascii="Aptos" w:eastAsia="Times New Roman" w:hAnsi="Aptos"/>
          <w:noProof/>
          <w:lang w:eastAsia="fr-FR"/>
        </w:rPr>
      </w:pPr>
      <w:r>
        <w:t>Glossaire</w:t>
        <w:tab/>
        <w:t>80</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 entretiens et rappels</w:t>
        <w:tab/>
        <w:t>55</w:t>
      </w:r>
    </w:p>
    <w:p w14:paraId="64C30683" w14:textId="082BDCCC" w:rsidR="005911B7" w:rsidRDefault="005911B7" w:rsidP="007B1E7D">
      <w:pPr>
        <w:tabs>
          <w:tab w:val="right" w:leader="dot" w:pos="9066"/>
        </w:tabs>
      </w:pPr>
      <w:r>
        <w:t xml:space="preserve">Figure 4.11 : Contre-signature RH d’un avis favorable « Valider l’embauche »</w:t>
        <w:tab/>
        <w:t>56</w:t>
      </w:r>
    </w:p>
    <w:p w14:paraId="64C30683" w14:textId="082BDCCC" w:rsidR="005911B7" w:rsidRDefault="005911B7" w:rsidP="007B1E7D">
      <w:pPr>
        <w:tabs>
          <w:tab w:val="right" w:leader="dot" w:pos="9066"/>
        </w:tabs>
      </w:pPr>
      <w:r>
        <w:t xml:space="preserve">Figure 4.12 : Contre-signature RH d’un refus proposé — modale « Confirmer le refus »</w:t>
        <w:tab/>
        <w:t>56</w:t>
      </w:r>
    </w:p>
    <w:p w14:paraId="64C30683" w14:textId="082BDCCC" w:rsidR="005911B7" w:rsidRDefault="005911B7" w:rsidP="007B1E7D">
      <w:pPr>
        <w:tabs>
          <w:tab w:val="right" w:leader="dot" w:pos="9066"/>
        </w:tabs>
      </w:pPr>
      <w:r>
        <w:t xml:space="preserve">Figure A.1 : Page de connexion</w:t>
        <w:tab/>
        <w:t>71</w:t>
      </w:r>
    </w:p>
    <w:p w14:paraId="64C30683" w14:textId="082BDCCC" w:rsidR="005911B7" w:rsidRDefault="005911B7" w:rsidP="007B1E7D">
      <w:pPr>
        <w:tabs>
          <w:tab w:val="right" w:leader="dot" w:pos="9066"/>
        </w:tabs>
      </w:pPr>
      <w:r>
        <w:t xml:space="preserve">Figure A.2 : Modification d’un dossier candidat</w:t>
        <w:tab/>
        <w:t>72</w:t>
      </w:r>
    </w:p>
    <w:p w14:paraId="64C30683" w14:textId="082BDCCC" w:rsidR="005911B7" w:rsidRDefault="005911B7" w:rsidP="007B1E7D">
      <w:pPr>
        <w:tabs>
          <w:tab w:val="right" w:leader="dot" w:pos="9066"/>
        </w:tabs>
      </w:pPr>
      <w:r>
        <w:t xml:space="preserve">Figure A.3 : Gestion des entretiens</w:t>
        <w:tab/>
        <w:t>73</w:t>
      </w:r>
    </w:p>
    <w:p w14:paraId="64C30683" w14:textId="082BDCCC" w:rsidR="005911B7" w:rsidRDefault="005911B7" w:rsidP="007B1E7D">
      <w:pPr>
        <w:tabs>
          <w:tab w:val="right" w:leader="dot" w:pos="9066"/>
        </w:tabs>
      </w:pPr>
      <w:r>
        <w:t xml:space="preserve">Figure A.4 : Gestion des feedbacks</w:t>
        <w:tab/>
        <w:t>73</w:t>
      </w:r>
    </w:p>
    <w:p w14:paraId="64C30683" w14:textId="082BDCCC" w:rsidR="005911B7" w:rsidRDefault="005911B7" w:rsidP="007B1E7D">
      <w:pPr>
        <w:tabs>
          <w:tab w:val="right" w:leader="dot" w:pos="9066"/>
        </w:tabs>
      </w:pPr>
      <w:r>
        <w:t xml:space="preserve">Figure A.5 : Journal d’audit</w:t>
        <w:tab/>
        <w:t>74</w:t>
      </w:r>
    </w:p>
    <w:p w14:paraId="64C30683" w14:textId="082BDCCC" w:rsidR="005911B7" w:rsidRDefault="005911B7" w:rsidP="007B1E7D">
      <w:pPr>
        <w:tabs>
          <w:tab w:val="right" w:leader="dot" w:pos="9066"/>
        </w:tabs>
      </w:pPr>
      <w:r>
        <w:t xml:space="preserve">Figure A.6 : Soumission d’une candidature avec dépôt de CV</w:t>
        <w:tab/>
        <w:t>74</w:t>
      </w:r>
    </w:p>
    <w:p w14:paraId="64C30683" w14:textId="082BDCCC" w:rsidR="005911B7" w:rsidRDefault="005911B7" w:rsidP="007B1E7D">
      <w:pPr>
        <w:tabs>
          <w:tab w:val="right" w:leader="dot" w:pos="9066"/>
        </w:tabs>
      </w:pPr>
      <w:r>
        <w:t xml:space="preserve">Figure A.7 : Espace Manager — candidatures relevant du périmètre du manager</w:t>
        <w:tab/>
        <w:t>75</w:t>
      </w:r>
    </w:p>
    <w:p w14:paraId="64C30683" w14:textId="082BDCCC" w:rsidR="005911B7" w:rsidRDefault="005911B7" w:rsidP="007B1E7D">
      <w:pPr>
        <w:tabs>
          <w:tab w:val="right" w:leader="dot" w:pos="9066"/>
        </w:tabs>
      </w:pPr>
      <w:r>
        <w:t xml:space="preserve">Figure A.8 : Console n8n — les trois flux d’automatisation publiés et leurs statistiques</w:t>
        <w:tab/>
        <w:t>76</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76</w:t>
      </w:r>
    </w:p>
    <w:p w14:paraId="64C30683" w14:textId="082BDCCC" w:rsidR="005911B7" w:rsidRDefault="005911B7" w:rsidP="007B1E7D">
      <w:pPr>
        <w:tabs>
          <w:tab w:val="right" w:leader="dot" w:pos="9066"/>
        </w:tabs>
      </w:pPr>
      <w:r>
        <w:t xml:space="preserve">Figure A.10 : E-mail automatique de confirmation de candidature reçu par le candidat</w:t>
        <w:tab/>
        <w:t>77</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58</w:t>
      </w:r>
    </w:p>
    <w:p w14:paraId="458518D7" w14:textId="5506CA71" w:rsidR="005911B7" w:rsidRDefault="001A53BF" w:rsidP="007B1E7D">
      <w:pPr>
        <w:tabs>
          <w:tab w:val="right" w:leader="dot" w:pos="9066"/>
        </w:tabs>
      </w:pPr>
      <w:r>
        <w:t>Tableau 4.2 : Matrice de confusion du Gold Set selon le seuil de décision</w:t>
        <w:tab/>
        <w:t>60</w:t>
      </w:r>
    </w:p>
    <w:p w14:paraId="458518D7" w14:textId="5506CA71" w:rsidR="005911B7" w:rsidRDefault="001A53BF" w:rsidP="007B1E7D">
      <w:pPr>
        <w:tabs>
          <w:tab w:val="right" w:leader="dot" w:pos="9066"/>
        </w:tabs>
      </w:pPr>
      <w:r>
        <w:t>Tableau 4.3 : Bilan des fonctionnalités réalisées</w:t>
        <w:tab/>
        <w:t>67</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41.5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427.8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557.5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27.3pt;height:450.0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r>
        <w:t xml:space="preserve"> Sa capture est reprise en annexe A (figure A.2).</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r>
        <w:t xml:space="preserve"> Sa capture est reprise en annexe A (figure A.3).</w:t>
      </w:r>
    </w:p>
    <w:p w14:paraId="70B615C4" w14:textId="77777777" w:rsidR="005911B7" w:rsidRDefault="008D5C06" w:rsidP="007B1E7D">
      <w:r>
        <w:t>Les feedbacks saisis par les managers sont centralisés ici, avec une étape de validation par le RH avant transmission au candidat.</w:t>
      </w:r>
      <w:r>
        <w:t xml:space="preserve"> Sa capture est reprise en annexe A (figure A.4).</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r>
        <w:t xml:space="preserve"> Sa capture est reprise en annexe A (figure A.5).</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sur la seule identité de l’intervieweur connecté, reprise du jeton d’authentification, et le même contrôle d’accès au dossier candidat s’applique que pour la liste des dossiers, de sorte qu’un manager ne peut voir que les entretiens où il est nommément désigné.</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Sa capture est reprise en annexe A (figure A.6).</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Au-delà du score global visible en liste (Figure 4.3),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Sa capture est reprise en annexe A (figure A.7).</w:t>
      </w:r>
    </w:p>
    <w:p w14:paraId="2952C15B" w14:textId="77777777" w:rsidR="00730833" w:rsidRDefault="00AF2881">
      <w:r>
        <w:t xml:space="preserve">Le manager dispose en outre d’une page « Mon calendrier » qui centralise les entretiens dont il est l’intervieweur : prochaine session, lien de visioconférence, répartition par statut et vue mensuelle, avec un rappel automatique planifié deux heures avant chaque entretien. Chaque événement de la grille ouvre une fenêtre de détail (candidat, poste, format, date et heure, durée, lieu, notes, lien de connexion) ; le lien Google Meet y est présenté à part, derrière un bouton explicite « Rejoindre l’entretien », et non sur la carte elle-même, pour qu’une simple consultation du planning ne déclenche pas d’appel visio vers le candidat. Lorsque le lien n’a pas encore été produit par l’agent de planification, la fenêtre l’indique au lieu d’afficher un bouton sans effet.</w:t>
      </w:r>
    </w:p>
    <w:p w14:paraId="234F2466" w14:textId="3397CEB3" w:rsidR="00730833" w:rsidRDefault="00CA1A9F">
      <w:pPr>
        <w:keepNext/>
        <w:jc w:val="center"/>
      </w:pPr>
      <w:r>
        <w:rPr>
          <w:noProof/>
        </w:rPr>
        <w:pict w14:anchorId="1ABB31E4">
          <v:shape id="Picture 17" o:spid="_x0000_i1060" type="#_x0000_t75" style="visibility:visible;mso-wrap-style:square;width:425.0pt;height:295.4pt">
            <v:imagedata r:id="rId902" o:title=""/>
          </v:shape>
        </w:pict>
      </w:r>
    </w:p>
    <w:p w14:paraId="213F627D" w14:textId="77777777" w:rsidR="00730833" w:rsidRDefault="00AF2881">
      <w:pPr>
        <w:jc w:val="center"/>
        <w:rPr>
          <w:i/>
          <w:sz w:val="21"/>
        </w:rPr>
      </w:pPr>
      <w:r>
        <w:rPr>
          <w:i/>
          <w:sz w:val="21"/>
        </w:rPr>
        <w:t xml:space="preserve">Figure 4.10 : Espace Manager — page « Mon calendrier », entretiens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411" o:spid="_x0000_i1911" type="#_x0000_t75" style="visibility:visible;mso-wrap-style:square;width:264.0pt;height:289.0pt">
            <v:imagedata r:id="rId960" o:title=""/>
          </v:shape>
        </w:pict>
      </w:r>
    </w:p>
    <w:p w14:paraId="213F627D" w14:textId="77777777" w:rsidR="00730833" w:rsidRDefault="00AF2881">
      <w:pPr>
        <w:jc w:val="center"/>
        <w:rPr>
          <w:i/>
          <w:sz w:val="21"/>
        </w:rPr>
      </w:pPr>
      <w:r>
        <w:rPr>
          <w:i/>
          <w:sz w:val="21"/>
        </w:rPr>
        <w:t xml:space="preserve">Figure 4.11 : Contre-signature RH d’un avis favorable « Valider l’embauche »</w:t>
      </w:r>
    </w:p>
    <w:p w14:paraId="2952C15B" w14:textId="77777777" w:rsidR="00730833" w:rsidRDefault="00AF2881">
      <w:r>
        <w:t xml:space="preserve">La date de présentation est obligatoire ; elle alimente l’e-mail de convocation.</w:t>
      </w:r>
    </w:p>
    <w:p w14:paraId="234F2466" w14:textId="3397CEB3" w:rsidR="00730833" w:rsidRDefault="00CA1A9F">
      <w:pPr>
        <w:keepNext/>
        <w:jc w:val="center"/>
      </w:pPr>
      <w:r>
        <w:rPr>
          <w:noProof/>
        </w:rPr>
        <w:pict w14:anchorId="1ABB31E4">
          <v:shape id="Picture 412" o:spid="_x0000_i1912" type="#_x0000_t75" style="visibility:visible;mso-wrap-style:square;width:264.0pt;height:279.4pt">
            <v:imagedata r:id="rId961" o:title=""/>
          </v:shape>
        </w:pict>
      </w:r>
    </w:p>
    <w:p w14:paraId="213F627D" w14:textId="77777777" w:rsidR="00730833" w:rsidRDefault="00AF2881">
      <w:pPr>
        <w:jc w:val="center"/>
        <w:rPr>
          <w:i/>
          <w:sz w:val="21"/>
        </w:rPr>
      </w:pPr>
      <w:r>
        <w:rPr>
          <w:i/>
          <w:sz w:val="21"/>
        </w:rPr>
        <w:t xml:space="preserve">Figure 4.12 : Contre-signature RH d’un refus proposé — modale « Confirmer le refus »</w:t>
      </w:r>
    </w:p>
    <w:p w14:paraId="2952C15B" w14:textId="77777777" w:rsidR="00730833" w:rsidRDefault="00AF2881">
      <w:r>
        <w:t xml:space="preserve">Le motif est obligatoire ; il alimente l’e-mail de refus final.</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16 classes de test pour un total de 166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vingt-deux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et/ou aux parties prenantes internes. Le fractionnement de la décision en deux niveaux, et les erreurs renvoyées quand un manager tente de trancher seul, sont en outre figés par des tests unitaires côté back-end (classe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l’objet d’erreur qu’il produit se propageait tel quel aux nœuds suivants : le rappel vers le back-end partait alors avec un lien vide, ce que l’API refusait, et l’événement mis en file d’attente épuisait ses cinq tentatives avant de passer en échec définitif. Une simple coupure de connexion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e-mails, puis reprise du même lien dans la fenêtre de détail du calendrier du manager. Ce résultat reste conditionné à l’état de la connexion Google : du côté du fournisseur, un projet maintenu en mode « test » voit son jeton d’actualisation expirer au bout de sept jours, ce qui impose de reconnecter le compte avant toute démonstration ; publier le client OAuth et surveiller l’état de l’habilitation relèvent de la mise en production.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six tentatives au total, ce qui évite de perdre un événement sans pour autant bloquer la requête initiale. Cette file utilise la clé de l’événement comme clé de déduplication : elle intègre donc l’adresse du manager destinataire, pour que deux managers d’un même dossier produisent deux envois distincts. Une relance manuelle du RH (bouton « Relancer la notification » de la vue détaillée) émet quant à elle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(lecture seule, cloisonné par périmètre)</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seize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166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Journal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