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57</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57</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58</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59</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60</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60</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61</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62</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62</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62</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63</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63</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63</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63</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64</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64</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64</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64</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65</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66</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67</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68</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69</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71</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79</w:t>
      </w:r>
    </w:p>
    <w:p w14:paraId="02CC94FF" w14:textId="73A2BE14" w:rsidR="000422CF" w:rsidRDefault="000422CF">
      <w:pPr>
        <w:pStyle w:val="TM1"/>
        <w:tabs>
          <w:tab w:val="right" w:leader="dot" w:pos="9066"/>
        </w:tabs>
        <w:rPr>
          <w:rFonts w:ascii="Aptos" w:eastAsia="Times New Roman" w:hAnsi="Aptos"/>
          <w:noProof/>
          <w:lang w:eastAsia="fr-FR"/>
        </w:rPr>
      </w:pPr>
      <w:r>
        <w:t>Glossaire</w:t>
        <w:tab/>
        <w:t>81</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d’entretiens », prochaines sessions et rappels</w:t>
        <w:tab/>
        <w:t>55</w:t>
      </w:r>
    </w:p>
    <w:p w14:paraId="64C30683" w14:textId="082BDCCC" w:rsidR="005911B7" w:rsidRDefault="005911B7" w:rsidP="007B1E7D">
      <w:pPr>
        <w:tabs>
          <w:tab w:val="right" w:leader="dot" w:pos="9066"/>
        </w:tabs>
      </w:pPr>
      <w:r>
        <w:t xml:space="preserve">Figure 4.11 : Contre-signature RH d’un avis favorable « Valider l’embauche »</w:t>
        <w:tab/>
        <w:t>56</w:t>
      </w:r>
    </w:p>
    <w:p w14:paraId="64C30683" w14:textId="082BDCCC" w:rsidR="005911B7" w:rsidRDefault="005911B7" w:rsidP="007B1E7D">
      <w:pPr>
        <w:tabs>
          <w:tab w:val="right" w:leader="dot" w:pos="9066"/>
        </w:tabs>
      </w:pPr>
      <w:r>
        <w:t xml:space="preserve">Figure 4.12 : Contre-signature RH d’un refus proposé — modale « Confirmer le refus »</w:t>
        <w:tab/>
        <w:t>56</w:t>
      </w:r>
    </w:p>
    <w:p w14:paraId="64C30683" w14:textId="082BDCCC" w:rsidR="005911B7" w:rsidRDefault="005911B7" w:rsidP="007B1E7D">
      <w:pPr>
        <w:tabs>
          <w:tab w:val="right" w:leader="dot" w:pos="9066"/>
        </w:tabs>
      </w:pPr>
      <w:r>
        <w:t xml:space="preserve">Figure A.1 : Page de connexion</w:t>
        <w:tab/>
        <w:t>71</w:t>
      </w:r>
    </w:p>
    <w:p w14:paraId="64C30683" w14:textId="082BDCCC" w:rsidR="005911B7" w:rsidRDefault="005911B7" w:rsidP="007B1E7D">
      <w:pPr>
        <w:tabs>
          <w:tab w:val="right" w:leader="dot" w:pos="9066"/>
        </w:tabs>
      </w:pPr>
      <w:r>
        <w:t xml:space="preserve">Figure A.2 : Modification d’un dossier candidat</w:t>
        <w:tab/>
        <w:t>72</w:t>
      </w:r>
    </w:p>
    <w:p w14:paraId="64C30683" w14:textId="082BDCCC" w:rsidR="005911B7" w:rsidRDefault="005911B7" w:rsidP="007B1E7D">
      <w:pPr>
        <w:tabs>
          <w:tab w:val="right" w:leader="dot" w:pos="9066"/>
        </w:tabs>
      </w:pPr>
      <w:r>
        <w:t xml:space="preserve">Figure A.3 : Gestion des entretiens</w:t>
        <w:tab/>
        <w:t>73</w:t>
      </w:r>
    </w:p>
    <w:p w14:paraId="64C30683" w14:textId="082BDCCC" w:rsidR="005911B7" w:rsidRDefault="005911B7" w:rsidP="007B1E7D">
      <w:pPr>
        <w:tabs>
          <w:tab w:val="right" w:leader="dot" w:pos="9066"/>
        </w:tabs>
      </w:pPr>
      <w:r>
        <w:t xml:space="preserve">Figure A.4 : Gestion des feedbacks</w:t>
        <w:tab/>
        <w:t>73</w:t>
      </w:r>
    </w:p>
    <w:p w14:paraId="64C30683" w14:textId="082BDCCC" w:rsidR="005911B7" w:rsidRDefault="005911B7" w:rsidP="007B1E7D">
      <w:pPr>
        <w:tabs>
          <w:tab w:val="right" w:leader="dot" w:pos="9066"/>
        </w:tabs>
      </w:pPr>
      <w:r>
        <w:t xml:space="preserve">Figure A.5 : Historique d’audit</w:t>
        <w:tab/>
        <w:t>74</w:t>
      </w:r>
    </w:p>
    <w:p w14:paraId="64C30683" w14:textId="082BDCCC" w:rsidR="005911B7" w:rsidRDefault="005911B7" w:rsidP="007B1E7D">
      <w:pPr>
        <w:tabs>
          <w:tab w:val="right" w:leader="dot" w:pos="9066"/>
        </w:tabs>
      </w:pPr>
      <w:r>
        <w:t xml:space="preserve">Figure A.6 : Soumission d’une candidature avec dépôt de CV</w:t>
        <w:tab/>
        <w:t>75</w:t>
      </w:r>
    </w:p>
    <w:p w14:paraId="64C30683" w14:textId="082BDCCC" w:rsidR="005911B7" w:rsidRDefault="005911B7" w:rsidP="007B1E7D">
      <w:pPr>
        <w:tabs>
          <w:tab w:val="right" w:leader="dot" w:pos="9066"/>
        </w:tabs>
      </w:pPr>
      <w:r>
        <w:t xml:space="preserve">Figure A.7 : Espace Manager — candidatures relevant du périmètre du manager</w:t>
        <w:tab/>
        <w:t>76</w:t>
      </w:r>
    </w:p>
    <w:p w14:paraId="64C30683" w14:textId="082BDCCC" w:rsidR="005911B7" w:rsidRDefault="005911B7" w:rsidP="007B1E7D">
      <w:pPr>
        <w:tabs>
          <w:tab w:val="right" w:leader="dot" w:pos="9066"/>
        </w:tabs>
      </w:pPr>
      <w:r>
        <w:t xml:space="preserve">Figure A.8 : Console n8n — les trois flux d’automatisation publiés et leurs statistiques</w:t>
        <w:tab/>
        <w:t>77</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77</w:t>
      </w:r>
    </w:p>
    <w:p w14:paraId="64C30683" w14:textId="082BDCCC" w:rsidR="005911B7" w:rsidRDefault="005911B7" w:rsidP="007B1E7D">
      <w:pPr>
        <w:tabs>
          <w:tab w:val="right" w:leader="dot" w:pos="9066"/>
        </w:tabs>
      </w:pPr>
      <w:r>
        <w:t xml:space="preserve">Figure A.10 : E-mail automatique de confirmation de candidature reçu par le candidat</w:t>
        <w:tab/>
        <w:t>78</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58</w:t>
      </w:r>
    </w:p>
    <w:p w14:paraId="458518D7" w14:textId="5506CA71" w:rsidR="005911B7" w:rsidRDefault="001A53BF" w:rsidP="007B1E7D">
      <w:pPr>
        <w:tabs>
          <w:tab w:val="right" w:leader="dot" w:pos="9066"/>
        </w:tabs>
      </w:pPr>
      <w:r>
        <w:t>Tableau 4.2 : Matrice de confusion du Gold Set selon le seuil de décision</w:t>
        <w:tab/>
        <w:t>60</w:t>
      </w:r>
    </w:p>
    <w:p w14:paraId="458518D7" w14:textId="5506CA71" w:rsidR="005911B7" w:rsidRDefault="001A53BF" w:rsidP="007B1E7D">
      <w:pPr>
        <w:tabs>
          <w:tab w:val="right" w:leader="dot" w:pos="9066"/>
        </w:tabs>
      </w:pPr>
      <w:r>
        <w:t>Tableau 4.3 : Bilan des fonctionnalités réalisées</w:t>
        <w:tab/>
        <w:t>67</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397.4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370.8pt;height:520.0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une sélection des interfaces principales (figures 4.1 à 4.12),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sa date de publication, un extrait de la description et un bouton « Voir les détails ».</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Comme le montre la figure 4.2,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La figure 4.3 reproduit la liste des dossiers de l’espace RH : pour chacun d’eux apparaissent le contact, l’offre visée, le statut courant du processus, le score calculé par l’agent IA — coloré selon son niveau — et les actions rapides (téléchargement du CV, modification, consultation, envoi d’e-mail, suppression). Le bandeau supérieur donne l’état du vivier en un coup d’œil (à valider, rejetés, retirés, embauchés).</w:t>
      </w:r>
    </w:p>
    <w:p w14:paraId="06E05E3E" w14:textId="77777777" w:rsidR="005911B7" w:rsidRDefault="008D5C06" w:rsidP="007B1E7D">
      <w:r>
        <w:t xml:space="preserve">Le formulaire de modification, reproduit en figure A.2 (annexe A), permet de corriger les informations d’un candidat (coordonnées, lettre de motivation, statut, offre associée) ; la fiche de consultation associée regroupe le CV, l’analyse IA détaillée (scores technique, communication, adéquation séniorité) et l’historique des actions des agents n8n sur ce dossier.</w:t>
      </w:r>
      <w:r>
        <w:t xml:space="preserve"/>
      </w:r>
    </w:p>
    <w:p w14:paraId="688C2C17" w14:textId="77777777" w:rsidR="005911B7" w:rsidRDefault="00CA1A9F" w:rsidP="007B1E7D">
      <w:pPr>
        <w:keepNext/>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de la figure 4.4,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L’écran de gestion des entretiens, reproduit en figure A.3 (annexe A),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70B615C4" w14:textId="77777777" w:rsidR="005911B7" w:rsidRDefault="008D5C06" w:rsidP="007B1E7D">
      <w:r>
        <w:t>La figure A.4 (annexe A) centralise les feedbacks saisis par les managers, notés de 1 à 5 étoiles et assortis d’un commentaire, avec une étape de validation par le RH avant transmission au candidat.</w:t>
      </w:r>
      <w:r>
        <w:t xml:space="preserve"/>
      </w:r>
    </w:p>
    <w:p w14:paraId="146E0641" w14:textId="77777777" w:rsidR="005911B7" w:rsidRDefault="00CA1A9F" w:rsidP="007B1E7D">
      <w:pPr>
        <w:keepNext/>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L’écran de la figure 4.5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 à l’administrateur, l’écran de la figure 4.6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6867BA22" w14:textId="77777777" w:rsidR="000F1AFA" w:rsidRDefault="008D5C06" w:rsidP="007B1E7D">
      <w:r>
        <w:t>L’historique d’audit reproduit en figure A.5 (annexe A)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la ligne ROUTING y rappelle le manager destinataire et l’origine de l’aiguillage, ce qui garantit la traçabilité de chaque décision prise sur un dossier.</w:t>
      </w:r>
      <w:r>
        <w:t xml:space="preserve"/>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sur la seule identité de l’intervieweur connecté, reprise du jeton d’authentification, et le même contrôle d’accès au dossier candidat s’applique que pour la liste des dossiers, de sorte qu’un manager ne peut voir que les entretiens où il est nommément désigné.</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63.5pt;height:490.0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le widget de la figure 4.7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La figure A.6 (annexe A) montre un candidat connecté postulant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Comme l’illustre la figure 4.8,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332.0pt;height:30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Le détail d’une candidature, reproduit en figure 4.9, expose, au-delà du score global visible en liste (figure 4.3),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 la figure A.7 (annexe A) en montre un exemple.</w:t>
      </w:r>
    </w:p>
    <w:p w14:paraId="2952C15B" w14:textId="77777777" w:rsidR="00730833" w:rsidRDefault="00AF2881">
      <w:r>
        <w:t xml:space="preserve">Le manager dispose en outre d’une page « Mon calendrier d’entretiens » qui centralise les entretiens dont il est l’intervieweur : ses prochaines sessions avec le lien de visioconférence, l’encart consacré aux rappels et la vue mensuelle ; un rappel automatique y est annoncé deux heures avant chaque entretien. Chaque événement de la grille ouvre une fenêtre de détail (candidat, poste, format, date et heure, durée, lieu, notes, lien de connexion) ; le lien Google Meet y est présenté à part, derrière un bouton explicite « Rejoindre l’entretien », et non sur la carte elle-même, pour qu’une simple consultation du planning ne déclenche pas d’appel visio vers le candidat. Lorsque le lien n’a pas encore été produit par l’agent de planification, la fenêtre l’indique au lieu d’afficher un bouton sans effet.</w:t>
      </w:r>
    </w:p>
    <w:p w14:paraId="234F2466" w14:textId="3397CEB3" w:rsidR="00730833" w:rsidRDefault="00CA1A9F">
      <w:pPr>
        <w:keepNext/>
        <w:jc w:val="center"/>
      </w:pPr>
      <w:r>
        <w:rPr>
          <w:noProof/>
        </w:rPr>
        <w:pict w14:anchorId="1ABB31E4">
          <v:shape id="Picture 17" o:spid="_x0000_i1060" type="#_x0000_t75" style="visibility:visible;mso-wrap-style:square;width:453.3pt;height:347.1pt">
            <v:imagedata r:id="rId902" o:title=""/>
          </v:shape>
        </w:pict>
      </w:r>
    </w:p>
    <w:p w14:paraId="213F627D" w14:textId="77777777" w:rsidR="00730833" w:rsidRDefault="00AF2881">
      <w:pPr>
        <w:jc w:val="center"/>
        <w:rPr>
          <w:i/>
          <w:sz w:val="21"/>
        </w:rPr>
      </w:pPr>
      <w:r>
        <w:rPr>
          <w:i/>
          <w:sz w:val="21"/>
        </w:rPr>
        <w:t xml:space="preserve">Figure 4.10 : Espace Manager — page « Mon calendrier d’entretiens », prochaines sessions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 Cet email a été envoyé automatiquement par la plateforme JOB4YOU ».</w:t>
      </w:r>
    </w:p>
    <w:p w14:paraId="234F2466" w14:textId="3397CEB3" w:rsidR="00730833" w:rsidRDefault="00CA1A9F">
      <w:pPr>
        <w:keepNext/>
        <w:jc w:val="center"/>
      </w:pPr>
      <w:r>
        <w:rPr>
          <w:noProof/>
        </w:rPr>
        <w:pict w14:anchorId="1ABB31E4">
          <v:shape id="Picture 411" o:spid="_x0000_i1911" type="#_x0000_t75" style="visibility:visible;mso-wrap-style:square;width:264.0pt;height:289.0pt">
            <v:imagedata r:id="rId960" o:title=""/>
          </v:shape>
        </w:pict>
      </w:r>
    </w:p>
    <w:p w14:paraId="213F627D" w14:textId="77777777" w:rsidR="00730833" w:rsidRDefault="00AF2881">
      <w:pPr>
        <w:jc w:val="center"/>
        <w:rPr>
          <w:i/>
          <w:sz w:val="21"/>
        </w:rPr>
      </w:pPr>
      <w:r>
        <w:rPr>
          <w:i/>
          <w:sz w:val="21"/>
        </w:rPr>
        <w:t xml:space="preserve">Figure 4.11 : Contre-signature RH d’un avis favorable « Valider l’embauche »</w:t>
      </w:r>
    </w:p>
    <w:p w14:paraId="2952C15B" w14:textId="77777777" w:rsidR="00730833" w:rsidRDefault="00AF2881">
      <w:r>
        <w:t xml:space="preserve">La modale de la figure 4.11 : le RH contre-signe l’avis favorable du manager avant l’embauche ; la date de présentation y est obligatoire, car elle alimente l’e-mail de convocation.</w:t>
      </w:r>
    </w:p>
    <w:p w14:paraId="234F2466" w14:textId="3397CEB3" w:rsidR="00730833" w:rsidRDefault="00CA1A9F">
      <w:pPr>
        <w:keepNext/>
        <w:jc w:val="center"/>
      </w:pPr>
      <w:r>
        <w:rPr>
          <w:noProof/>
        </w:rPr>
        <w:pict w14:anchorId="1ABB31E4">
          <v:shape id="Picture 412" o:spid="_x0000_i1912" type="#_x0000_t75" style="visibility:visible;mso-wrap-style:square;width:264.0pt;height:279.4pt">
            <v:imagedata r:id="rId961" o:title=""/>
          </v:shape>
        </w:pict>
      </w:r>
    </w:p>
    <w:p w14:paraId="213F627D" w14:textId="77777777" w:rsidR="00730833" w:rsidRDefault="00AF2881">
      <w:pPr>
        <w:jc w:val="center"/>
        <w:rPr>
          <w:i/>
          <w:sz w:val="21"/>
        </w:rPr>
      </w:pPr>
      <w:r>
        <w:rPr>
          <w:i/>
          <w:sz w:val="21"/>
        </w:rPr>
        <w:t xml:space="preserve">Figure 4.12 : Contre-signature RH d’un refus proposé — modale « Confirmer le refus »</w:t>
      </w:r>
    </w:p>
    <w:p w14:paraId="2952C15B" w14:textId="77777777" w:rsidR="00730833" w:rsidRDefault="00AF2881">
      <w:r>
        <w:t xml:space="preserve">La modale « Confirmer le refus » de la figure 4.12 : le RH contre-signe le refus proposé par le manager ; le motif y est obligatoire, car il alimente l’e-mail de refus final.</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16 classes de test pour un total de 167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vingt-deux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seize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167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Historique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