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rsidR="000422CF" w:rsidRDefault="000422CF">
      <w:pPr>
        <w:pStyle w:val="TM3"/>
        <w:tabs>
          <w:tab w:val="right" w:leader="dot" w:pos="9066"/>
        </w:tabs>
        <w:rPr>
          <w:rFonts w:ascii="Aptos" w:eastAsia="Times New Roman" w:hAnsi="Aptos"/>
          <w:noProof/>
          <w:lang w:eastAsia="fr-FR"/>
        </w:rPr>
      </w:pPr>
      <w:r>
        <w:t>4.3.1 Accès public et espace candidat</w:t>
        <w:tab/>
        <w:t>49</w:t>
      </w:r>
    </w:p>
    <w:p w:rsidR="000422CF" w:rsidRDefault="000422CF">
      <w:pPr>
        <w:pStyle w:val="TM3"/>
        <w:tabs>
          <w:tab w:val="right" w:leader="dot" w:pos="9066"/>
        </w:tabs>
        <w:rPr>
          <w:rFonts w:ascii="Aptos" w:eastAsia="Times New Roman" w:hAnsi="Aptos"/>
          <w:noProof/>
          <w:lang w:eastAsia="fr-FR"/>
        </w:rPr>
      </w:pPr>
      <w:r>
        <w:t>4.3.2 Espace RH — suivi du processus de recrutement</w:t>
        <w:tab/>
        <w:t>52</w:t>
      </w:r>
    </w:p>
    <w:p w:rsidR="000422CF" w:rsidRDefault="000422CF">
      <w:pPr>
        <w:pStyle w:val="TM3"/>
        <w:tabs>
          <w:tab w:val="right" w:leader="dot" w:pos="9066"/>
        </w:tabs>
        <w:rPr>
          <w:rFonts w:ascii="Aptos" w:eastAsia="Times New Roman" w:hAnsi="Aptos"/>
          <w:noProof/>
          <w:lang w:eastAsia="fr-FR"/>
        </w:rPr>
      </w:pPr>
      <w:r>
        <w:t>4.3.3 Espace manager</w:t>
        <w:tab/>
        <w:t>57</w:t>
      </w:r>
    </w:p>
    <w:p w:rsidR="000422CF" w:rsidRDefault="000422CF">
      <w:pPr>
        <w:pStyle w:val="TM3"/>
        <w:tabs>
          <w:tab w:val="right" w:leader="dot" w:pos="9066"/>
        </w:tabs>
        <w:rPr>
          <w:rFonts w:ascii="Aptos" w:eastAsia="Times New Roman" w:hAnsi="Aptos"/>
          <w:noProof/>
          <w:lang w:eastAsia="fr-FR"/>
        </w:rPr>
      </w:pPr>
      <w:r>
        <w:t>4.3.4 Administrateur — comptes, paramétrage et traçabilité</w:t>
        <w:tab/>
        <w:t>59</w:t>
      </w:r>
    </w:p>
    <w:p w:rsidR="000422CF" w:rsidRDefault="000422CF">
      <w:pPr>
        <w:pStyle w:val="TM3"/>
        <w:tabs>
          <w:tab w:val="right" w:leader="dot" w:pos="9066"/>
        </w:tabs>
        <w:rPr>
          <w:rFonts w:ascii="Aptos" w:eastAsia="Times New Roman" w:hAnsi="Aptos"/>
          <w:noProof/>
          <w:lang w:eastAsia="fr-FR"/>
        </w:rPr>
      </w:pPr>
      <w:r>
        <w:t>4.3.5 Automatisation n8n et notification du candidat</w:t>
        <w:tab/>
        <w:t>60</w:t>
      </w:r>
    </w:p>
    <w:p w14:paraId="79B3FD09" w14:textId="77FE9BCD" w:rsidR="000422CF" w:rsidRDefault="000422CF">
      <w:pPr>
        <w:pStyle w:val="TM2"/>
        <w:tabs>
          <w:tab w:val="right" w:leader="dot" w:pos="9066"/>
        </w:tabs>
        <w:rPr>
          <w:rFonts w:ascii="Aptos" w:eastAsia="Times New Roman" w:hAnsi="Aptos"/>
          <w:noProof/>
          <w:lang w:eastAsia="fr-FR"/>
        </w:rPr>
      </w:pPr>
      <w:r>
        <w:t>4.4 Tests</w:t>
        <w:tab/>
        <w:t>62</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62</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63</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64</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65</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65</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66</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67</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67</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67</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68</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68</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68</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68</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69</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69</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69</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69</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70</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71</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72</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73</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74</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76</w:t>
      </w:r>
    </w:p>
    <w:p w14:paraId="02CC94FF" w14:textId="73A2BE14" w:rsidR="000422CF" w:rsidRDefault="000422CF">
      <w:pPr>
        <w:pStyle w:val="TM1"/>
        <w:tabs>
          <w:tab w:val="right" w:leader="dot" w:pos="9066"/>
        </w:tabs>
        <w:rPr>
          <w:rFonts w:ascii="Aptos" w:eastAsia="Times New Roman" w:hAnsi="Aptos"/>
          <w:noProof/>
          <w:lang w:eastAsia="fr-FR"/>
        </w:rPr>
      </w:pPr>
      <w:r>
        <w:t>Glossaire</w:t>
        <w:tab/>
        <w:t>78</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49</w:t>
      </w:r>
    </w:p>
    <w:p w14:paraId="0AFF955C" w14:textId="72F5DA5C" w:rsidR="005911B7" w:rsidRDefault="005911B7" w:rsidP="007B1E7D">
      <w:pPr>
        <w:tabs>
          <w:tab w:val="right" w:leader="dot" w:pos="9066"/>
        </w:tabs>
      </w:pPr>
      <w:r>
        <w:t xml:space="preserve">Figure 4.2 : Page de connexion</w:t>
        <w:tab/>
        <w:t>50</w:t>
      </w:r>
    </w:p>
    <w:p w14:paraId="0A11B2F5" w14:textId="59AA0FB2" w:rsidR="005911B7" w:rsidRDefault="005911B7" w:rsidP="007B1E7D">
      <w:pPr>
        <w:tabs>
          <w:tab w:val="right" w:leader="dot" w:pos="9066"/>
        </w:tabs>
      </w:pPr>
      <w:r>
        <w:t xml:space="preserve">Figure 4.3 : Soumission d’une candidature avec dépôt de CV</w:t>
        <w:tab/>
        <w:t>50</w:t>
      </w:r>
    </w:p>
    <w:p w14:paraId="17208FBD" w14:textId="3121B3AD" w:rsidR="005911B7" w:rsidRDefault="005911B7" w:rsidP="007B1E7D">
      <w:pPr>
        <w:tabs>
          <w:tab w:val="right" w:leader="dot" w:pos="9066"/>
        </w:tabs>
      </w:pPr>
      <w:r>
        <w:t xml:space="preserve">Figure 4.4 : Fonctionnalité « Job idéal » — suggestions d’offres selon le CV</w:t>
        <w:tab/>
        <w:t>51</w:t>
      </w:r>
    </w:p>
    <w:p w14:paraId="50337BA5" w14:textId="5EADD626" w:rsidR="005911B7" w:rsidRDefault="005911B7" w:rsidP="007B1E7D">
      <w:pPr>
        <w:tabs>
          <w:tab w:val="right" w:leader="dot" w:pos="9066"/>
        </w:tabs>
      </w:pPr>
      <w:r>
        <w:t xml:space="preserve">Figure 4.5 : Assistant conversationnel candidat (chatbot)</w:t>
        <w:tab/>
        <w:t>51</w:t>
      </w:r>
    </w:p>
    <w:p w14:paraId="621B3F2F" w14:textId="0A2FC2E9" w:rsidR="005911B7" w:rsidRDefault="005911B7" w:rsidP="007B1E7D">
      <w:pPr>
        <w:tabs>
          <w:tab w:val="right" w:leader="dot" w:pos="9066"/>
        </w:tabs>
      </w:pPr>
      <w:r>
        <w:t xml:space="preserve">Figure 4.6 : Gestion des offres d’emploi (espace RH)</w:t>
        <w:tab/>
        <w:t>52</w:t>
      </w:r>
    </w:p>
    <w:p w14:paraId="0B8DC928" w14:textId="006C02D8" w:rsidR="005911B7" w:rsidRDefault="005911B7" w:rsidP="007B1E7D">
      <w:pPr>
        <w:tabs>
          <w:tab w:val="right" w:leader="dot" w:pos="9066"/>
        </w:tabs>
      </w:pPr>
      <w:r>
        <w:t xml:space="preserve">Figure 4.7 : Gestion des candidats — vue liste avec score IA</w:t>
        <w:tab/>
        <w:t>53</w:t>
      </w:r>
    </w:p>
    <w:p w14:paraId="6F4BEA44" w14:textId="2416B8DA" w:rsidR="005911B7" w:rsidRDefault="005911B7" w:rsidP="007B1E7D">
      <w:pPr>
        <w:tabs>
          <w:tab w:val="right" w:leader="dot" w:pos="9066"/>
        </w:tabs>
      </w:pPr>
      <w:r>
        <w:t xml:space="preserve">Figure 4.8 : Analyse détaillée d’une candidature par intelligence artificielle</w:t>
        <w:tab/>
        <w:t>53</w:t>
      </w:r>
    </w:p>
    <w:p w14:paraId="4E671CA7" w14:textId="1C0781DB" w:rsidR="005911B7" w:rsidRDefault="005911B7" w:rsidP="007B1E7D">
      <w:pPr>
        <w:tabs>
          <w:tab w:val="right" w:leader="dot" w:pos="9066"/>
        </w:tabs>
      </w:pPr>
      <w:r>
        <w:t xml:space="preserve">Figure 4.9 : Modification d’un dossier candidat</w:t>
        <w:tab/>
        <w:t>54</w:t>
      </w:r>
    </w:p>
    <w:p w14:paraId="64C30683" w14:textId="082BDCCC" w:rsidR="005911B7" w:rsidRDefault="005911B7" w:rsidP="007B1E7D">
      <w:pPr>
        <w:tabs>
          <w:tab w:val="right" w:leader="dot" w:pos="9066"/>
        </w:tabs>
      </w:pPr>
      <w:r>
        <w:t xml:space="preserve">Figure 4.10 : Tableau Kanban du pipeline de recrutement</w:t>
        <w:tab/>
        <w:t>54</w:t>
      </w:r>
    </w:p>
    <w:p w14:paraId="64C30683" w14:textId="082BDCCC" w:rsidR="005911B7" w:rsidRDefault="005911B7" w:rsidP="007B1E7D">
      <w:pPr>
        <w:tabs>
          <w:tab w:val="right" w:leader="dot" w:pos="9066"/>
        </w:tabs>
      </w:pPr>
      <w:r>
        <w:t xml:space="preserve">Figure 4.11 : Gestion des entretiens (espace RH)</w:t>
        <w:tab/>
        <w:t>55</w:t>
      </w:r>
    </w:p>
    <w:p w14:paraId="64C30683" w14:textId="082BDCCC" w:rsidR="005911B7" w:rsidRDefault="005911B7" w:rsidP="007B1E7D">
      <w:pPr>
        <w:tabs>
          <w:tab w:val="right" w:leader="dot" w:pos="9066"/>
        </w:tabs>
      </w:pPr>
      <w:r>
        <w:t xml:space="preserve">Figure 4.12 : Gestion des feedbacks (espace RH)</w:t>
        <w:tab/>
        <w:t>56</w:t>
      </w:r>
    </w:p>
    <w:p w14:paraId="64C30683" w14:textId="082BDCCC" w:rsidR="005911B7" w:rsidRDefault="005911B7" w:rsidP="007B1E7D">
      <w:pPr>
        <w:tabs>
          <w:tab w:val="right" w:leader="dot" w:pos="9066"/>
        </w:tabs>
      </w:pPr>
      <w:r>
        <w:t xml:space="preserve">Figure 4.13 : Contre-signature RH d’un avis favorable « Valider l’embauche »</w:t>
        <w:tab/>
        <w:t>56</w:t>
      </w:r>
    </w:p>
    <w:p w14:paraId="64C30683" w14:textId="082BDCCC" w:rsidR="005911B7" w:rsidRDefault="005911B7" w:rsidP="007B1E7D">
      <w:pPr>
        <w:tabs>
          <w:tab w:val="right" w:leader="dot" w:pos="9066"/>
        </w:tabs>
      </w:pPr>
      <w:r>
        <w:t xml:space="preserve">Figure 4.14 : Contre-signature RH d’un refus proposé — modale « Confirmer le refus »</w:t>
        <w:tab/>
        <w:t>57</w:t>
      </w:r>
    </w:p>
    <w:p w14:paraId="64C30683" w14:textId="082BDCCC" w:rsidR="005911B7" w:rsidRDefault="005911B7" w:rsidP="007B1E7D">
      <w:pPr>
        <w:tabs>
          <w:tab w:val="right" w:leader="dot" w:pos="9066"/>
        </w:tabs>
      </w:pPr>
      <w:r>
        <w:t xml:space="preserve">Figure 4.15 : Espace Manager — candidatures relevant du périmètre du manager</w:t>
        <w:tab/>
        <w:t>57</w:t>
      </w:r>
    </w:p>
    <w:p w14:paraId="64C30683" w14:textId="082BDCCC" w:rsidR="005911B7" w:rsidRDefault="005911B7" w:rsidP="007B1E7D">
      <w:pPr>
        <w:tabs>
          <w:tab w:val="right" w:leader="dot" w:pos="9066"/>
        </w:tabs>
      </w:pPr>
      <w:r>
        <w:t xml:space="preserve">Figure 4.16 : Espace Manager — page « Mon calendrier d’entretiens », prochains entretiens, rappels et entretiens passés</w:t>
        <w:tab/>
        <w:t>58</w:t>
      </w:r>
    </w:p>
    <w:p w14:paraId="64C30683" w14:textId="082BDCCC" w:rsidR="005911B7" w:rsidRDefault="005911B7" w:rsidP="007B1E7D">
      <w:pPr>
        <w:tabs>
          <w:tab w:val="right" w:leader="dot" w:pos="9066"/>
        </w:tabs>
      </w:pPr>
      <w:r>
        <w:t xml:space="preserve">Figure 4.17 : Gestion des utilisateurs et des rôles (espace Administrateur)</w:t>
        <w:tab/>
        <w:t>59</w:t>
      </w:r>
    </w:p>
    <w:p w14:paraId="64C30683" w14:textId="082BDCCC" w:rsidR="005911B7" w:rsidRDefault="005911B7" w:rsidP="007B1E7D">
      <w:pPr>
        <w:tabs>
          <w:tab w:val="right" w:leader="dot" w:pos="9066"/>
        </w:tabs>
      </w:pPr>
      <w:r>
        <w:t xml:space="preserve">Figure 4.18 : Paramétrage du scoring IA par famille de métier</w:t>
        <w:tab/>
        <w:t>59</w:t>
      </w:r>
    </w:p>
    <w:p w14:paraId="64C30683" w14:textId="082BDCCC" w:rsidR="005911B7" w:rsidRDefault="005911B7" w:rsidP="007B1E7D">
      <w:pPr>
        <w:tabs>
          <w:tab w:val="right" w:leader="dot" w:pos="9066"/>
        </w:tabs>
      </w:pPr>
      <w:r>
        <w:t xml:space="preserve">Figure 4.19 : Historique d’audit</w:t>
        <w:tab/>
        <w:t>60</w:t>
      </w:r>
    </w:p>
    <w:p w14:paraId="64C30683" w14:textId="082BDCCC" w:rsidR="005911B7" w:rsidRDefault="005911B7" w:rsidP="007B1E7D">
      <w:pPr>
        <w:tabs>
          <w:tab w:val="right" w:leader="dot" w:pos="9066"/>
        </w:tabs>
      </w:pPr>
      <w:r>
        <w:t xml:space="preserve">Figure 4.20 : Console n8n — les trois flux d’automatisation publiés et leurs statistiques</w:t>
        <w:tab/>
        <w:t>60</w:t>
      </w:r>
    </w:p>
    <w:p w14:paraId="64C30683" w14:textId="082BDCCC" w:rsidR="005911B7" w:rsidRDefault="005911B7" w:rsidP="007B1E7D">
      <w:pPr>
        <w:tabs>
          <w:tab w:val="right" w:leader="dot" w:pos="9066"/>
        </w:tabs>
      </w:pPr>
      <w:r>
        <w:t xml:space="preserve">Figure 4.21 : Flux n8n de l’Agent 1 — webhook de candidature, appel du scoring Cohere puis e-mail au candidat</w:t>
        <w:tab/>
        <w:t>61</w:t>
      </w:r>
    </w:p>
    <w:p w14:paraId="64C30683" w14:textId="082BDCCC" w:rsidR="005911B7" w:rsidRDefault="005911B7" w:rsidP="007B1E7D">
      <w:pPr>
        <w:tabs>
          <w:tab w:val="right" w:leader="dot" w:pos="9066"/>
        </w:tabs>
      </w:pPr>
      <w:r>
        <w:t xml:space="preserve">Figure 4.22 : E-mail automatique de confirmation de candidature reçu par le candidat</w:t>
        <w:tab/>
        <w:t>61</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63</w:t>
      </w:r>
    </w:p>
    <w:p w14:paraId="458518D7" w14:textId="5506CA71" w:rsidR="005911B7" w:rsidRDefault="001A53BF" w:rsidP="007B1E7D">
      <w:pPr>
        <w:tabs>
          <w:tab w:val="right" w:leader="dot" w:pos="9066"/>
        </w:tabs>
      </w:pPr>
      <w:r>
        <w:t>Tableau 4.2 : Matrice de confusion du Gold Set selon le seuil de décision</w:t>
        <w:tab/>
        <w:t>65</w:t>
      </w:r>
    </w:p>
    <w:p w14:paraId="458518D7" w14:textId="5506CA71" w:rsidR="005911B7" w:rsidRDefault="001A53BF" w:rsidP="007B1E7D">
      <w:pPr>
        <w:tabs>
          <w:tab w:val="right" w:leader="dot" w:pos="9066"/>
        </w:tabs>
      </w:pPr>
      <w:r>
        <w:t>Tableau 4.3 : Bilan des fonctionnalités réalisées</w:t>
        <w:tab/>
        <w:t>72</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 xml:space="preserve">La figure 3.2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width:400.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les managers destinataires d’un dossier, ManagerScopeService lit la liste ainsi gelée sur la candidature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387.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63.2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0.4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width:397.4pt;height:290.0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résolution de la destination et la notification (section 4.5.5). Au passage en évaluation technique, ManagerRoutingService résout les managers destinataires par priorité et retient le premier niveau non vide : manager désigné sur l’offre, puis département, puis famille de métier, puis ancien champ e-mail de l’offre. Rien n’est inventé : si aucun niveau n’aboutit, la transmission est bloquée (erreur 400) et journalisée en ROUTING_FAILED. La liste retenue est gelée sur la candidature, et c’est elle — non le département courant de l’offre — qui borne la visibilité du manager via ManagerScopeService : modifier le rattachement après coup ne dépossède pas le manager qui a reçu le dossier. Chaque destinataire produit en outre un événement de notification distinct, et la transmission est journalisée (ROUTING) avec le critère retenu.</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370.8pt;height:520.0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26.1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4.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les interfaces de la plateforme, regroupées par acteur : l’accès public et l’espace candidat (figures 4.1 à 4.5), l’espace RH et le suivi du processus de recrutement (figures 4.6 à 4.14), l’espace manager (figures 4.15 et 4.16), l’espace administrateur et la traçabilité (figures 4.17 à 4.19), enfin la chaîne d’automatisation n8n (figures 4.20 à 4.22). Toutes ces captures proviennent de l’application en fonctionnement.</w:t>
      </w:r>
    </w:p>
    <w:p w:rsidR="005911B7" w:rsidRDefault="005911B7" w:rsidP="007B1E7D">
      <w:pPr>
        <w:pStyle w:val="Titre3"/>
      </w:pPr>
      <w:r>
        <w:t>4.3.1 Accès public et espace candidat</w:t>
      </w:r>
    </w:p>
    <w:p w14:paraId="5FCBA3EC" w14:textId="77777777" w:rsidR="005911B7" w:rsidRDefault="00CA1A9F" w:rsidP="007B1E7D">
      <w:pPr>
        <w:keepNext/>
        <w:spacing w:after="40" w:before="0"/>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sa date de publication, un extrait de la description et un bouton « Voir les détails ».</w:t>
      </w:r>
    </w:p>
    <w:p w14:paraId="36E2BBAE" w14:textId="77777777" w:rsidR="005911B7" w:rsidRDefault="00CA1A9F" w:rsidP="007B1E7D">
      <w:pPr>
        <w:keepNext/>
        <w:spacing w:after="40" w:before="0"/>
        <w:jc w:val="center"/>
      </w:pPr>
      <w:r>
        <w:rPr>
          <w:noProof/>
        </w:rPr>
        <w:pict w14:anchorId="5BF0AF37">
          <v:shape id="Image 14" o:spid="_x0000_i1041" type="#_x0000_t75" style="width:138.2pt;height:276.0pt;visibility:visible;mso-wrap-style:square">
            <v:imagedata r:id="rId27" o:title=""/>
          </v:shape>
        </w:pict>
      </w:r>
    </w:p>
    <w:p w14:paraId="3346D263" w14:textId="77777777" w:rsidR="005911B7" w:rsidRDefault="005911B7" w:rsidP="007B1E7D">
      <w:pPr>
        <w:jc w:val="center"/>
        <w:rPr>
          <w:i/>
          <w:sz w:val="21"/>
        </w:rPr>
      </w:pPr>
      <w:r>
        <w:rPr>
          <w:i/>
          <w:sz w:val="21"/>
        </w:rPr>
        <w:t xml:space="preserve">Figure 4.2 : Page de connexion</w:t>
      </w:r>
    </w:p>
    <w:p w14:paraId="4624902F" w14:textId="77777777" w:rsidR="005911B7" w:rsidRDefault="008D5C06" w:rsidP="007B1E7D">
      <w:r>
        <w:t xml:space="preserve">La page de connexion de la figure 4.2 est le point d’entrée des espaces sécurisés : l’authentification s’y fait par nom d’utilisateur et mot de passe, et le jeton JWT renvoyé par le back-end sécurise ensuite l’ensemble des requêtes vers l’API.</w:t>
      </w:r>
      <w:r>
        <w:t xml:space="preserve"/>
      </w:r>
    </w:p>
    <w:p w14:paraId="609C1A12" w14:textId="7262CE25" w:rsidR="00C90533" w:rsidRDefault="00CA1A9F">
      <w:pPr>
        <w:keepNext/>
        <w:spacing w:after="40" w:before="0"/>
        <w:jc w:val="center"/>
      </w:pPr>
      <w:r>
        <w:rPr>
          <w:noProof/>
        </w:rPr>
        <w:pict w14:anchorId="65301F00">
          <v:shape id="Picture 8" o:spid="_x0000_i1051" type="#_x0000_t75" style="visibility:visible;mso-wrap-style:square;width:290.1pt;height:294.0pt">
            <v:imagedata r:id="rId37" o:title=""/>
          </v:shape>
        </w:pict>
      </w:r>
    </w:p>
    <w:p w14:paraId="438164E7" w14:textId="77777777" w:rsidR="00730833" w:rsidRDefault="00AF2881">
      <w:pPr>
        <w:jc w:val="center"/>
        <w:rPr>
          <w:i/>
          <w:sz w:val="21"/>
        </w:rPr>
      </w:pPr>
      <w:r>
        <w:rPr>
          <w:i/>
          <w:sz w:val="21"/>
        </w:rPr>
        <w:t xml:space="preserve">Figure 4.3 : Soumission d’une candidature avec dépôt de CV</w:t>
      </w:r>
    </w:p>
    <w:p w14:paraId="2B525994" w14:textId="77777777" w:rsidR="00730833" w:rsidRDefault="00AF2881">
      <w:r>
        <w:t xml:space="preserve">Comme le montre la figure 4.3, 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spacing w:after="40" w:before="0"/>
        <w:jc w:val="center"/>
      </w:pPr>
      <w:r>
        <w:rPr>
          <w:noProof/>
        </w:rPr>
        <w:pict w14:anchorId="580FE8B9">
          <v:shape id="Picture 5" o:spid="_x0000_i1052" type="#_x0000_t75" style="width:424.8pt;height:191.2pt;visibility:visible;mso-wrap-style:square">
            <v:imagedata r:id="rId38" o:title=""/>
          </v:shape>
        </w:pict>
      </w:r>
    </w:p>
    <w:p w14:paraId="268E66AF" w14:textId="77777777" w:rsidR="00730833" w:rsidRDefault="00AF2881">
      <w:pPr>
        <w:jc w:val="center"/>
        <w:rPr>
          <w:i/>
          <w:sz w:val="21"/>
        </w:rPr>
      </w:pPr>
      <w:r>
        <w:rPr>
          <w:i/>
          <w:sz w:val="21"/>
        </w:rPr>
        <w:t xml:space="preserve">Figure 4.4 : Fonctionnalité « Job idéal » — suggestions d’offres selon le CV</w:t>
      </w:r>
    </w:p>
    <w:p w14:paraId="4511BEA1" w14:textId="77777777" w:rsidR="00730833" w:rsidRDefault="00AF2881">
      <w:r>
        <w:t xml:space="preserve">Comme l’illustre la figure 4.4,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607DF564" w14:textId="7B6895C0" w:rsidR="00730833" w:rsidRDefault="00CA1A9F">
      <w:pPr>
        <w:keepNext/>
        <w:jc w:val="center"/>
        <w:spacing w:before="0" w:after="40" w:line="240" w:lineRule="auto"/>
      </w:pPr>
      <w:r>
        <w:rPr>
          <w:noProof/>
        </w:rPr>
        <w:pict w14:anchorId="580FE8B9">
          <v:shape id="Picture 5" o:spid="_x0000_i1052" type="#_x0000_t75" style="visibility:visible;mso-wrap-style:square;width:222.5pt;height:300.0pt;visibility:visible">
            <v:imagedata r:id="rId900" o:title=""/>
          </v:shape>
        </w:pict>
      </w:r>
    </w:p>
    <w:p w14:paraId="00903B0C" w14:textId="77777777" w:rsidR="00CE421D" w:rsidRDefault="00450284">
      <w:pPr>
        <w:jc w:val="center"/>
        <w:rPr>
          <w:i/>
          <w:sz w:val="21"/>
        </w:rPr>
      </w:pPr>
      <w:r>
        <w:rPr>
          <w:i/>
          <w:sz w:val="21"/>
        </w:rPr>
        <w:t xml:space="preserve">Figure 4.5 : Assistant conversationnel candidat (chatbot)</w:t>
      </w:r>
    </w:p>
    <w:p w14:paraId="0646AE5F" w14:textId="77777777" w:rsidR="00CE421D" w:rsidRDefault="00450284">
      <w:r>
        <w:t xml:space="preserve">Disponible uniquement pour un candidat authentifié, le widget de la figure 4.5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rsidR="005911B7" w:rsidRDefault="005911B7" w:rsidP="007B1E7D">
      <w:pPr>
        <w:pStyle w:val="Titre3"/>
      </w:pPr>
      <w:r>
        <w:t>4.3.2 Espace RH — suivi du processus de recrutement</w:t>
      </w:r>
    </w:p>
    <w:p w14:paraId="03BC45B4" w14:textId="77777777" w:rsidR="005911B7" w:rsidRDefault="00CA1A9F" w:rsidP="007B1E7D">
      <w:pPr>
        <w:keepNext/>
        <w:spacing w:after="40" w:before="0"/>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4.6 : Gestion des offres d’emploi (espace RH)</w:t>
      </w:r>
    </w:p>
    <w:p w14:paraId="69D54197" w14:textId="77777777" w:rsidR="005911B7" w:rsidRDefault="008D5C06" w:rsidP="007B1E7D">
      <w:r>
        <w:t xml:space="preserve">Comme le montre la figure 4.6,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spacing w:after="40" w:before="0"/>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4.7 : Gestion des candidats — vue liste avec score IA</w:t>
      </w:r>
    </w:p>
    <w:p w14:paraId="596C0960" w14:textId="77777777" w:rsidR="005911B7" w:rsidRDefault="008D5C06" w:rsidP="007B1E7D">
      <w:r>
        <w:t>La figure 4.7 reproduit la liste des dossiers de l’espace RH : pour chacun d’eux apparaissent le contact, l’offre visée, le statut courant du processus, le score calculé par l’agent IA — coloré selon son niveau — et les actions rapides (téléchargement du CV, modification, consultation, envoi d’e-mail, suppression). Le bandeau supérieur donne l’état du vivier en un coup d’œil (à valider, rejetés, retirés, embauchés).</w:t>
      </w:r>
    </w:p>
    <w:p w14:paraId="0BC41D96" w14:textId="636DDE35" w:rsidR="00C90533" w:rsidRDefault="00CA1A9F">
      <w:pPr>
        <w:keepNext/>
        <w:spacing w:after="40" w:before="0"/>
        <w:jc w:val="center"/>
      </w:pPr>
      <w:r>
        <w:rPr>
          <w:noProof/>
        </w:rPr>
        <w:pict w14:anchorId="6E2178D7">
          <v:shape id="Picture 9" o:spid="_x0000_i1053" type="#_x0000_t75" style="visibility:visible;mso-wrap-style:square;width:309.8pt;height:280.0pt;visibility:visible">
            <v:imagedata r:id="rId39" o:title=""/>
          </v:shape>
        </w:pict>
      </w:r>
    </w:p>
    <w:p w14:paraId="5A138DDE" w14:textId="77777777" w:rsidR="00730833" w:rsidRDefault="00AF2881">
      <w:pPr>
        <w:jc w:val="center"/>
        <w:rPr>
          <w:i/>
          <w:sz w:val="21"/>
        </w:rPr>
      </w:pPr>
      <w:r>
        <w:rPr>
          <w:i/>
          <w:sz w:val="21"/>
        </w:rPr>
        <w:t xml:space="preserve">Figure 4.8 : Analyse détaillée d’une candidature par intelligence artificielle</w:t>
      </w:r>
    </w:p>
    <w:p w14:paraId="2F6820D7" w14:textId="77777777" w:rsidR="00730833" w:rsidRDefault="00AF2881">
      <w:r>
        <w:t xml:space="preserve">Le détail d’une candidature, reproduit en figure 4.8, expose, au-delà du score global visible en liste (figure 4.7),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0B08E4E" w14:textId="77777777" w:rsidR="005911B7" w:rsidRDefault="00CA1A9F" w:rsidP="007B1E7D">
      <w:pPr>
        <w:keepNext/>
        <w:spacing w:after="40" w:before="0"/>
        <w:jc w:val="center"/>
      </w:pPr>
      <w:r>
        <w:rPr>
          <w:noProof/>
        </w:rPr>
        <w:pict w14:anchorId="0B44AC1E">
          <v:shape id="Image 17" o:spid="_x0000_i1044" type="#_x0000_t75" style="visibility:visible;mso-wrap-style:square;width:277.3pt;height:295.0pt">
            <v:imagedata r:id="rId30" o:title=""/>
          </v:shape>
        </w:pict>
      </w:r>
    </w:p>
    <w:p w14:paraId="3050056D" w14:textId="77777777" w:rsidR="005911B7" w:rsidRDefault="005911B7" w:rsidP="007B1E7D">
      <w:pPr>
        <w:jc w:val="center"/>
        <w:rPr>
          <w:i/>
          <w:sz w:val="21"/>
        </w:rPr>
      </w:pPr>
      <w:r>
        <w:rPr>
          <w:i/>
          <w:sz w:val="21"/>
        </w:rPr>
        <w:t xml:space="preserve">Figure 4.9 : Modification d’un dossier candidat</w:t>
      </w:r>
    </w:p>
    <w:p w14:paraId="06E05E3E" w14:textId="77777777" w:rsidR="005911B7" w:rsidRDefault="008D5C06" w:rsidP="007B1E7D">
      <w:r>
        <w:t xml:space="preserve">Le formulaire de modification de la figure 4.9 permet de corriger les informations d’un candidat (coordonnées, lettre de motivation, statut, offre associée) ; la fiche de consultation associée regroupe le CV, l’analyse IA détaillée (scores technique, communication, adéquation séniorité) et l’historique des actions des agents n8n sur ce dossier.</w:t>
      </w:r>
      <w:r>
        <w:t xml:space="preserve"/>
      </w:r>
    </w:p>
    <w:p w14:paraId="688C2C17" w14:textId="77777777" w:rsidR="005911B7" w:rsidRDefault="00CA1A9F" w:rsidP="007B1E7D">
      <w:pPr>
        <w:keepNext/>
        <w:spacing w:after="40" w:before="0"/>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4.10 : Tableau Kanban du pipeline de recrutement</w:t>
      </w:r>
    </w:p>
    <w:p w14:paraId="6D3BC57F" w14:textId="77777777" w:rsidR="005911B7" w:rsidRDefault="008D5C06" w:rsidP="007B1E7D">
      <w:r>
        <w:t xml:space="preserve">Le tableau Kanban de la figure 4.10,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spacing w:after="40" w:before="0"/>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4.11 : Gestion des entretiens (espace RH)</w:t>
      </w:r>
    </w:p>
    <w:p w14:paraId="456E7EFE" w14:textId="77777777" w:rsidR="005911B7" w:rsidRDefault="008D5C06" w:rsidP="007B1E7D">
      <w:r>
        <w:t>L’écran de gestion des entretiens de la figure 4.11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3B0AAACB" w14:textId="77777777" w:rsidR="005911B7" w:rsidRDefault="00CA1A9F" w:rsidP="007B1E7D">
      <w:pPr>
        <w:keepNext/>
        <w:spacing w:after="40" w:before="0"/>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4.12 : Gestion des feedbacks (espace RH)</w:t>
      </w:r>
    </w:p>
    <w:p w14:paraId="70B615C4" w14:textId="77777777" w:rsidR="005911B7" w:rsidRDefault="008D5C06" w:rsidP="007B1E7D">
      <w:r>
        <w:t>La figure 4.12 centralise les feedbacks saisis par les managers, notés de 1 à 5 étoiles et assortis d’un commentaire, avec une étape de validation par le RH avant transmission au candidat.</w:t>
      </w:r>
      <w:r>
        <w:t xml:space="preserve"/>
      </w:r>
    </w:p>
    <w:p w14:paraId="234F2466" w14:textId="3397CEB3" w:rsidR="00730833" w:rsidRDefault="00CA1A9F">
      <w:pPr>
        <w:keepNext/>
        <w:spacing w:after="40" w:before="0"/>
        <w:jc w:val="center"/>
      </w:pPr>
      <w:r>
        <w:rPr>
          <w:noProof/>
        </w:rPr>
        <w:pict w14:anchorId="1ABB31E4">
          <v:shape id="Picture 411" o:spid="_x0000_i1911" type="#_x0000_t75" style="visibility:visible;mso-wrap-style:square;width:240.2pt;height:263.0pt">
            <v:imagedata r:id="rId960" o:title=""/>
          </v:shape>
        </w:pict>
      </w:r>
    </w:p>
    <w:p w14:paraId="213F627D" w14:textId="77777777" w:rsidR="00730833" w:rsidRDefault="00AF2881">
      <w:pPr>
        <w:jc w:val="center"/>
        <w:rPr>
          <w:i/>
          <w:sz w:val="21"/>
        </w:rPr>
      </w:pPr>
      <w:r>
        <w:rPr>
          <w:i/>
          <w:sz w:val="21"/>
        </w:rPr>
        <w:t xml:space="preserve">Figure 4.13 : Contre-signature RH d’un avis favorable « Valider l’embauche »</w:t>
      </w:r>
    </w:p>
    <w:p w14:paraId="2952C15B" w14:textId="77777777" w:rsidR="00730833" w:rsidRDefault="00AF2881">
      <w:r>
        <w:t xml:space="preserve">La modale de la figure 4.13 : le RH contre-signe l’avis favorable du manager avant l’embauche ; la date de présentation y est obligatoire, car elle alimente l’e-mail de convocation.</w:t>
      </w:r>
    </w:p>
    <w:p w14:paraId="234F2466" w14:textId="3397CEB3" w:rsidR="00730833" w:rsidRDefault="00CA1A9F">
      <w:pPr>
        <w:keepNext/>
        <w:spacing w:after="40" w:before="0"/>
        <w:jc w:val="center"/>
      </w:pPr>
      <w:r>
        <w:rPr>
          <w:noProof/>
        </w:rPr>
        <w:pict w14:anchorId="1ABB31E4">
          <v:shape id="Picture 412" o:spid="_x0000_i1912" type="#_x0000_t75" style="visibility:visible;mso-wrap-style:square;width:240.0pt;height:254.0pt">
            <v:imagedata r:id="rId961" o:title=""/>
          </v:shape>
        </w:pict>
      </w:r>
    </w:p>
    <w:p w14:paraId="213F627D" w14:textId="77777777" w:rsidR="00730833" w:rsidRDefault="00AF2881">
      <w:pPr>
        <w:jc w:val="center"/>
        <w:rPr>
          <w:i/>
          <w:sz w:val="21"/>
        </w:rPr>
      </w:pPr>
      <w:r>
        <w:rPr>
          <w:i/>
          <w:sz w:val="21"/>
        </w:rPr>
        <w:t xml:space="preserve">Figure 4.14 : Contre-signature RH d’un refus proposé — modale « Confirmer le refus »</w:t>
      </w:r>
    </w:p>
    <w:p w14:paraId="2952C15B" w14:textId="77777777" w:rsidR="00730833" w:rsidRDefault="00AF2881">
      <w:r>
        <w:t xml:space="preserve">La modale « Confirmer le refus » de la figure 4.14 : le RH contre-signe le refus proposé par le manager ; le motif y est obligatoire, car il alimente l’e-mail de refus final.</w:t>
      </w:r>
    </w:p>
    <w:p w:rsidR="005911B7" w:rsidRDefault="005911B7" w:rsidP="007B1E7D">
      <w:pPr>
        <w:pStyle w:val="Titre3"/>
      </w:pPr>
      <w:r>
        <w:t>4.3.3 Espace manager</w:t>
      </w:r>
    </w:p>
    <w:p w14:paraId="234F2466" w14:textId="3397CEB3" w:rsidR="00730833" w:rsidRDefault="00CA1A9F">
      <w:pPr>
        <w:keepNext/>
        <w:spacing w:after="40" w:before="0"/>
        <w:jc w:val="center"/>
      </w:pPr>
      <w:r>
        <w:rPr>
          <w:noProof/>
        </w:rPr>
        <w:pict w14:anchorId="1ABB31E4">
          <v:shape id="Picture 7" o:spid="_x0000_i1054" type="#_x0000_t75" style="visibility:visible;mso-wrap-style:square;width:453.3pt;height:252.5pt">
            <v:imagedata r:id="rId40" o:title=""/>
          </v:shape>
        </w:pict>
      </w:r>
    </w:p>
    <w:p w14:paraId="213F627D" w14:textId="77777777" w:rsidR="00730833" w:rsidRDefault="00AF2881">
      <w:pPr>
        <w:jc w:val="center"/>
        <w:rPr>
          <w:i/>
          <w:sz w:val="21"/>
        </w:rPr>
      </w:pPr>
      <w:r>
        <w:rPr>
          <w:i/>
          <w:sz w:val="21"/>
        </w:rPr>
        <w:t xml:space="preserve">Figure 4.15 : Espace Manager — candidatures relevant du périmètre du manager</w:t>
      </w:r>
    </w:p>
    <w:p w14:paraId="2952C15B" w14:textId="77777777" w:rsidR="00730833" w:rsidRDefault="00AF2881">
      <w:r>
        <w:t xml:space="preserve">Un manager ne voit que les candidatures relevant de son périmètre — la liste des destinataires gelée sur le dossier au moment de sa transmission, résolue par ManagerRoutingService puis lue par ManagerScopeService (section 3.5.4) —, à partir de leur entrée en évaluation technique (statut TECHNICAL_TEST), et non dès la validation du CV par le RH. Cette vue cloisonnée est distincte de la liste globale accessible au RH et à l’administrateur (figure 4.3) ; la figure 4.15 en montre un exemple.</w:t>
      </w:r>
    </w:p>
    <w:p w14:paraId="234F2466" w14:textId="3397CEB3" w:rsidR="00730833" w:rsidRDefault="00CA1A9F">
      <w:pPr>
        <w:keepNext/>
        <w:spacing w:after="40" w:before="0"/>
        <w:jc w:val="center"/>
      </w:pPr>
      <w:r>
        <w:rPr>
          <w:noProof/>
        </w:rPr>
        <w:pict w14:anchorId="1ABB31E4">
          <v:shape id="Picture 17" o:spid="_x0000_i1060" type="#_x0000_t75" style="visibility:visible;mso-wrap-style:square;width:453.3pt;height:298.5pt">
            <v:imagedata r:id="rId902" o:title=""/>
          </v:shape>
        </w:pict>
      </w:r>
    </w:p>
    <w:p w14:paraId="213F627D" w14:textId="77777777" w:rsidR="00730833" w:rsidRDefault="00AF2881">
      <w:pPr>
        <w:jc w:val="center"/>
        <w:rPr>
          <w:i/>
          <w:sz w:val="21"/>
        </w:rPr>
      </w:pPr>
      <w:r>
        <w:rPr>
          <w:i/>
          <w:sz w:val="21"/>
        </w:rPr>
        <w:t xml:space="preserve">Figure 4.16 : Espace Manager — page « Mon calendrier d’entretiens », prochains entretiens, rappels et entretiens passés</w:t>
      </w:r>
    </w:p>
    <w:p w14:paraId="6E5C99B1" w14:textId="77777777" w:rsidR="005911B7" w:rsidRDefault="00161004" w:rsidP="007B1E7D">
      <w:r>
        <w:t xml:space="preserve">La page « Mon calendrier d’entretiens », reproduite en figure 4.16, est en lecture seule : les données y sont filtrées côté serveur sur la seule identité de l’intervieweur connecté, reprise du jeton d’authentification, et le même contrôle d’accès au dossier candidat s’applique que pour la liste des dossiers, de sorte qu’un manager ne voit que les entretiens où il est nommément désigné.</w:t>
      </w:r>
    </w:p>
    <w:p w14:paraId="2952C15B" w14:textId="77777777" w:rsidR="00730833" w:rsidRDefault="00AF2881">
      <w:r>
        <w:t xml:space="preserve">La partie haute de la figure 4.16 donne les trois prochains rendez-vous actifs, chacun avec l’heure, la date, le candidat, le poste, le format et, une fois le lien produit par l’agent de planification, le bouton « Rejoindre le lien Google Meet » ; l’encart « Rappels » y rappelle qu’un e-mail de rappel est planifié deux heures avant chaque entretien dont l’utilisateur est l’intervieweur. La section « Entretiens passés ce mois-ci » permet de reprendre un dossier déjà vu : le manager peut y marquer l’entretien comme effectué et, tant que le dossier est encore en cours d’instruction, l’ouvrir directement par le bouton « Donner mon avis », qui amène la fiche du dossier où l’avis se saisit. Lorsque l’avis a déjà été rendu ou que le dossier est clôturé, ce bouton disparaît et la carte affiche l’état courant (« Dossier clôturé : candidat embauché », « Dossier clôturé : refus validé par le RH »), pour ne jamais laisser le manager devant une commande sans effet. Plus bas, une grille mensuelle — non reproduite ici — complète la page : chaque événement qu’elle affiche ouvre une fenêtre de détail (candidat, poste, format, date et heure, durée, lieu, notes, lien de connexion), où le lien Google Meet est présenté à part, derrière un bouton explicite « Rejoindre l’entretien », et non sur la carte elle-même, pour qu’une simple consultation du planning ne déclenche pas d’appel visio vers le candidat ; lorsque le lien n’a pas encore été produit par l’agent de planification, la fenêtre l’indique au lieu d’afficher un bouton sans effet.</w:t>
      </w:r>
    </w:p>
    <w:p w:rsidR="005911B7" w:rsidRDefault="005911B7" w:rsidP="007B1E7D">
      <w:pPr>
        <w:pStyle w:val="Titre3"/>
      </w:pPr>
      <w:r>
        <w:t>4.3.4 Administrateur — comptes, paramétrage et traçabilité</w:t>
      </w:r>
    </w:p>
    <w:p w14:paraId="146E0641" w14:textId="77777777" w:rsidR="005911B7" w:rsidRDefault="00CA1A9F" w:rsidP="007B1E7D">
      <w:pPr>
        <w:keepNext/>
        <w:spacing w:after="40" w:before="0"/>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4.17 : Gestion des utilisateurs et des rôles (espace Administrateur)</w:t>
      </w:r>
    </w:p>
    <w:p w14:paraId="51E35756" w14:textId="77777777" w:rsidR="005911B7" w:rsidRDefault="008D5C06" w:rsidP="007B1E7D">
      <w:r>
        <w:t>L’écran de la figure 4.17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spacing w:after="40" w:before="0"/>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4.18 : Paramétrage du scoring IA par famille de métier</w:t>
      </w:r>
    </w:p>
    <w:p w14:paraId="2EF1BE18" w14:textId="77777777" w:rsidR="005911B7" w:rsidRDefault="008D5C06" w:rsidP="007B1E7D">
      <w:r>
        <w:t>Réservé à l’administrateur, l’écran de la figure 4.18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0B1676FD" w14:textId="77777777" w:rsidR="005911B7" w:rsidRDefault="00CA1A9F" w:rsidP="007B1E7D">
      <w:pPr>
        <w:keepNext/>
        <w:spacing w:after="40" w:before="0"/>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4.19 : Historique d’audit</w:t>
      </w:r>
    </w:p>
    <w:p w14:paraId="6867BA22" w14:textId="77777777" w:rsidR="000F1AFA" w:rsidRDefault="008D5C06" w:rsidP="007B1E7D">
      <w:r>
        <w:t>L’historique d’audit reproduit en figure 4.19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la ligne ROUTING y rappelle le manager destinataire et l’origine de l’aiguillage, ce qui garantit la traçabilité de chaque décision prise sur un dossier.</w:t>
      </w:r>
      <w:r>
        <w:t xml:space="preserve"/>
      </w:r>
    </w:p>
    <w:p w:rsidR="005911B7" w:rsidRDefault="005911B7" w:rsidP="007B1E7D">
      <w:pPr>
        <w:pStyle w:val="Titre3"/>
      </w:pPr>
      <w:r>
        <w:t>4.3.5 Automatisation n8n et notification du candidat</w:t>
      </w:r>
    </w:p>
    <w:p w14:paraId="234F2466" w14:textId="3397CEB3" w:rsidR="00730833" w:rsidRDefault="00CA1A9F">
      <w:pPr>
        <w:keepNext/>
        <w:spacing w:after="40" w:before="0"/>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4.20 : Console n8n — les trois flux d’automatisation publiés et leurs statistiques</w:t>
      </w:r>
    </w:p>
    <w:p w14:paraId="2952C15B" w14:textId="77777777" w:rsidR="00730833" w:rsidRDefault="00AF2881">
      <w:r>
        <w:t xml:space="preserve">Au-delà des interfaces de la plateforme, la chaîne d’automatisation a été vérifiée dans la console n8n elle-même. La figure 4.20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34F2466" w14:textId="3397CEB3" w:rsidR="00730833" w:rsidRDefault="00CA1A9F">
      <w:pPr>
        <w:keepNext/>
        <w:spacing w:after="40" w:before="0"/>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4.21 : Flux n8n de l’Agent 1 — webhook de candidature, appel du scoring Cohere puis e-mail au candidat</w:t>
      </w:r>
    </w:p>
    <w:p w14:paraId="2952C15B" w14:textId="77777777" w:rsidR="00730833" w:rsidRDefault="00AF2881">
      <w:r>
        <w:t xml:space="preserve">Le détail de l’Agent 1 (figure 4.21)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spacing w:after="40" w:before="0"/>
        <w:jc w:val="center"/>
      </w:pPr>
      <w:r>
        <w:rPr>
          <w:noProof/>
        </w:rPr>
        <w:pict w14:anchorId="1ABB31E4">
          <v:shape id="Picture 110" o:spid="_x0000_i1063" type="#_x0000_t75" style="width:371.0pt;height:250.0pt;visibility:visible;mso-wrap-style:square">
            <v:imagedata r:id="rId905" o:title=""/>
          </v:shape>
        </w:pict>
      </w:r>
    </w:p>
    <w:p w14:paraId="213F627D" w14:textId="77777777" w:rsidR="00730833" w:rsidRDefault="00AF2881">
      <w:pPr>
        <w:jc w:val="center"/>
        <w:rPr>
          <w:i/>
          <w:sz w:val="21"/>
        </w:rPr>
      </w:pPr>
      <w:r>
        <w:rPr>
          <w:i/>
          <w:sz w:val="21"/>
        </w:rPr>
        <w:t xml:space="preserve">Figure 4.22 : E-mail automatique de confirmation de candidature reçu par le candidat</w:t>
      </w:r>
    </w:p>
    <w:p w14:paraId="2952C15B" w14:textId="77777777" w:rsidR="00730833" w:rsidRDefault="00AF2881">
      <w:r>
        <w:t xml:space="preserve">Côté candidat, la notification produite par ce flux arrive bien dans sa boîte de réception (figure 4.22) : accusé de réception nominatif pour le poste visé, score d’analyse IA obtenu et horodatage du traitement, avec la mention « Cet email a été envoyé automatiquement par la plateforme JOB4YOU ».</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16 classes de test pour un total de 167 méthodes, toutes exécutées sans échec : CandidateServiceTest, JobOfferServiceTest, ManagerRoutingServiceTest, ManagerScopeServiceTest, CandidateRoutingFanOutTest, DepartmentProposalServiceTest, N8nServiceTest, N8nServiceOutboxKeyTest,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la chaîne de résolution des managers destinataires et son blocage lorsqu’aucun niveau ne résout de destinataire, la transmission effective à chacun des managers d’un même dossier (une clé d’événement par destinataire, relance comprise), l’isolation stricte de la visibilité des dossiers à la liste gelée,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 manager désigné sur l’offre, à défaut département, à défaut famille de métier</w:t>
            </w:r>
          </w:p>
        </w:tc>
        <w:tc>
          <w:tcPr>
            <w:tcW w:w="1667" w:type="pct"/>
          </w:tcPr>
          <w:p w14:paraId="4EF70E9D" w14:textId="77777777" w:rsidR="005911B7" w:rsidRPr="007B1E7D" w:rsidRDefault="001110FA" w:rsidP="007B1E7D">
            <w:pPr>
              <w:rPr>
                <w:sz w:val="21"/>
              </w:rPr>
            </w:pPr>
            <w:r>
              <w:rPr>
                <w:sz w:val="21"/>
              </w:rPr>
              <w:t xml:space="preserve">Chaque manager destinataire résolu est notifié et voit le dossier ; si aucun niveau ne résout, erreur 400 et ROUTING_FAILED</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Chaque manager destinataire résolu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bl>
    <w:p w14:paraId="18E2834B" w14:textId="77777777" w:rsidR="005911B7" w:rsidRDefault="008D5C06" w:rsidP="007B1E7D">
      <w:r>
        <w:t xml:space="preserve">Ce tableau atteste de l’exécution des vingt-deux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4.8)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l’historique d’audit (figure 4.19).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liste retenue est gelée sur le dossier, ce qui fige par la même occasion le périmètre de lecture du manager.</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de valider la transmission, le RH voit les destinataires que la résolution produira (GET /api/candidates/{id}/routing-preview) ; après l’envoi, la liste réellement notifiée lui est confirmée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(lecture seule, cloisonné par périmètre)</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seize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167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