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14:paraId="79B3FD09" w14:textId="77FE9BCD" w:rsidR="000422CF" w:rsidRDefault="000422CF">
      <w:pPr>
        <w:pStyle w:val="TM2"/>
        <w:tabs>
          <w:tab w:val="right" w:leader="dot" w:pos="9066"/>
        </w:tabs>
        <w:rPr>
          <w:rFonts w:ascii="Aptos" w:eastAsia="Times New Roman" w:hAnsi="Aptos"/>
          <w:noProof/>
          <w:lang w:eastAsia="fr-FR"/>
        </w:rPr>
      </w:pPr>
      <w:r>
        <w:t>4.4 Tests</w:t>
        <w:tab/>
        <w:t>56</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56</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56</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58</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58</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58</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60</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60</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60</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61</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61</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61</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61</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62</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62</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62</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62</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63</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63</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63</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65</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66</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67</w:t>
      </w:r>
    </w:p>
    <w:p w14:paraId="784B7B78" w14:textId="354FE582" w:rsidR="000422CF" w:rsidRDefault="000422CF">
      <w:pPr>
        <w:pStyle w:val="TM1"/>
        <w:tabs>
          <w:tab w:val="right" w:leader="dot" w:pos="9066"/>
        </w:tabs>
        <w:rPr>
          <w:rFonts w:ascii="Aptos" w:eastAsia="Times New Roman" w:hAnsi="Aptos"/>
          <w:noProof/>
          <w:lang w:eastAsia="fr-FR"/>
        </w:rPr>
      </w:pPr>
      <w:r>
        <w:t>Annexe A — Captures d’écran complémentaires</w:t>
        <w:tab/>
        <w:t>69</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76</w:t>
      </w:r>
    </w:p>
    <w:p w14:paraId="02CC94FF" w14:textId="73A2BE14" w:rsidR="000422CF" w:rsidRDefault="000422CF">
      <w:pPr>
        <w:pStyle w:val="TM1"/>
        <w:tabs>
          <w:tab w:val="right" w:leader="dot" w:pos="9066"/>
        </w:tabs>
        <w:rPr>
          <w:rFonts w:ascii="Aptos" w:eastAsia="Times New Roman" w:hAnsi="Aptos"/>
          <w:noProof/>
          <w:lang w:eastAsia="fr-FR"/>
        </w:rPr>
      </w:pPr>
      <w:r>
        <w:t>Glossaire</w:t>
        <w:tab/>
        <w:t>78</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48</w:t>
      </w:r>
    </w:p>
    <w:p w14:paraId="0AFF955C" w14:textId="72F5DA5C" w:rsidR="005911B7" w:rsidRDefault="005911B7" w:rsidP="007B1E7D">
      <w:pPr>
        <w:tabs>
          <w:tab w:val="right" w:leader="dot" w:pos="9066"/>
        </w:tabs>
      </w:pPr>
      <w:r>
        <w:t xml:space="preserve">Figure 4.2 : Gestion des offres d’emploi (espace RH)</w:t>
        <w:tab/>
        <w:t>49</w:t>
      </w:r>
    </w:p>
    <w:p w14:paraId="0A11B2F5" w14:textId="59AA0FB2" w:rsidR="005911B7" w:rsidRDefault="005911B7" w:rsidP="007B1E7D">
      <w:pPr>
        <w:tabs>
          <w:tab w:val="right" w:leader="dot" w:pos="9066"/>
        </w:tabs>
      </w:pPr>
      <w:r>
        <w:t xml:space="preserve">Figure 4.3 : Gestion des candidats — vue liste avec score IA</w:t>
        <w:tab/>
        <w:t>49</w:t>
      </w:r>
    </w:p>
    <w:p w14:paraId="17208FBD" w14:textId="3121B3AD" w:rsidR="005911B7" w:rsidRDefault="005911B7" w:rsidP="007B1E7D">
      <w:pPr>
        <w:tabs>
          <w:tab w:val="right" w:leader="dot" w:pos="9066"/>
        </w:tabs>
      </w:pPr>
      <w:r>
        <w:t xml:space="preserve">Figure 4.4 : Tableau Kanban du pipeline de recrutement</w:t>
        <w:tab/>
        <w:t>50</w:t>
      </w:r>
    </w:p>
    <w:p w14:paraId="50337BA5" w14:textId="5EADD626" w:rsidR="005911B7" w:rsidRDefault="005911B7" w:rsidP="007B1E7D">
      <w:pPr>
        <w:tabs>
          <w:tab w:val="right" w:leader="dot" w:pos="9066"/>
        </w:tabs>
      </w:pPr>
      <w:r>
        <w:t xml:space="preserve">Figure 4.5 : Gestion des utilisateurs et des rôles (espace Administrateur)</w:t>
        <w:tab/>
        <w:t>51</w:t>
      </w:r>
    </w:p>
    <w:p w14:paraId="621B3F2F" w14:textId="0A2FC2E9" w:rsidR="005911B7" w:rsidRDefault="005911B7" w:rsidP="007B1E7D">
      <w:pPr>
        <w:tabs>
          <w:tab w:val="right" w:leader="dot" w:pos="9066"/>
        </w:tabs>
      </w:pPr>
      <w:r>
        <w:t xml:space="preserve">Figure 4.6 : Paramétrage du scoring IA par famille de métier</w:t>
        <w:tab/>
        <w:t>51</w:t>
      </w:r>
    </w:p>
    <w:p w14:paraId="0B8DC928" w14:textId="006C02D8" w:rsidR="005911B7" w:rsidRDefault="005911B7" w:rsidP="007B1E7D">
      <w:pPr>
        <w:tabs>
          <w:tab w:val="right" w:leader="dot" w:pos="9066"/>
        </w:tabs>
      </w:pPr>
      <w:r>
        <w:t xml:space="preserve">Figure 4.7 : Assistant conversationnel candidat (chatbot)</w:t>
        <w:tab/>
        <w:t>52</w:t>
      </w:r>
    </w:p>
    <w:p w14:paraId="6F4BEA44" w14:textId="2416B8DA" w:rsidR="005911B7" w:rsidRDefault="005911B7" w:rsidP="007B1E7D">
      <w:pPr>
        <w:tabs>
          <w:tab w:val="right" w:leader="dot" w:pos="9066"/>
        </w:tabs>
      </w:pPr>
      <w:r>
        <w:t xml:space="preserve">Figure 4.8 : Fonctionnalité « Job idéal » — suggestions d’offres selon le CV</w:t>
        <w:tab/>
        <w:t>53</w:t>
      </w:r>
    </w:p>
    <w:p w14:paraId="4E671CA7" w14:textId="1C0781DB" w:rsidR="005911B7" w:rsidRDefault="005911B7" w:rsidP="007B1E7D">
      <w:pPr>
        <w:tabs>
          <w:tab w:val="right" w:leader="dot" w:pos="9066"/>
        </w:tabs>
      </w:pPr>
      <w:r>
        <w:t xml:space="preserve">Figure 4.9 : Analyse détaillée d’une candidature par intelligence artificielle</w:t>
        <w:tab/>
        <w:t>54</w:t>
      </w:r>
    </w:p>
    <w:p w14:paraId="64C30683" w14:textId="082BDCCC" w:rsidR="005911B7" w:rsidRDefault="005911B7" w:rsidP="007B1E7D">
      <w:pPr>
        <w:tabs>
          <w:tab w:val="right" w:leader="dot" w:pos="9066"/>
        </w:tabs>
      </w:pPr>
      <w:r>
        <w:t xml:space="preserve">Figure 4.10 : Espace Manager — page « Mon calendrier », entretiens et rappels</w:t>
        <w:tab/>
        <w:t>55</w:t>
      </w:r>
    </w:p>
    <w:p w14:paraId="64C30683" w14:textId="082BDCCC" w:rsidR="005911B7" w:rsidRDefault="005911B7" w:rsidP="007B1E7D">
      <w:pPr>
        <w:tabs>
          <w:tab w:val="right" w:leader="dot" w:pos="9066"/>
        </w:tabs>
      </w:pPr>
      <w:r>
        <w:t xml:space="preserve">Figure A.1 : Page de connexion</w:t>
        <w:tab/>
        <w:t>69</w:t>
      </w:r>
    </w:p>
    <w:p w14:paraId="64C30683" w14:textId="082BDCCC" w:rsidR="005911B7" w:rsidRDefault="005911B7" w:rsidP="007B1E7D">
      <w:pPr>
        <w:tabs>
          <w:tab w:val="right" w:leader="dot" w:pos="9066"/>
        </w:tabs>
      </w:pPr>
      <w:r>
        <w:t xml:space="preserve">Figure A.2 : Modification d’un dossier candidat</w:t>
        <w:tab/>
        <w:t>70</w:t>
      </w:r>
    </w:p>
    <w:p w14:paraId="64C30683" w14:textId="082BDCCC" w:rsidR="005911B7" w:rsidRDefault="005911B7" w:rsidP="007B1E7D">
      <w:pPr>
        <w:tabs>
          <w:tab w:val="right" w:leader="dot" w:pos="9066"/>
        </w:tabs>
      </w:pPr>
      <w:r>
        <w:t xml:space="preserve">Figure A.3 : Gestion des entretiens</w:t>
        <w:tab/>
        <w:t>71</w:t>
      </w:r>
    </w:p>
    <w:p w14:paraId="64C30683" w14:textId="082BDCCC" w:rsidR="005911B7" w:rsidRDefault="005911B7" w:rsidP="007B1E7D">
      <w:pPr>
        <w:tabs>
          <w:tab w:val="right" w:leader="dot" w:pos="9066"/>
        </w:tabs>
      </w:pPr>
      <w:r>
        <w:t xml:space="preserve">Figure A.4 : Gestion des feedbacks</w:t>
        <w:tab/>
        <w:t>71</w:t>
      </w:r>
    </w:p>
    <w:p w14:paraId="64C30683" w14:textId="082BDCCC" w:rsidR="005911B7" w:rsidRDefault="005911B7" w:rsidP="007B1E7D">
      <w:pPr>
        <w:tabs>
          <w:tab w:val="right" w:leader="dot" w:pos="9066"/>
        </w:tabs>
      </w:pPr>
      <w:r>
        <w:t xml:space="preserve">Figure A.5 : Journal d’audit</w:t>
        <w:tab/>
        <w:t>72</w:t>
      </w:r>
    </w:p>
    <w:p w14:paraId="64C30683" w14:textId="082BDCCC" w:rsidR="005911B7" w:rsidRDefault="005911B7" w:rsidP="007B1E7D">
      <w:pPr>
        <w:tabs>
          <w:tab w:val="right" w:leader="dot" w:pos="9066"/>
        </w:tabs>
      </w:pPr>
      <w:r>
        <w:t xml:space="preserve">Figure A.6 : Soumission d’une candidature avec dépôt de CV</w:t>
        <w:tab/>
        <w:t>72</w:t>
      </w:r>
    </w:p>
    <w:p w14:paraId="64C30683" w14:textId="082BDCCC" w:rsidR="005911B7" w:rsidRDefault="005911B7" w:rsidP="007B1E7D">
      <w:pPr>
        <w:tabs>
          <w:tab w:val="right" w:leader="dot" w:pos="9066"/>
        </w:tabs>
      </w:pPr>
      <w:r>
        <w:t xml:space="preserve">Figure A.7 : Espace Manager — candidatures relevant du périmètre du manager</w:t>
        <w:tab/>
        <w:t>73</w:t>
      </w:r>
    </w:p>
    <w:p w14:paraId="64C30683" w14:textId="082BDCCC" w:rsidR="005911B7" w:rsidRDefault="005911B7" w:rsidP="007B1E7D">
      <w:pPr>
        <w:tabs>
          <w:tab w:val="right" w:leader="dot" w:pos="9066"/>
        </w:tabs>
      </w:pPr>
      <w:r>
        <w:t xml:space="preserve">Figure A.8 : Console n8n — les trois flux d’automatisation publiés et leurs statistiques</w:t>
        <w:tab/>
        <w:t>74</w:t>
      </w:r>
    </w:p>
    <w:p w14:paraId="64C30683" w14:textId="082BDCCC" w:rsidR="005911B7" w:rsidRDefault="005911B7" w:rsidP="007B1E7D">
      <w:pPr>
        <w:tabs>
          <w:tab w:val="right" w:leader="dot" w:pos="9066"/>
        </w:tabs>
      </w:pPr>
      <w:r>
        <w:t xml:space="preserve">Figure A.9 : Flux n8n de l’Agent 1 — webhook de candidature, appel du scoring Cohere puis e-mail au candidat</w:t>
        <w:tab/>
        <w:t>74</w:t>
      </w:r>
    </w:p>
    <w:p w14:paraId="64C30683" w14:textId="082BDCCC" w:rsidR="005911B7" w:rsidRDefault="005911B7" w:rsidP="007B1E7D">
      <w:pPr>
        <w:tabs>
          <w:tab w:val="right" w:leader="dot" w:pos="9066"/>
        </w:tabs>
      </w:pPr>
      <w:r>
        <w:t xml:space="preserve">Figure A.10 : E-mail automatique de confirmation de candidature reçu par le candidat</w:t>
        <w:tab/>
        <w:t>75</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57</w:t>
      </w:r>
    </w:p>
    <w:p w14:paraId="458518D7" w14:textId="5506CA71" w:rsidR="005911B7" w:rsidRDefault="001A53BF" w:rsidP="007B1E7D">
      <w:pPr>
        <w:tabs>
          <w:tab w:val="right" w:leader="dot" w:pos="9066"/>
        </w:tabs>
      </w:pPr>
      <w:r>
        <w:t>Tableau 4.2 : Matrice de confusion du Gold Set selon le seuil de décision</w:t>
        <w:tab/>
        <w:t>59</w:t>
      </w:r>
    </w:p>
    <w:p w14:paraId="458518D7" w14:textId="5506CA71" w:rsidR="005911B7" w:rsidRDefault="001A53BF" w:rsidP="007B1E7D">
      <w:pPr>
        <w:tabs>
          <w:tab w:val="right" w:leader="dot" w:pos="9066"/>
        </w:tabs>
      </w:pPr>
      <w:r>
        <w:t>Tableau 4.3 : Bilan des fonctionnalités réalisées</w:t>
        <w:tab/>
        <w:t>65</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n’est adressé au candidat qu’après le contreseing du RH, l’avis du manager notifiant le RH.</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reste réversible par un override RH justifié (transition pointillée de la figure 3.8).</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3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391.1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des notifications (SMTP) ; le back-end appelle directement l’API de Cohere [11] (scoring IA) et l’API OpenRouter [12] (assistant conversationnel). Cette organisation physique est détaillée au chapitre 3 par les diagrammes de composants (figure 3.10) et de déploiement (figure 3.11) ; le tableau ci-dessous précise le rôle de chaque agent d’automatisation.</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les invitations et rappels au candidat et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39.5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width:278.3pt;height:616.4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width:345.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 périmètre de lecture d’un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width:394.7pt;height:302.7pt;visibility:visible">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68.0pt;height:438.5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width:453.3pt;height:289.7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557.5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AUTO_REJECTED, WITHDRAWN) n’admettent plus aucune modification depuis l’interface d’administration, tandis qu’AUTO_REJECTED reste révisable par la correction manuelle du score décrite ci-après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width:769.9pt;height:398.9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les clés primaires sont préfixées d’un astérisque et les clés étrangères suffixées « FK ». On y lit les relations structurantes : un département rattache les utilisateurs et les offres, une offre reçoit les candidatures, chaque candidature dépose un CV et passe des entretiens qui donnent lieu à des feedbacks rédigés par les utilisateurs.</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r>
        <w:t xml:space="preserve"> Sa capture est reprise en annexe A (figure A.1).</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 xml:space="preserve">Figure 4.2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 xml:space="preserve">Figure 4.3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r>
        <w:t xml:space="preserve"> Sa capture est reprise en annexe A (figure A.2).</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 xml:space="preserve">Figure 4.4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r>
        <w:t xml:space="preserve"> Sa capture est reprise en annexe A (figure A.3).</w:t>
      </w:r>
    </w:p>
    <w:p w14:paraId="70B615C4" w14:textId="77777777" w:rsidR="005911B7" w:rsidRDefault="008D5C06" w:rsidP="007B1E7D">
      <w:r>
        <w:t>Les feedbacks saisis par les managers sont centralisés ici, avec une étape de validation par le RH avant transmission au candidat.</w:t>
      </w:r>
      <w:r>
        <w:t xml:space="preserve"> Sa capture est reprise en annexe A (figure A.4).</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 xml:space="preserve">Figure 4.5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 xml:space="preserve">Figure 4.6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r>
        <w:t xml:space="preserve"> Sa capture est reprise en annexe A (figure A.5).</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 xml:space="preserve">Figure 4.7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Sa capture est reprise en annexe A (figure A.6).</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4.8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 xml:space="preserve">Figure 4.9 : Analyse détaillée d’une candidature par intelligence artificielle</w:t>
      </w:r>
    </w:p>
    <w:p w14:paraId="2F6820D7" w14:textId="77777777" w:rsidR="00730833" w:rsidRDefault="00AF2881">
      <w:r>
        <w:t xml:space="preserve">Au-delà du score global visible en liste (Figure 4.3),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952C15B" w14:textId="77777777" w:rsidR="00730833" w:rsidRDefault="00AF2881">
      <w:r>
        <w:t xml:space="preserve">Un manager ne voit que les candidatures relevant de son périmètre (département, ou à défaut famille de métier — voir ManagerRoutingService, section 3.5.4), à partir de leur entrée en évaluation technique (statut TECHNICAL_TEST), et non dès la validation du CV par le RH. Cette vue cloisonnée est distincte de la liste globale accessible au RH et à l’administrateur (Figure 4.3).</w:t>
      </w:r>
      <w:r>
        <w:t xml:space="preserve"> Sa capture est reprise en annexe A (figure A.7).</w:t>
      </w:r>
    </w:p>
    <w:p w14:paraId="2952C15B" w14:textId="77777777" w:rsidR="00730833" w:rsidRDefault="00AF2881">
      <w:r>
        <w:t>Le manager dispose en outre d’une page « Mon calendrier » qui centralise ses propres entretiens : prochaine session, lien de visioconférence, répartition par statut et vue mensuelle, avec un rappel automatique planifié deux heures avant chaque entretien dont il est intervieweur. La liste reste filtrée côté serveur selon son département, sa famille de métier ou son affectation, de sorte qu’aucun dossier hors de son périmètre ne peut y apparaître.</w:t>
      </w:r>
    </w:p>
    <w:p w14:paraId="234F2466" w14:textId="3397CEB3" w:rsidR="00730833" w:rsidRDefault="00CA1A9F">
      <w:pPr>
        <w:keepNext/>
        <w:jc w:val="center"/>
      </w:pPr>
      <w:r>
        <w:rPr>
          <w:noProof/>
        </w:rPr>
        <w:pict w14:anchorId="1ABB31E4">
          <v:shape id="Picture 17" o:spid="_x0000_i1060" type="#_x0000_t75" style="visibility:visible;mso-wrap-style:square;width:425.0pt;height:295.4pt">
            <v:imagedata r:id="rId902" o:title=""/>
          </v:shape>
        </w:pict>
      </w:r>
    </w:p>
    <w:p w14:paraId="213F627D" w14:textId="77777777" w:rsidR="00730833" w:rsidRDefault="00AF2881">
      <w:pPr>
        <w:jc w:val="center"/>
        <w:rPr>
          <w:i/>
          <w:sz w:val="21"/>
        </w:rPr>
      </w:pPr>
      <w:r>
        <w:rPr>
          <w:i/>
          <w:sz w:val="21"/>
        </w:rPr>
        <w:t xml:space="preserve">Figure 4.10 : Espace Manager — page « Mon calendrier », entretiens et rappels</w:t>
      </w:r>
    </w:p>
    <w:p w14:paraId="2952C15B" w14:textId="77777777" w:rsidR="00730833" w:rsidRDefault="00AF2881">
      <w:r>
        <w:t xml:space="preserve">Au-delà des interfaces de la plateforme, la chaîne d’automatisation a été vérifiée dans la console n8n elle-même. La figure A.8, en annexe,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952C15B" w14:textId="77777777" w:rsidR="00730833" w:rsidRDefault="00AF2881">
      <w:r>
        <w:t xml:space="preserve">Le détail de l’Agent 1 (figure A.9, en annexe)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952C15B" w14:textId="77777777" w:rsidR="00730833" w:rsidRDefault="00AF2881">
      <w:r>
        <w:t xml:space="preserve">Côté candidat, la notification produite par ce flux arrive bien dans sa boîte de réception (figure A.10, en annexe) : accusé de réception nominatif pour le poste visé, score d’analyse IA obtenu et horodatage du traitement, avec la mention d’envoi automatique par n8n.</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12 classes de test pour un total de 121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bl>
    <w:p w14:paraId="18E2834B" w14:textId="77777777" w:rsidR="005911B7" w:rsidRDefault="008D5C06" w:rsidP="007B1E7D">
      <w:r>
        <w:t xml:space="preserve">Ce tableau atteste de l’exécution des vingt scénarios listés, tous concluants ; il ne constitue pas pour autant une garantie globale de qualité. Des cas nominaux et des cas d’erreur qui réussissent ne prouvent pas l’absence de défauts sur les chemins non exercés, et ne disent rien du comportement de la plateforme sous charge. Ces tests vérifient des fonctionnalités et des règles d’accès : ils ne mesurent pas la pertinence du scoring IA, qui fait l’objet de la section 4.4.5. Aucun test de charge n’a mesuré les exigences non fonctionnelles de temps de réponse fixées en section 2.2.3 (moins de 500 ms en lecture, moins de 2 s en écriture) : elles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et/ou aux parties prenantes internes. Le fractionnement de la décision en deux niveaux, et les erreurs renvoyées quand un manager tente de trancher seul, sont en outre figés par des tests unitaires côté back-end (classe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4.9)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A.5).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40 s puis 80 s ; le plafond théorique de 300 s n’est jamais atteint avec cinq relances), soit au plus 6 tentatives au total, ce qui évite de perdre un événement sans pour autant bloquer la requête initiale.</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keepNext/>
              <w:rPr>
                <w:b/>
                <w:sz w:val="21"/>
              </w:rPr>
            </w:pPr>
            <w:r>
              <w:rPr>
                <w:b/>
                <w:sz w:val="21"/>
              </w:rPr>
              <w:t>Fonctionnalité</w:t>
            </w:r>
          </w:p>
        </w:tc>
        <w:tc>
          <w:tcPr>
            <w:tcW w:w="817" w:type="pct"/>
            <w:shd w:val="clear" w:color="auto" w:fill="D9D9D9"/>
          </w:tcPr>
          <w:p w14:paraId="00CC2BD2" w14:textId="77777777" w:rsidR="005911B7" w:rsidRPr="007B1E7D" w:rsidRDefault="005911B7" w:rsidP="007B1E7D">
            <w:pPr>
              <w:keepNext/>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keepNext/>
              <w:rPr>
                <w:sz w:val="21"/>
              </w:rPr>
            </w:pPr>
            <w:r>
              <w:rPr>
                <w:sz w:val="21"/>
              </w:rPr>
              <w:t>Authentification et gestion des rôles (JWT, RBAC)</w:t>
            </w:r>
          </w:p>
        </w:tc>
        <w:tc>
          <w:tcPr>
            <w:tcW w:w="817" w:type="pct"/>
          </w:tcPr>
          <w:p w14:paraId="55B95671" w14:textId="77777777" w:rsidR="005911B7" w:rsidRPr="007B1E7D" w:rsidRDefault="005911B7" w:rsidP="007B1E7D">
            <w:pPr>
              <w:keepNext/>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keepNext/>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keepNext/>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keepNext/>
              <w:rPr>
                <w:sz w:val="21"/>
              </w:rPr>
            </w:pPr>
            <w:r>
              <w:rPr>
                <w:sz w:val="21"/>
              </w:rPr>
              <w:t>Gestion des candidatures et des CV</w:t>
            </w:r>
          </w:p>
        </w:tc>
        <w:tc>
          <w:tcPr>
            <w:tcW w:w="817" w:type="pct"/>
          </w:tcPr>
          <w:p w14:paraId="687F858E" w14:textId="77777777" w:rsidR="005911B7" w:rsidRPr="007B1E7D" w:rsidRDefault="005911B7" w:rsidP="007B1E7D">
            <w:pPr>
              <w:keepNext/>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keepNext/>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keepNext/>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keepNext/>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keepNext/>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keepNext/>
              <w:rPr>
                <w:sz w:val="21"/>
              </w:rPr>
            </w:pPr>
            <w:r>
              <w:rPr>
                <w:sz w:val="21"/>
              </w:rPr>
              <w:t>Gestion des feedbacks (saisie, validation RH)</w:t>
            </w:r>
          </w:p>
        </w:tc>
        <w:tc>
          <w:tcPr>
            <w:tcW w:w="817" w:type="pct"/>
          </w:tcPr>
          <w:p w14:paraId="47DFED35" w14:textId="77777777" w:rsidR="005911B7" w:rsidRPr="007B1E7D" w:rsidRDefault="005911B7" w:rsidP="007B1E7D">
            <w:pPr>
              <w:keepNext/>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keepNext/>
              <w:rPr>
                <w:sz w:val="21"/>
              </w:rPr>
            </w:pPr>
            <w:r>
              <w:rPr>
                <w:sz w:val="21"/>
              </w:rPr>
              <w:t xml:space="preserve">Routage automatique RH → manager par département (isolation stricte, repli famille de métier)</w:t>
            </w:r>
          </w:p>
        </w:tc>
        <w:tc>
          <w:tcPr>
            <w:tcW w:w="817" w:type="pct"/>
          </w:tcPr>
          <w:p w14:paraId="121300FF" w14:textId="77777777" w:rsidR="005911B7" w:rsidRPr="007B1E7D" w:rsidRDefault="005911B7" w:rsidP="007B1E7D">
            <w:pPr>
              <w:keepNext/>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keepNext/>
              <w:rPr>
                <w:sz w:val="21"/>
              </w:rPr>
            </w:pPr>
            <w:r>
              <w:rPr>
                <w:sz w:val="21"/>
              </w:rPr>
              <w:t>Notifications automatiques par e-mail (agents n8n)</w:t>
            </w:r>
          </w:p>
        </w:tc>
        <w:tc>
          <w:tcPr>
            <w:tcW w:w="817" w:type="pct"/>
          </w:tcPr>
          <w:p w14:paraId="3E627415" w14:textId="77777777" w:rsidR="005911B7" w:rsidRPr="007B1E7D" w:rsidRDefault="005911B7" w:rsidP="007B1E7D">
            <w:pPr>
              <w:keepNext/>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keepNext/>
              <w:rPr>
                <w:sz w:val="21"/>
              </w:rPr>
            </w:pPr>
            <w:r>
              <w:rPr>
                <w:sz w:val="21"/>
              </w:rPr>
              <w:t>Tableau de bord et pipeline de recrutement (Kanban)</w:t>
            </w:r>
          </w:p>
        </w:tc>
        <w:tc>
          <w:tcPr>
            <w:tcW w:w="817" w:type="pct"/>
          </w:tcPr>
          <w:p w14:paraId="7AD7F3A9" w14:textId="77777777" w:rsidR="005911B7" w:rsidRPr="007B1E7D" w:rsidRDefault="005911B7" w:rsidP="007B1E7D">
            <w:pPr>
              <w:keepNext/>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keepNext/>
              <w:rPr>
                <w:sz w:val="21"/>
              </w:rPr>
            </w:pPr>
            <w:r>
              <w:rPr>
                <w:sz w:val="21"/>
              </w:rPr>
              <w:t>Journal d’audit (traçabilité des actions)</w:t>
            </w:r>
          </w:p>
        </w:tc>
        <w:tc>
          <w:tcPr>
            <w:tcW w:w="817" w:type="pct"/>
          </w:tcPr>
          <w:p w14:paraId="00B702B8" w14:textId="77777777" w:rsidR="005911B7" w:rsidRPr="007B1E7D" w:rsidRDefault="005911B7" w:rsidP="007B1E7D">
            <w:pPr>
              <w:keepNext/>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keepNext/>
              <w:rPr>
                <w:sz w:val="21"/>
              </w:rPr>
            </w:pPr>
            <w:r>
              <w:rPr>
                <w:sz w:val="21"/>
              </w:rPr>
              <w:t xml:space="preserve">Matching « Job idéal » (suggestion d’offres à partir d’un CV)</w:t>
            </w:r>
          </w:p>
        </w:tc>
        <w:tc>
          <w:tcPr>
            <w:tcW w:w="817" w:type="pct"/>
          </w:tcPr>
          <w:p w14:paraId="2FFE87F4" w14:textId="77777777" w:rsidR="008A4E34" w:rsidRDefault="008A4E34" w:rsidP="007B1E7D">
            <w:pPr>
              <w:keepNext/>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keepNext/>
              <w:rPr>
                <w:sz w:val="21"/>
              </w:rPr>
            </w:pPr>
            <w:r>
              <w:rPr>
                <w:sz w:val="21"/>
              </w:rPr>
              <w:t>Entretien téléphonique RH obligatoire avant acceptation</w:t>
            </w:r>
          </w:p>
        </w:tc>
        <w:tc>
          <w:tcPr>
            <w:tcW w:w="817" w:type="pct"/>
          </w:tcPr>
          <w:p w14:paraId="5F7B83FD" w14:textId="77777777" w:rsidR="000F1AFA" w:rsidRDefault="000F1AFA" w:rsidP="007B1E7D">
            <w:pPr>
              <w:keepNext/>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keepNext/>
              <w:rPr>
                <w:sz w:val="21"/>
              </w:rPr>
            </w:pPr>
            <w:r>
              <w:rPr>
                <w:sz w:val="21"/>
              </w:rPr>
              <w:t>Calendrier manager dédié (lecture seule, cloisonné par périmètre)</w:t>
            </w:r>
          </w:p>
        </w:tc>
        <w:tc>
          <w:tcPr>
            <w:tcW w:w="817" w:type="pct"/>
          </w:tcPr>
          <w:p w14:paraId="63C3ED08" w14:textId="77777777" w:rsidR="000F1AFA" w:rsidRDefault="000F1AFA" w:rsidP="007B1E7D">
            <w:pPr>
              <w:keepNext/>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keepNext/>
              <w:rPr>
                <w:sz w:val="21"/>
              </w:rPr>
            </w:pPr>
            <w:r>
              <w:rPr>
                <w:sz w:val="21"/>
              </w:rPr>
              <w:t>Retrait de candidature en libre-service par le candidat</w:t>
            </w:r>
          </w:p>
        </w:tc>
        <w:tc>
          <w:tcPr>
            <w:tcW w:w="817" w:type="pct"/>
          </w:tcPr>
          <w:p w14:paraId="3CE2F2E7" w14:textId="77777777" w:rsidR="000F1AFA" w:rsidRDefault="000F1AFA" w:rsidP="007B1E7D">
            <w:pPr>
              <w:keepNext/>
              <w:rPr>
                <w:sz w:val="21"/>
              </w:rPr>
            </w:pPr>
            <w:r>
              <w:rPr>
                <w:sz w:val="21"/>
              </w:rPr>
              <w:t>Réalisée</w:t>
            </w:r>
          </w:p>
        </w:tc>
      </w:tr>
      <w:tr w:rsidR="00CE421D" w14:paraId="2B1407EA" w14:textId="77777777">
        <w:trPr>
          <w:cantSplit/>
        </w:trPr>
        <w:tc>
          <w:tcPr>
            <w:tcW w:w="4183" w:type="pct"/>
          </w:tcPr>
          <w:p w14:paraId="6C90A7D0" w14:textId="77777777" w:rsidR="00CE421D" w:rsidRDefault="00450284">
            <w:pPr>
              <w:keepNext/>
            </w:pPr>
            <w:r>
              <w:t>Assistant conversationnel candidat (chatbot IA via OpenRouter, connaissance des candidatures réelles et de la plateforme)</w:t>
            </w:r>
          </w:p>
        </w:tc>
        <w:tc>
          <w:tcPr>
            <w:tcW w:w="817" w:type="pct"/>
          </w:tcPr>
          <w:p w14:paraId="0482DAE4" w14:textId="77777777" w:rsidR="00CE421D" w:rsidRDefault="00450284">
            <w:pPr>
              <w:keepNext/>
            </w:pPr>
            <w:r>
              <w:t>Réalisée</w:t>
            </w:r>
          </w:p>
        </w:tc>
      </w:tr>
      <w:tr w:rsidR="00CE421D" w14:paraId="2B1407EA" w14:textId="77777777">
        <w:trPr>
          <w:cantSplit/>
        </w:trPr>
        <w:tc>
          <w:tcPr>
            <w:tcW w:w="4183" w:type="pct"/>
          </w:tcPr>
          <w:p w14:paraId="6C90A7D0" w14:textId="77777777" w:rsidR="00CE421D" w:rsidRDefault="00450284">
            <w:pPr>
              <w:keepNext/>
            </w:pPr>
            <w:r>
              <w:t xml:space="preserve">Évaluation du matching sur un Gold Set de seize CVs annotés</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pPr>
              <w:keepNext/>
            </w:pPr>
            <w:r>
              <w:t xml:space="preserve">Human-in-the-Loop : signalement des dossiers à arbitrer (needsHumanReview)</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121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r>
        <w:t xml:space="preserve">Annexe A — Captures d’écran complémentaires</w:t>
      </w:r>
    </w:p>
    <w:p w14:paraId="30A5B2DD" w14:textId="77777777" w:rsidR="005911B7" w:rsidRDefault="008D5C06" w:rsidP="007B1E7D">
      <w:pPr/>
      <w:r>
        <w:t xml:space="preserve">Cette annexe regroupe dix captures complémentaires de la plateforme, citées dans le chapitre 4 mais non reproduites dans le corps du rapport afin d’en préserver la lisibilité. Comme les figures du corps, elles proviennent de l’application en fonctionnement.</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 xml:space="preserve">Figure A.1 : Page de connexion</w:t>
      </w:r>
    </w:p>
    <w:p w14:paraId="20B08E4E" w14:textId="77777777" w:rsidR="005911B7" w:rsidRDefault="00CA1A9F" w:rsidP="007B1E7D">
      <w:pPr>
        <w:keepNext/>
        <w:jc w:val="center"/>
      </w:pPr>
      <w:r>
        <w:rPr>
          <w:noProof/>
        </w:rPr>
        <w:pict w14:anchorId="0B44AC1E">
          <v:shape id="Image 17" o:spid="_x0000_i1044" type="#_x0000_t75" style="visibility:visible;mso-wrap-style:square;width:425.0pt;height:452.2pt">
            <v:imagedata r:id="rId30" o:title=""/>
          </v:shape>
        </w:pict>
      </w:r>
    </w:p>
    <w:p w14:paraId="3050056D" w14:textId="77777777" w:rsidR="005911B7" w:rsidRDefault="005911B7" w:rsidP="007B1E7D">
      <w:pPr>
        <w:jc w:val="center"/>
        <w:rPr>
          <w:i/>
          <w:sz w:val="21"/>
        </w:rPr>
      </w:pPr>
      <w:r>
        <w:rPr>
          <w:i/>
          <w:sz w:val="21"/>
        </w:rPr>
        <w:t xml:space="preserve">Figure A.2 : Modification d’un dossier candidat</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 xml:space="preserve">Figure A.3 : Gestion des entretiens</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 xml:space="preserve">Figure A.4 : Gestion des feedbacks</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 xml:space="preserve">Figure A.5 : Journal d’audit</w:t>
      </w:r>
    </w:p>
    <w:p w14:paraId="609C1A12" w14:textId="7262CE25" w:rsidR="00C90533" w:rsidRDefault="00CA1A9F">
      <w:pPr>
        <w:keepNext/>
        <w:jc w:val="center"/>
      </w:pPr>
      <w:r>
        <w:rPr>
          <w:noProof/>
        </w:rPr>
        <w:pict w14:anchorId="65301F00">
          <v:shape id="Picture 8" o:spid="_x0000_i1051" type="#_x0000_t75" style="visibility:visible;mso-wrap-style:square;width:384.9pt;height:390.0pt">
            <v:imagedata r:id="rId37" o:title=""/>
          </v:shape>
        </w:pict>
      </w:r>
    </w:p>
    <w:p w14:paraId="438164E7" w14:textId="77777777" w:rsidR="00730833" w:rsidRDefault="00AF2881">
      <w:pPr>
        <w:sectPr w:rsidR="00161C39" w:rsidRPr="00443232" w:rsidSect="005911B7">
          <w:type w:val="nextPage"/>
          <w:pgSz w:w="11906" w:h="16838"/>
          <w:pgMar w:top="1420" w:right="1140" w:bottom="1420" w:left="1700" w:header="708" w:footer="708" w:gutter="0"/>
          <w:cols w:space="708"/>
          <w:docGrid w:linePitch="360"/>
        </w:sectPr>
        <w:jc w:val="center"/>
        <w:rPr>
          <w:i/>
          <w:sz w:val="21"/>
        </w:rPr>
      </w:pPr>
      <w:r>
        <w:rPr>
          <w:i/>
          <w:sz w:val="21"/>
        </w:rPr>
        <w:t xml:space="preserve">Figure A.6 : Soumission d’une candidature avec dépôt de CV</w:t>
      </w:r>
    </w:p>
    <w:p w14:paraId="234F2466" w14:textId="3397CEB3" w:rsidR="00730833" w:rsidRDefault="00CA1A9F">
      <w:pPr>
        <w:keepNext/>
        <w:jc w:val="center"/>
      </w:pPr>
      <w:r>
        <w:rPr>
          <w:noProof/>
        </w:rPr>
        <w:pict w14:anchorId="1ABB31E4">
          <v:shape id="Picture 7" o:spid="_x0000_i1054" type="#_x0000_t75" style="visibility:visible;mso-wrap-style:square;width:700.0pt;height:389.9pt">
            <v:imagedata r:id="rId40" o:title=""/>
          </v:shape>
        </w:pict>
      </w:r>
    </w:p>
    <w:p w14:paraId="213F627D" w14:textId="77777777" w:rsidR="00730833" w:rsidRDefault="00AF2881">
      <w:pPr>
        <w:sectPr w:rsidR="00161C39" w:rsidRPr="00443232" w:rsidSect="005911B7">
          <w:type w:val="nextPage"/>
          <w:pgSz w:w="16838" w:h="11906" w:orient="landscape"/>
          <w:pgMar w:top="1420" w:right="1140" w:bottom="1420" w:left="1140" w:header="708" w:footer="708" w:gutter="0"/>
          <w:cols w:space="708"/>
          <w:docGrid w:linePitch="360"/>
        </w:sectPr>
        <w:jc w:val="center"/>
        <w:rPr>
          <w:i/>
          <w:sz w:val="21"/>
        </w:rPr>
      </w:pPr>
      <w:r>
        <w:rPr>
          <w:i/>
          <w:sz w:val="21"/>
        </w:rPr>
        <w:t xml:space="preserve">Figure A.7 : Espace Manager — candidatures relevant du périmètre du manager</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A.8 : Console n8n — les trois flux d’automatisation publiés et leurs statistiques</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A.9 : Flux n8n de l’Agent 1 — webhook de candidature, appel du scoring Cohere puis e-mail au candidat</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 xml:space="preserve">Figure A.10 : E-mail automatique de confirmation de candidature reçu par le candidat</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