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28</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30</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36</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36</w:t>
      </w:r>
    </w:p>
    <w:p w:rsidR="000422CF" w:rsidRDefault="000422CF">
      <w:pPr>
        <w:pStyle w:val="TM3"/>
        <w:tabs>
          <w:tab w:val="right" w:leader="dot" w:pos="9066"/>
        </w:tabs>
        <w:rPr>
          <w:rFonts w:ascii="Aptos" w:eastAsia="Times New Roman" w:hAnsi="Aptos"/>
          <w:noProof/>
          <w:lang w:eastAsia="fr-FR"/>
        </w:rPr>
      </w:pPr>
      <w:r>
        <w:t xml:space="preserve">3.5.1 Planifier un entretien</w:t>
        <w:tab/>
        <w:t>37</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38</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39</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40</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41</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43</w:t>
      </w:r>
    </w:p>
    <w:p w:rsidR="000422CF" w:rsidRDefault="000422CF">
      <w:pPr>
        <w:pStyle w:val="TM2"/>
        <w:tabs>
          <w:tab w:val="right" w:leader="dot" w:pos="9066"/>
        </w:tabs>
        <w:rPr>
          <w:rFonts w:ascii="Aptos" w:eastAsia="Times New Roman" w:hAnsi="Aptos"/>
          <w:noProof/>
          <w:lang w:eastAsia="fr-FR"/>
        </w:rPr>
      </w:pPr>
      <w:r>
        <w:t xml:space="preserve">3.8 Diagramme de composants</w:t>
        <w:tab/>
        <w:t>45</w:t>
      </w:r>
    </w:p>
    <w:p w:rsidR="000422CF" w:rsidRDefault="000422CF">
      <w:pPr>
        <w:pStyle w:val="TM2"/>
        <w:tabs>
          <w:tab w:val="right" w:leader="dot" w:pos="9066"/>
        </w:tabs>
        <w:rPr>
          <w:rFonts w:ascii="Aptos" w:eastAsia="Times New Roman" w:hAnsi="Aptos"/>
          <w:noProof/>
          <w:lang w:eastAsia="fr-FR"/>
        </w:rPr>
      </w:pPr>
      <w:r>
        <w:t xml:space="preserve">3.9 Diagramme de déploiement</w:t>
        <w:tab/>
        <w:t>46</w:t>
      </w:r>
    </w:p>
    <w:p w:rsidR="000422CF" w:rsidRDefault="000422CF">
      <w:pPr>
        <w:pStyle w:val="TM2"/>
        <w:tabs>
          <w:tab w:val="right" w:leader="dot" w:pos="9066"/>
        </w:tabs>
        <w:rPr>
          <w:rFonts w:ascii="Aptos" w:eastAsia="Times New Roman" w:hAnsi="Aptos"/>
          <w:noProof/>
          <w:lang w:eastAsia="fr-FR"/>
        </w:rPr>
      </w:pPr>
      <w:r>
        <w:t xml:space="preserve">3.10 Conclusion</w:t>
        <w:tab/>
        <w:t>46</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47</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47</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47</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47</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47</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48</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48</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48</w:t>
      </w:r>
    </w:p>
    <w:p w14:paraId="79B3FD09" w14:textId="77FE9BCD" w:rsidR="000422CF" w:rsidRDefault="000422CF">
      <w:pPr>
        <w:pStyle w:val="TM2"/>
        <w:tabs>
          <w:tab w:val="right" w:leader="dot" w:pos="9066"/>
        </w:tabs>
        <w:rPr>
          <w:rFonts w:ascii="Aptos" w:eastAsia="Times New Roman" w:hAnsi="Aptos"/>
          <w:noProof/>
          <w:lang w:eastAsia="fr-FR"/>
        </w:rPr>
      </w:pPr>
      <w:r>
        <w:t>4.4 Tests</w:t>
        <w:tab/>
        <w:t>56</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56</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56</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58</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58</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58</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60</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60</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60</w:t>
      </w:r>
    </w:p>
    <w:p w14:paraId="4C766FE2" w14:textId="4D99A644" w:rsidR="000422CF" w:rsidRDefault="000422CF">
      <w:pPr>
        <w:pStyle w:val="TM3"/>
        <w:tabs>
          <w:tab w:val="right" w:leader="dot" w:pos="9066"/>
        </w:tabs>
        <w:rPr>
          <w:rFonts w:ascii="Aptos" w:eastAsia="Times New Roman" w:hAnsi="Aptos"/>
          <w:noProof/>
          <w:lang w:eastAsia="fr-FR"/>
        </w:rPr>
      </w:pPr>
      <w:r>
        <w:t>4.5.2 Distinguer un rejet RH d’un rejet manager</w:t>
        <w:tab/>
        <w:t>61</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61</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61</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61</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62</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62</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62</w:t>
      </w:r>
    </w:p>
    <w:p w14:paraId="44459885" w14:textId="52E93975" w:rsidR="000422CF" w:rsidRDefault="000422CF">
      <w:pPr>
        <w:pStyle w:val="TM3"/>
        <w:tabs>
          <w:tab w:val="right" w:leader="dot" w:pos="9066"/>
        </w:tabs>
        <w:rPr>
          <w:rFonts w:ascii="Aptos" w:eastAsia="Times New Roman" w:hAnsi="Aptos"/>
          <w:noProof/>
          <w:lang w:eastAsia="fr-FR"/>
        </w:rPr>
      </w:pPr>
      <w:r>
        <w:t>4.5.9 Découplage entre planification d’entretien et statut du candidat</w:t>
        <w:tab/>
        <w:t>62</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63</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63</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63</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65</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65</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66</w:t>
      </w:r>
    </w:p>
    <w:p w14:paraId="784B7B78" w14:textId="354FE582" w:rsidR="000422CF" w:rsidRDefault="000422CF">
      <w:pPr>
        <w:pStyle w:val="TM1"/>
        <w:tabs>
          <w:tab w:val="right" w:leader="dot" w:pos="9066"/>
        </w:tabs>
        <w:rPr>
          <w:rFonts w:ascii="Aptos" w:eastAsia="Times New Roman" w:hAnsi="Aptos"/>
          <w:noProof/>
          <w:lang w:eastAsia="fr-FR"/>
        </w:rPr>
      </w:pPr>
      <w:r>
        <w:t>Annexe A — Captures d’écran complémentaires</w:t>
        <w:tab/>
        <w:t>68</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75</w:t>
      </w:r>
    </w:p>
    <w:p w14:paraId="02CC94FF" w14:textId="73A2BE14" w:rsidR="000422CF" w:rsidRDefault="000422CF">
      <w:pPr>
        <w:pStyle w:val="TM1"/>
        <w:tabs>
          <w:tab w:val="right" w:leader="dot" w:pos="9066"/>
        </w:tabs>
        <w:rPr>
          <w:rFonts w:ascii="Aptos" w:eastAsia="Times New Roman" w:hAnsi="Aptos"/>
          <w:noProof/>
          <w:lang w:eastAsia="fr-FR"/>
        </w:rPr>
      </w:pPr>
      <w:r>
        <w:t>Glossaire</w:t>
        <w:tab/>
        <w:t>77</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 xml:space="preserve">Figure 3.2 : Diagramme de classes — vue globale du domaine métier</w:t>
        <w:tab/>
        <w:t>33</w:t>
      </w:r>
    </w:p>
    <w:p w:rsidR="005911B7" w:rsidRDefault="005911B7" w:rsidP="007B1E7D">
      <w:pPr>
        <w:keepNext/>
        <w:tabs>
          <w:tab w:val="right" w:leader="dot" w:pos="9066"/>
        </w:tabs>
      </w:pPr>
      <w:r>
        <w:t xml:space="preserve">Figure 3.2a : Diagramme de classes — modèle recrutement</w:t>
        <w:tab/>
        <w:t>34</w:t>
      </w:r>
    </w:p>
    <w:p w:rsidR="005911B7" w:rsidRDefault="005911B7" w:rsidP="007B1E7D">
      <w:pPr>
        <w:keepNext/>
        <w:tabs>
          <w:tab w:val="right" w:leader="dot" w:pos="9066"/>
        </w:tabs>
      </w:pPr>
      <w:r>
        <w:t xml:space="preserve">Figure 3.2b : Diagramme de classes — utilisateurs et sécurité</w:t>
        <w:tab/>
        <w:t>35</w:t>
      </w:r>
    </w:p>
    <w:p w:rsidR="005911B7" w:rsidRDefault="005911B7" w:rsidP="007B1E7D">
      <w:pPr>
        <w:keepNext/>
        <w:tabs>
          <w:tab w:val="right" w:leader="dot" w:pos="9066"/>
        </w:tabs>
      </w:pPr>
      <w:r>
        <w:t xml:space="preserve">Figure 3.3 : Diagramme de séquence technique — Soumission asynchrone et scoring IA</w:t>
        <w:tab/>
        <w:t>36</w:t>
      </w:r>
    </w:p>
    <w:p w:rsidR="005911B7" w:rsidRDefault="005911B7" w:rsidP="007B1E7D">
      <w:pPr>
        <w:keepNext/>
        <w:tabs>
          <w:tab w:val="right" w:leader="dot" w:pos="9066"/>
        </w:tabs>
      </w:pPr>
      <w:r>
        <w:t xml:space="preserve">Figure 3.4 : Diagramme de séquence objet — Planifier un entretien</w:t>
        <w:tab/>
        <w:t>37</w:t>
      </w:r>
    </w:p>
    <w:p w:rsidR="005911B7" w:rsidRDefault="005911B7" w:rsidP="007B1E7D">
      <w:pPr>
        <w:keepNext/>
        <w:tabs>
          <w:tab w:val="right" w:leader="dot" w:pos="9066"/>
        </w:tabs>
      </w:pPr>
      <w:r>
        <w:t xml:space="preserve">Figure 3.5 : Diagramme de séquence objet — Décision finale de recrutement</w:t>
        <w:tab/>
        <w:t>38</w:t>
      </w:r>
    </w:p>
    <w:p w:rsidR="005911B7" w:rsidRDefault="005911B7" w:rsidP="007B1E7D">
      <w:pPr>
        <w:keepNext/>
        <w:tabs>
          <w:tab w:val="right" w:leader="dot" w:pos="9066"/>
        </w:tabs>
      </w:pPr>
      <w:r>
        <w:t xml:space="preserve">Figure 3.6 : Diagramme de séquence objet — Analyse IA du CV</w:t>
        <w:tab/>
        <w:t>39</w:t>
      </w:r>
    </w:p>
    <w:p w:rsidR="005911B7" w:rsidRDefault="005911B7" w:rsidP="007B1E7D">
      <w:pPr>
        <w:keepNext/>
        <w:tabs>
          <w:tab w:val="right" w:leader="dot" w:pos="9066"/>
        </w:tabs>
      </w:pPr>
      <w:r>
        <w:t xml:space="preserve">Figure 3.7 : Diagramme de séquence objet — Routage et notification des managers</w:t>
        <w:tab/>
        <w:t>40</w:t>
      </w:r>
    </w:p>
    <w:p w:rsidR="005911B7" w:rsidRDefault="005911B7" w:rsidP="007B1E7D">
      <w:pPr>
        <w:keepNext/>
        <w:tabs>
          <w:tab w:val="right" w:leader="dot" w:pos="9066"/>
        </w:tabs>
      </w:pPr>
      <w:r>
        <w:t xml:space="preserve">Figure 3.8 : Diagramme d’états du cycle de vie d’une candidature</w:t>
        <w:tab/>
        <w:t>41</w:t>
      </w:r>
    </w:p>
    <w:p w:rsidR="005911B7" w:rsidRDefault="005911B7" w:rsidP="007B1E7D">
      <w:pPr>
        <w:keepNext/>
        <w:tabs>
          <w:tab w:val="right" w:leader="dot" w:pos="9066"/>
        </w:tabs>
      </w:pPr>
      <w:r>
        <w:t xml:space="preserve">Figure 3.9 : Schéma relationnel de la base de données PostgreSQL</w:t>
        <w:tab/>
        <w:t>44</w:t>
      </w:r>
    </w:p>
    <w:p w:rsidR="005911B7" w:rsidRDefault="005911B7" w:rsidP="007B1E7D">
      <w:pPr>
        <w:keepNext/>
        <w:tabs>
          <w:tab w:val="right" w:leader="dot" w:pos="9066"/>
        </w:tabs>
      </w:pPr>
      <w:r>
        <w:t xml:space="preserve">Figure 3.10 : Diagramme de composants de la plateforme JOB4YOU</w:t>
        <w:tab/>
        <w:t>45</w:t>
      </w:r>
    </w:p>
    <w:p w:rsidR="005911B7" w:rsidRDefault="005911B7" w:rsidP="007B1E7D">
      <w:pPr>
        <w:keepNext/>
        <w:tabs>
          <w:tab w:val="right" w:leader="dot" w:pos="9066"/>
        </w:tabs>
      </w:pPr>
      <w:r>
        <w:t xml:space="preserve">Figure 3.11 : Diagramme de déploiement de la plateforme JOB4YOU</w:t>
        <w:tab/>
        <w:t>46</w:t>
      </w:r>
    </w:p>
    <w:p w14:paraId="50335382" w14:textId="54EF0CDD" w:rsidR="005911B7" w:rsidRDefault="005911B7" w:rsidP="007B1E7D">
      <w:pPr>
        <w:tabs>
          <w:tab w:val="right" w:leader="dot" w:pos="9066"/>
        </w:tabs>
      </w:pPr>
      <w:r>
        <w:t xml:space="preserve">Figure 4.1 : Page d’accueil publique — recherche d’offres d’emploi</w:t>
        <w:tab/>
        <w:t>48</w:t>
      </w:r>
    </w:p>
    <w:p w14:paraId="0AFF955C" w14:textId="72F5DA5C" w:rsidR="005911B7" w:rsidRDefault="005911B7" w:rsidP="007B1E7D">
      <w:pPr>
        <w:tabs>
          <w:tab w:val="right" w:leader="dot" w:pos="9066"/>
        </w:tabs>
      </w:pPr>
      <w:r>
        <w:t xml:space="preserve">Figure 4.2 : Gestion des offres d’emploi (espace RH)</w:t>
        <w:tab/>
        <w:t>49</w:t>
      </w:r>
    </w:p>
    <w:p w14:paraId="0A11B2F5" w14:textId="59AA0FB2" w:rsidR="005911B7" w:rsidRDefault="005911B7" w:rsidP="007B1E7D">
      <w:pPr>
        <w:tabs>
          <w:tab w:val="right" w:leader="dot" w:pos="9066"/>
        </w:tabs>
      </w:pPr>
      <w:r>
        <w:t xml:space="preserve">Figure 4.3 : Gestion des candidats — vue liste avec score IA</w:t>
        <w:tab/>
        <w:t>49</w:t>
      </w:r>
    </w:p>
    <w:p w14:paraId="17208FBD" w14:textId="3121B3AD" w:rsidR="005911B7" w:rsidRDefault="005911B7" w:rsidP="007B1E7D">
      <w:pPr>
        <w:tabs>
          <w:tab w:val="right" w:leader="dot" w:pos="9066"/>
        </w:tabs>
      </w:pPr>
      <w:r>
        <w:t xml:space="preserve">Figure 4.4 : Tableau Kanban du pipeline de recrutement</w:t>
        <w:tab/>
        <w:t>50</w:t>
      </w:r>
    </w:p>
    <w:p w14:paraId="50337BA5" w14:textId="5EADD626" w:rsidR="005911B7" w:rsidRDefault="005911B7" w:rsidP="007B1E7D">
      <w:pPr>
        <w:tabs>
          <w:tab w:val="right" w:leader="dot" w:pos="9066"/>
        </w:tabs>
      </w:pPr>
      <w:r>
        <w:t xml:space="preserve">Figure 4.5 : Gestion des utilisateurs et des rôles (espace Administrateur)</w:t>
        <w:tab/>
        <w:t>51</w:t>
      </w:r>
    </w:p>
    <w:p w14:paraId="621B3F2F" w14:textId="0A2FC2E9" w:rsidR="005911B7" w:rsidRDefault="005911B7" w:rsidP="007B1E7D">
      <w:pPr>
        <w:tabs>
          <w:tab w:val="right" w:leader="dot" w:pos="9066"/>
        </w:tabs>
      </w:pPr>
      <w:r>
        <w:t xml:space="preserve">Figure 4.6 : Paramétrage du scoring IA par famille de métier</w:t>
        <w:tab/>
        <w:t>51</w:t>
      </w:r>
    </w:p>
    <w:p w14:paraId="0B8DC928" w14:textId="006C02D8" w:rsidR="005911B7" w:rsidRDefault="005911B7" w:rsidP="007B1E7D">
      <w:pPr>
        <w:tabs>
          <w:tab w:val="right" w:leader="dot" w:pos="9066"/>
        </w:tabs>
      </w:pPr>
      <w:r>
        <w:t xml:space="preserve">Figure 4.7 : Assistant conversationnel candidat (chatbot)</w:t>
        <w:tab/>
        <w:t>52</w:t>
      </w:r>
    </w:p>
    <w:p w14:paraId="6F4BEA44" w14:textId="2416B8DA" w:rsidR="005911B7" w:rsidRDefault="005911B7" w:rsidP="007B1E7D">
      <w:pPr>
        <w:tabs>
          <w:tab w:val="right" w:leader="dot" w:pos="9066"/>
        </w:tabs>
      </w:pPr>
      <w:r>
        <w:t xml:space="preserve">Figure 4.8 : Fonctionnalité « Job idéal » — suggestions d’offres selon le CV</w:t>
        <w:tab/>
        <w:t>53</w:t>
      </w:r>
    </w:p>
    <w:p w14:paraId="4E671CA7" w14:textId="1C0781DB" w:rsidR="005911B7" w:rsidRDefault="005911B7" w:rsidP="007B1E7D">
      <w:pPr>
        <w:tabs>
          <w:tab w:val="right" w:leader="dot" w:pos="9066"/>
        </w:tabs>
      </w:pPr>
      <w:r>
        <w:t xml:space="preserve">Figure 4.9 : Analyse détaillée d’une candidature par intelligence artificielle</w:t>
        <w:tab/>
        <w:t>54</w:t>
      </w:r>
    </w:p>
    <w:p w14:paraId="64C30683" w14:textId="082BDCCC" w:rsidR="005911B7" w:rsidRDefault="005911B7" w:rsidP="007B1E7D">
      <w:pPr>
        <w:tabs>
          <w:tab w:val="right" w:leader="dot" w:pos="9066"/>
        </w:tabs>
      </w:pPr>
      <w:r>
        <w:t xml:space="preserve">Figure 4.10 : Espace Manager — page « Mon calendrier », entretiens et rappels</w:t>
        <w:tab/>
        <w:t>55</w:t>
      </w:r>
    </w:p>
    <w:p w14:paraId="64C30683" w14:textId="082BDCCC" w:rsidR="005911B7" w:rsidRDefault="005911B7" w:rsidP="007B1E7D">
      <w:pPr>
        <w:tabs>
          <w:tab w:val="right" w:leader="dot" w:pos="9066"/>
        </w:tabs>
      </w:pPr>
      <w:r>
        <w:t xml:space="preserve">Figure A.1 : Page de connexion</w:t>
        <w:tab/>
        <w:t>68</w:t>
      </w:r>
    </w:p>
    <w:p w14:paraId="64C30683" w14:textId="082BDCCC" w:rsidR="005911B7" w:rsidRDefault="005911B7" w:rsidP="007B1E7D">
      <w:pPr>
        <w:tabs>
          <w:tab w:val="right" w:leader="dot" w:pos="9066"/>
        </w:tabs>
      </w:pPr>
      <w:r>
        <w:t xml:space="preserve">Figure A.2 : Modification d’un dossier candidat</w:t>
        <w:tab/>
        <w:t>69</w:t>
      </w:r>
    </w:p>
    <w:p w14:paraId="64C30683" w14:textId="082BDCCC" w:rsidR="005911B7" w:rsidRDefault="005911B7" w:rsidP="007B1E7D">
      <w:pPr>
        <w:tabs>
          <w:tab w:val="right" w:leader="dot" w:pos="9066"/>
        </w:tabs>
      </w:pPr>
      <w:r>
        <w:t xml:space="preserve">Figure A.3 : Gestion des entretiens</w:t>
        <w:tab/>
        <w:t>70</w:t>
      </w:r>
    </w:p>
    <w:p w14:paraId="64C30683" w14:textId="082BDCCC" w:rsidR="005911B7" w:rsidRDefault="005911B7" w:rsidP="007B1E7D">
      <w:pPr>
        <w:tabs>
          <w:tab w:val="right" w:leader="dot" w:pos="9066"/>
        </w:tabs>
      </w:pPr>
      <w:r>
        <w:t xml:space="preserve">Figure A.4 : Gestion des feedbacks</w:t>
        <w:tab/>
        <w:t>70</w:t>
      </w:r>
    </w:p>
    <w:p w14:paraId="64C30683" w14:textId="082BDCCC" w:rsidR="005911B7" w:rsidRDefault="005911B7" w:rsidP="007B1E7D">
      <w:pPr>
        <w:tabs>
          <w:tab w:val="right" w:leader="dot" w:pos="9066"/>
        </w:tabs>
      </w:pPr>
      <w:r>
        <w:t xml:space="preserve">Figure A.5 : Journal d’audit</w:t>
        <w:tab/>
        <w:t>71</w:t>
      </w:r>
    </w:p>
    <w:p w14:paraId="64C30683" w14:textId="082BDCCC" w:rsidR="005911B7" w:rsidRDefault="005911B7" w:rsidP="007B1E7D">
      <w:pPr>
        <w:tabs>
          <w:tab w:val="right" w:leader="dot" w:pos="9066"/>
        </w:tabs>
      </w:pPr>
      <w:r>
        <w:t xml:space="preserve">Figure A.6 : Soumission d’une candidature avec dépôt de CV</w:t>
        <w:tab/>
        <w:t>71</w:t>
      </w:r>
    </w:p>
    <w:p w14:paraId="64C30683" w14:textId="082BDCCC" w:rsidR="005911B7" w:rsidRDefault="005911B7" w:rsidP="007B1E7D">
      <w:pPr>
        <w:tabs>
          <w:tab w:val="right" w:leader="dot" w:pos="9066"/>
        </w:tabs>
      </w:pPr>
      <w:r>
        <w:t xml:space="preserve">Figure A.7 : Espace Manager — candidatures relevant du périmètre du manager</w:t>
        <w:tab/>
        <w:t>72</w:t>
      </w:r>
    </w:p>
    <w:p w14:paraId="64C30683" w14:textId="082BDCCC" w:rsidR="005911B7" w:rsidRDefault="005911B7" w:rsidP="007B1E7D">
      <w:pPr>
        <w:tabs>
          <w:tab w:val="right" w:leader="dot" w:pos="9066"/>
        </w:tabs>
      </w:pPr>
      <w:r>
        <w:t xml:space="preserve">Figure A.8 : Console n8n — les trois flux d’automatisation publiés et leurs statistiques</w:t>
        <w:tab/>
        <w:t>73</w:t>
      </w:r>
    </w:p>
    <w:p w14:paraId="64C30683" w14:textId="082BDCCC" w:rsidR="005911B7" w:rsidRDefault="005911B7" w:rsidP="007B1E7D">
      <w:pPr>
        <w:tabs>
          <w:tab w:val="right" w:leader="dot" w:pos="9066"/>
        </w:tabs>
      </w:pPr>
      <w:r>
        <w:t xml:space="preserve">Figure A.9 : Flux n8n de l’Agent 1 — webhook de candidature, appel du scoring Cohere puis e-mail au candidat</w:t>
        <w:tab/>
        <w:t>73</w:t>
      </w:r>
    </w:p>
    <w:p w14:paraId="64C30683" w14:textId="082BDCCC" w:rsidR="005911B7" w:rsidRDefault="005911B7" w:rsidP="007B1E7D">
      <w:pPr>
        <w:tabs>
          <w:tab w:val="right" w:leader="dot" w:pos="9066"/>
        </w:tabs>
      </w:pPr>
      <w:r>
        <w:t xml:space="preserve">Figure A.10 : E-mail automatique de confirmation de candidature reçu par le candidat</w:t>
        <w:tab/>
        <w:t>74</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57</w:t>
      </w:r>
    </w:p>
    <w:p w14:paraId="458518D7" w14:textId="5506CA71" w:rsidR="005911B7" w:rsidRDefault="001A53BF" w:rsidP="007B1E7D">
      <w:pPr>
        <w:tabs>
          <w:tab w:val="right" w:leader="dot" w:pos="9066"/>
        </w:tabs>
      </w:pPr>
      <w:r>
        <w:t>Tableau 4.2 : Matrice de confusion du Gold Set selon le seuil de décision</w:t>
        <w:tab/>
        <w:t>59</w:t>
      </w:r>
    </w:p>
    <w:p w14:paraId="458518D7" w14:textId="5506CA71" w:rsidR="005911B7" w:rsidRDefault="001A53BF" w:rsidP="007B1E7D">
      <w:pPr>
        <w:tabs>
          <w:tab w:val="right" w:leader="dot" w:pos="9066"/>
        </w:tabs>
      </w:pPr>
      <w:r>
        <w:t>Tableau 4.3 : Bilan des fonctionnalités réalisées</w:t>
        <w:tab/>
        <w:t>65</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veille à la communication des décisions finales aux candidats, qu’elles soient prises par lui-même ou par le manager concerné.</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peut saisir la décision finale (acceptation ou refus) sur les dossiers de son périmètre ; cette saisie est tracée dans le journal d’audit, puis notifiée par la plateforme.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suivant.</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Planifier les entretiens et trancher la décision finale</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peut prendre la décision finale (acceptation ou refus) sur les dossiers de son périmètre.</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Le tableau ci-dessous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Décision finale (acceptation / refus)</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un droit de décision qui recouvre celui du Manager : un RH peut ainsi corriger ou débloquer un dossier en l’absence du manager concerné, tout en gardant une trace, via le journal d’audit, de qui a réellement pris chaque décision.</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5C8620EA"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le routage vers le ou les managers concernés (ManagerRoutingService, section 3.5.4) n’intervient qu’à ce moment-là, pas dès la validation du CV — conformément à la correction décrite en section 4.5.5.</w:t>
      </w:r>
      <w:r>
        <w:t xml:space="preserve"> Le rejet automatique par l’IA n’y constitue pas une fin de parcours distincte : il rejoint, comme la décision finale du manager, l’étape commune de notification et de journalisation, et reste réversible par un override RH justifié (transition pointillée de la figure 3.8).</w:t>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width:769.9pt;height:439.8pt;visibility:visible">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ci-dessous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78.0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trancher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et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411.6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référentiel des départements et des familles de métier, rattachements correspondants,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88.9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Décider Accepter / Refuser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Manager</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est en cours d’évaluation : un refus (MANAGER_REJECTED) est admis dès la présélection du CV (statut CV_REVIEWED ou ultérieur) ; une acceptation (ACCEPTED) exige d’être passé par l’entretien téléphonique RH (PHONE_SCREENING, TECHNICAL_TEST, INTERVIEW ou FINAL_INTERVIEW).</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Le manager consulte le dossier du candidat, ses scores et éventuels feedbacks, puis valide une décision d’acceptation ou de refus.</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Le statut du candidat passe à ACCEPTED ou MANAGER_REJECTED et un e-mail de décision est envoyé au candidat.</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Dossier à un statut qui n’autorise pas la décision demandée — par exemple une acceptation avant l’entretien téléphonique RH : le système refuse la décision et retourne un message d’erreur explicite.</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Ce diagramme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des notifications (SMTP) ; le back-end appelle directement l’API de Cohere [11] (scoring IA) et l’API OpenRouter [12] (assistant conversationnel). Cette organisation physique est détaillée au chapitre 3 par les diagrammes de composants (figure 3.10) et de déploiement (figure 3.11) ; le tableau ci-dessous précise le rôle de chaque agent d’automatisation.</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les invitations et rappels au candidat et à l’intervieweur.</w:t>
            </w:r>
          </w:p>
        </w:tc>
      </w:tr>
      <w:tr>
        <w:trPr>
          <w:cantSplit/>
        </w:trPr>
        <w:tc>
          <w:tcPr>
            <w:tcW w:w="1667" w:type="pct"/>
          </w:tcPr>
          <w:p>
            <w:pPr>
              <w:rPr>
                <w:sz w:val="21"/>
              </w:rPr>
            </w:pPr>
            <w:r>
              <w:rPr>
                <w:sz w:val="21"/>
              </w:rPr>
              <w:t xml:space="preserve">Agent 3 — « RH vers Manager (dossier validé) » (décisions et routage des managers)</w:t>
            </w:r>
          </w:p>
        </w:tc>
        <w:tc>
          <w:tcPr>
            <w:tcW w:w="1667" w:type="pct"/>
          </w:tcPr>
          <w:p>
            <w:pPr>
              <w:rPr>
                <w:sz w:val="21"/>
              </w:rPr>
            </w:pPr>
            <w:r>
              <w:rPr>
                <w:sz w:val="21"/>
              </w:rPr>
              <w:t xml:space="preserve">Webhooks déclenchés à l’entrée en évaluation technique (TECHNICAL_TEST) et à la décision finale</w:t>
            </w:r>
          </w:p>
        </w:tc>
        <w:tc>
          <w:tcPr>
            <w:tcW w:w="1667" w:type="pct"/>
          </w:tcPr>
          <w:p>
            <w:pPr>
              <w:rPr>
                <w:sz w:val="21"/>
              </w:rPr>
            </w:pPr>
            <w:r>
              <w:rPr>
                <w:sz w:val="21"/>
              </w:rPr>
              <w:t xml:space="preserve">Résout les managers destinataires (ManagerRoutingService) et envoie les notifications de décision au candidat ainsi qu’aux managers concernés, sans dupliquer l’e-mail candidat.</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suivante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La figure 3.2 ci-dessous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39.5pt;height:500.0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width:278.3pt;height:600.0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width:345.6pt;height:430.0pt;visibility:visible">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résout le périmètre de lecture d’un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qui suivent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299.5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width:394.7pt;height:263.1pt;visibility:visible">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un autre garde-fou central de l’application : la prise de décision est soumise aux règles de transition du cycle de vie (section 3.6). Un refus (MANAGER_REJECTED) peut intervenir dès que le dossier a été validé par le RH (statut CV_REVIEWED ou ultérieur), tandis qu’une acceptation (ACCEPTED) exige d’être passé par l’entretien téléphonique RH (statut PHONE_SCREENING) — l’entrée en évaluation technique n’étant pas un prérequis à l’acceptation. Ce garde-fou empêche qu’une candidature soit acceptée sans ce premier filtre humain (section 4.5.8).</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68.0pt;height:438.5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width:453.3pt;height:289.7pt;visibility:visible">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Ce diagramme illustre le mécanisme de routage automatique décrit en section 4.5.5 : lorsqu’un dossier passe en évaluation technique, ManagerRoutingService résout les managers destinataires par priorité — d’abord par département de l’offre, à défaut par famille de métier, et en dernier recours via l’e-mail manager saisi manuellement sur l’offre. Chaque manager résolu reçoit ensuite une notification via l’agent n8n dédié.</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444.4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qui suit la décision d’acceptation et précède l’état définitif HIRED ; il ne désigne pas un entretien d’évaluation, ceux du pipeline étant clos aux statuts INTERVIEW et FINAL_INTERVIEW. La plateforme ne modélise pas de type d’entretien dédié à l’onboarding, et la planification d’un entretien ne modifie pas le statut de la candidature : seule la machine à états porte l’enchaînement accepté → agenda confirmé → recruté.</w:t>
      </w:r>
    </w:p>
    <w:p w14:paraId="7F957492" w14:textId="77777777" w:rsidR="005911B7" w:rsidRDefault="00C80EB9" w:rsidP="007B1E7D">
      <w:pPr/>
      <w:r>
        <w:t xml:space="preserve">On y distingue notamment un embranchement automatique piloté par le score de l’analyse IA : le dossier passe en CV_REVIEWED lorsque le score atteint le seuil de 60/100, en AUTO_REJECTED lorsqu’il descend sous ce seuil. Les dossiers signalés par le drapeau needsHumanReview — zone grise de 55 à 65, texte de CV inexploitable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Les états véritablement terminaux (HIRED, MANAGER_REJECTED, WITHDRAWN) n’admettent plus aucune modification depuis l’interface d’administration, tandis qu’AUTO_REJECTED reste révisable par la correction manuelle du score décrite ci-après ; la transition vers INTERVIEW_SCHEDULED, qui suit la décision d’acceptation, est définie dans la note sous la figure 3.8.</w:t>
      </w:r>
    </w:p>
    <w:p w14:paraId="23A60325" w14:textId="77777777" w:rsidR="00EA224E" w:rsidRDefault="00C80EB9" w:rsidP="007B1E7D">
      <w:r>
        <w:t xml:space="preserve">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 xml:space="preserve">La réponse est ensuite relue côté serveur : le bloc JSON est extrait du texte renvoyé, les intitulés de clés sont tolérants aux variantes et chaque note est bornée entre 0 et 100. Si aucune structure JSON exploitable n’est trouvée, le score n’est pas reconstitué à partir de nombres isolés : l’appel échoue et le mode dégradé local prend le relais, le score étant marqué SIMULATED et signalé pour arbitrage humain (section 4.4.6) ; le repli par expression régulière ne subsiste que comme garde-fou secondaire, lorsqu’un JSON valide aboutit à trois notes nulles. Une incohérence demeure néanmoins dans cette version : le prompt demande au modèle une valeur neutre de 50 faute d’information exploitable, alors qu’un critère manquant dans la réponse reçoit côté serveur une valeur par défaut de 70, plus favorable. Aligner cette valeur sur 50, voire signaler le dossier pour revue humaine au lieu de le noter, fait partie des corrections à apporter avant la préproduction.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Le schéma relationnel ci-dessous présente l’ensemble des tables générées à partir des entités JPA, avec les clés primaires et étrangères qui matérialisent les relations décrites ci-dessus.</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width:769.9pt;height:398.9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les clés primaires sont préfixées d’un astérisque et les clés étrangères suffixées « FK ». On y lit les relations structurantes : un département rattache les utilisateurs et les offres, une offre reçoit les candidatures, chaque candidature dépose un CV et passe des entretiens qui donnent lieu à des feedbacks rédigés par les utilisateurs.</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ci-dessous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Le diagramme suivant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3.7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Cette section présente une sélection des interfaces principales, illustrant les fonctionnalités clés de la plateforme JOB4YOU pour chacun des profils d’utilisateurs.</w:t>
      </w:r>
    </w:p>
    <w:p w14:paraId="5FCBA3EC" w14:textId="77777777" w:rsidR="005911B7" w:rsidRDefault="00CA1A9F" w:rsidP="007B1E7D">
      <w:pPr>
        <w:keepNext/>
        <w:jc w:val="center"/>
      </w:pPr>
      <w:r>
        <w:rPr>
          <w:noProof/>
        </w:rPr>
        <w:pict w14:anchorId="650581FA">
          <v:shape id="Image 13" o:spid="_x0000_i1040" type="#_x0000_t75" style="width:425.0pt;height:299.4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permet à tout visiteur de rechercher une offre par mot-clé et par localisation, et met en avant les offres publiées les plus récentes.</w:t>
      </w:r>
    </w:p>
    <w:p w14:paraId="4624902F" w14:textId="77777777" w:rsidR="005911B7" w:rsidRDefault="008D5C06" w:rsidP="007B1E7D">
      <w:r>
        <w:t xml:space="preserve">L’authentification se fait par nom d’utilisateur et mot de passe ; le jeton JWT renvoyé par le back-end sécurise ensuite l’ensemble des requêtes vers l’API.</w:t>
      </w:r>
      <w:r>
        <w:t xml:space="preserve"> Sa capture est reprise en annexe A (figure A.1).</w:t>
      </w:r>
    </w:p>
    <w:p w14:paraId="03BC45B4" w14:textId="77777777" w:rsidR="005911B7" w:rsidRDefault="00CA1A9F" w:rsidP="007B1E7D">
      <w:pPr>
        <w:keepNext/>
        <w:jc w:val="center"/>
      </w:pPr>
      <w:r>
        <w:rPr>
          <w:noProof/>
        </w:rPr>
        <w:pict w14:anchorId="1EEBD083">
          <v:shape id="Image 15" o:spid="_x0000_i1042" type="#_x0000_t75" style="width:425.0pt;height:236.5pt;visibility:visible;mso-wrap-style:square">
            <v:imagedata r:id="rId28" o:title=""/>
          </v:shape>
        </w:pict>
      </w:r>
    </w:p>
    <w:p w14:paraId="68CAA9B5" w14:textId="77777777" w:rsidR="005911B7" w:rsidRDefault="005911B7" w:rsidP="007B1E7D">
      <w:pPr>
        <w:jc w:val="center"/>
        <w:rPr>
          <w:i/>
          <w:sz w:val="21"/>
        </w:rPr>
      </w:pPr>
      <w:r>
        <w:rPr>
          <w:i/>
          <w:sz w:val="21"/>
        </w:rPr>
        <w:t xml:space="preserve">Figure 4.2 : Gestion des offres d’emploi (espace RH)</w:t>
      </w:r>
    </w:p>
    <w:p w14:paraId="69D54197" w14:textId="77777777" w:rsidR="005911B7" w:rsidRDefault="008D5C06" w:rsidP="007B1E7D">
      <w:r>
        <w:t xml:space="preserve">Le Responsable RH crée, modifie et suit ici le statut de chaque offre d’emploi (active, fermée, expirée) ; la bascule en « expirée » se fait automatiquement une fois la date limite dépassée.</w:t>
      </w:r>
    </w:p>
    <w:p w14:paraId="35421A65" w14:textId="77777777" w:rsidR="005911B7" w:rsidRDefault="00CA1A9F" w:rsidP="007B1E7D">
      <w:pPr>
        <w:keepNext/>
        <w:jc w:val="center"/>
      </w:pPr>
      <w:r>
        <w:rPr>
          <w:noProof/>
        </w:rPr>
        <w:pict w14:anchorId="131B476D">
          <v:shape id="Image 16" o:spid="_x0000_i1043" type="#_x0000_t75" style="width:420pt;height:249.6pt;visibility:visible;mso-wrap-style:square">
            <v:imagedata r:id="rId29" o:title=""/>
          </v:shape>
        </w:pict>
      </w:r>
    </w:p>
    <w:p w14:paraId="43FB54AE" w14:textId="77777777" w:rsidR="005911B7" w:rsidRDefault="005911B7" w:rsidP="007B1E7D">
      <w:pPr>
        <w:jc w:val="center"/>
        <w:rPr>
          <w:i/>
          <w:sz w:val="21"/>
        </w:rPr>
      </w:pPr>
      <w:r>
        <w:rPr>
          <w:i/>
          <w:sz w:val="21"/>
        </w:rPr>
        <w:t xml:space="preserve">Figure 4.3 : Gestion des candidats — vue liste avec score IA</w:t>
      </w:r>
    </w:p>
    <w:p w14:paraId="596C0960"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06E05E3E"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l’analyse IA détaillée (scores technique, communication, adéquation séniorité) et l’historique des actions des agents n8n sur ce dossier.</w:t>
      </w:r>
      <w:r>
        <w:t xml:space="preserve"> Sa capture est reprise en annexe A (figure A.2).</w:t>
      </w:r>
    </w:p>
    <w:p w14:paraId="688C2C17" w14:textId="77777777" w:rsidR="005911B7" w:rsidRDefault="00CA1A9F" w:rsidP="007B1E7D">
      <w:pPr>
        <w:keepNext/>
        <w:jc w:val="center"/>
      </w:pPr>
      <w:r>
        <w:rPr>
          <w:noProof/>
        </w:rPr>
        <w:pict w14:anchorId="3DE79FED">
          <v:shape id="Image 18" o:spid="_x0000_i1045" type="#_x0000_t75" style="width:425.0pt;height:264.5pt;visibility:visible;mso-wrap-style:square">
            <v:imagedata r:id="rId31" o:title=""/>
          </v:shape>
        </w:pict>
      </w:r>
    </w:p>
    <w:p w14:paraId="648457B4" w14:textId="77777777" w:rsidR="005911B7" w:rsidRDefault="005911B7" w:rsidP="007B1E7D">
      <w:pPr>
        <w:jc w:val="center"/>
        <w:rPr>
          <w:i/>
          <w:sz w:val="21"/>
        </w:rPr>
      </w:pPr>
      <w:r>
        <w:rPr>
          <w:i/>
          <w:sz w:val="21"/>
        </w:rPr>
        <w:t xml:space="preserve">Figure 4.4 : Tableau Kanban du pipeline de recrutement</w:t>
      </w:r>
    </w:p>
    <w:p w14:paraId="6D3BC57F" w14:textId="77777777" w:rsidR="005911B7" w:rsidRDefault="008D5C06" w:rsidP="007B1E7D">
      <w:r>
        <w:t xml:space="preserve">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456E7EFE" w14:textId="77777777" w:rsidR="005911B7" w:rsidRDefault="008D5C06" w:rsidP="007B1E7D">
      <w:r>
        <w:t>On planifie, filtre et suit ici les entretiens (type, date, interviewer, statut), avec des actions contextuelles comme le démarrage, l’annulation, la reprogrammation ou l’ajout d’un feedback une fois l’entretien terminé.</w:t>
      </w:r>
      <w:r>
        <w:t xml:space="preserve"> Sa capture est reprise en annexe A (figure A.3).</w:t>
      </w:r>
    </w:p>
    <w:p w14:paraId="70B615C4" w14:textId="77777777" w:rsidR="005911B7" w:rsidRDefault="008D5C06" w:rsidP="007B1E7D">
      <w:r>
        <w:t>Les feedbacks saisis par les managers sont centralisés ici, avec une étape de validation par le RH avant transmission au candidat.</w:t>
      </w:r>
      <w:r>
        <w:t xml:space="preserve"> Sa capture est reprise en annexe A (figure A.4).</w:t>
      </w:r>
    </w:p>
    <w:p w14:paraId="146E0641" w14:textId="77777777" w:rsidR="005911B7" w:rsidRDefault="00CA1A9F" w:rsidP="007B1E7D">
      <w:pPr>
        <w:keepNext/>
        <w:jc w:val="center"/>
      </w:pPr>
      <w:r>
        <w:rPr>
          <w:noProof/>
        </w:rPr>
        <w:pict w14:anchorId="1C64D113">
          <v:shape id="Image 21" o:spid="_x0000_i1048" type="#_x0000_t75" style="width:425.0pt;height:240.2pt;visibility:visible;mso-wrap-style:square">
            <v:imagedata r:id="rId34" o:title=""/>
          </v:shape>
        </w:pict>
      </w:r>
    </w:p>
    <w:p w14:paraId="5BF29D70" w14:textId="77777777" w:rsidR="005911B7" w:rsidRDefault="005911B7" w:rsidP="007B1E7D">
      <w:pPr>
        <w:jc w:val="center"/>
        <w:rPr>
          <w:i/>
          <w:sz w:val="21"/>
        </w:rPr>
      </w:pPr>
      <w:r>
        <w:rPr>
          <w:i/>
          <w:sz w:val="21"/>
        </w:rPr>
        <w:t xml:space="preserve">Figure 4.5 : Gestion des utilisateurs et des rôles (espace Administrateur)</w:t>
      </w:r>
    </w:p>
    <w:p w14:paraId="51E35756" w14:textId="77777777" w:rsidR="005911B7" w:rsidRDefault="008D5C06" w:rsidP="007B1E7D">
      <w:r>
        <w:t>L’administrateur y gère l’ensemble des comptes de la plateforme, leurs rôles, ainsi que leur rattachement à un département ou une famille de métier.</w:t>
      </w:r>
    </w:p>
    <w:p w14:paraId="199A6A97" w14:textId="77777777" w:rsidR="005911B7" w:rsidRDefault="00CA1A9F" w:rsidP="007B1E7D">
      <w:pPr>
        <w:keepNext/>
        <w:jc w:val="center"/>
      </w:pPr>
      <w:r>
        <w:rPr>
          <w:noProof/>
        </w:rPr>
        <w:pict w14:anchorId="30680820">
          <v:shape id="Image 22" o:spid="_x0000_i1049" type="#_x0000_t75" style="width:425.0pt;height:278.5pt;visibility:visible;mso-wrap-style:square">
            <v:imagedata r:id="rId35" o:title=""/>
          </v:shape>
        </w:pict>
      </w:r>
    </w:p>
    <w:p w14:paraId="53F7EF5B" w14:textId="77777777" w:rsidR="005911B7" w:rsidRDefault="005911B7" w:rsidP="007B1E7D">
      <w:pPr>
        <w:jc w:val="center"/>
        <w:rPr>
          <w:i/>
          <w:sz w:val="21"/>
        </w:rPr>
      </w:pPr>
      <w:r>
        <w:rPr>
          <w:i/>
          <w:sz w:val="21"/>
        </w:rPr>
        <w:t xml:space="preserve">Figure 4.6 : Paramétrage du scoring IA par famille de métier</w:t>
      </w:r>
    </w:p>
    <w:p w14:paraId="2EF1BE18"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6867BA22" w14:textId="77777777" w:rsidR="000F1AFA" w:rsidRDefault="008D5C06" w:rsidP="007B1E7D">
      <w:r>
        <w:t>Le journal d’audit trace tous les changements de statut significatifs, initiés manuellement par un utilisateur ou automatiquement par le système (agents n8n), ce qui garantit la traçabilité de chaque décision prise sur un dossier.</w:t>
      </w:r>
      <w:r>
        <w:t xml:space="preserve"> Sa capture est reprise en annexe A (figure A.5).</w:t>
      </w:r>
    </w:p>
    <w:p w14:paraId="6E5C99B1" w14:textId="77777777" w:rsidR="005911B7" w:rsidRDefault="00161004" w:rsidP="007B1E7D">
      <w:r>
        <w:t xml:space="preserve">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14:paraId="607DF564" w14:textId="7B6895C0" w:rsidR="00730833" w:rsidRDefault="00CA1A9F">
      <w:pPr>
        <w:keepNext/>
        <w:jc w:val="center"/>
        <w:spacing w:before="40" w:after="0" w:line="240" w:lineRule="auto"/>
      </w:pPr>
      <w:r>
        <w:rPr>
          <w:noProof/>
        </w:rPr>
        <w:pict w14:anchorId="580FE8B9">
          <v:shape id="Picture 5" o:spid="_x0000_i1052" type="#_x0000_t75" style="visibility:visible;mso-wrap-style:square;width:387.8pt;height:522.8pt;visibility:visible">
            <v:imagedata r:id="rId900" o:title=""/>
          </v:shape>
        </w:pict>
      </w:r>
    </w:p>
    <w:p w14:paraId="00903B0C" w14:textId="77777777" w:rsidR="00CE421D" w:rsidRDefault="00450284">
      <w:pPr>
        <w:jc w:val="center"/>
        <w:rPr>
          <w:i/>
          <w:sz w:val="21"/>
        </w:rPr>
      </w:pPr>
      <w:r>
        <w:rPr>
          <w:i/>
          <w:sz w:val="21"/>
        </w:rPr>
        <w:t xml:space="preserve">Figure 4.7 : Assistant conversationnel candidat (chatbot)</w:t>
      </w:r>
    </w:p>
    <w:p w14:paraId="0646AE5F" w14:textId="77777777" w:rsidR="00CE421D" w:rsidRDefault="00450284">
      <w:r>
        <w:t xml:space="preserve">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14:paraId="2B525994" w14:textId="77777777" w:rsidR="00730833" w:rsidRDefault="00AF2881">
      <w:r>
        <w:t xml:space="preserve">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Sa capture est reprise en annexe A (figure A.6).</w:t>
      </w:r>
    </w:p>
    <w:p w14:paraId="607DF564" w14:textId="7B6895C0" w:rsidR="00730833" w:rsidRDefault="00CA1A9F">
      <w:pPr>
        <w:keepNext/>
        <w:jc w:val="center"/>
      </w:pPr>
      <w:r>
        <w:rPr>
          <w:noProof/>
        </w:rPr>
        <w:pict w14:anchorId="580FE8B9">
          <v:shape id="Picture 5" o:spid="_x0000_i1052" type="#_x0000_t75" style="width:424.8pt;height:191.4pt;visibility:visible;mso-wrap-style:square">
            <v:imagedata r:id="rId38" o:title=""/>
          </v:shape>
        </w:pict>
      </w:r>
    </w:p>
    <w:p w14:paraId="268E66AF" w14:textId="77777777" w:rsidR="00730833" w:rsidRDefault="00AF2881">
      <w:pPr>
        <w:jc w:val="center"/>
        <w:rPr>
          <w:i/>
          <w:sz w:val="21"/>
        </w:rPr>
      </w:pPr>
      <w:r>
        <w:rPr>
          <w:i/>
          <w:sz w:val="21"/>
        </w:rPr>
        <w:t xml:space="preserve">Figure 4.8 : Fonctionnalité « Job idéal » — suggestions d’offres selon le CV</w:t>
      </w:r>
    </w:p>
    <w:p w14:paraId="4511BEA1" w14:textId="77777777" w:rsidR="00730833" w:rsidRDefault="00AF2881">
      <w:r>
        <w:t xml:space="preserve">Sans postuler à une offre précise, un visiteur ou un candidat dépose son CV et reçoit une liste des offres actives classées par pourcentage de compatibilité, calculé par l’API de Cohere (badge « Analyse IA (Cohere) », avec repli automatique sur un classement par mots-clés si l’IA est indisponible).</w:t>
      </w:r>
    </w:p>
    <w:p w14:paraId="0BC41D96" w14:textId="636DDE35" w:rsidR="00C90533" w:rsidRDefault="00CA1A9F">
      <w:pPr>
        <w:keepNext/>
        <w:jc w:val="center"/>
      </w:pPr>
      <w:r>
        <w:rPr>
          <w:noProof/>
        </w:rPr>
        <w:pict w14:anchorId="6E2178D7">
          <v:shape id="Picture 9" o:spid="_x0000_i1053" type="#_x0000_t75" style="visibility:visible;mso-wrap-style:square;width:284.2pt;height:470.0pt;visibility:visible">
            <v:imagedata r:id="rId39" o:title=""/>
          </v:shape>
        </w:pict>
      </w:r>
    </w:p>
    <w:p w14:paraId="5A138DDE" w14:textId="77777777" w:rsidR="00730833" w:rsidRDefault="00AF2881">
      <w:pPr>
        <w:jc w:val="center"/>
        <w:rPr>
          <w:i/>
          <w:sz w:val="21"/>
        </w:rPr>
      </w:pPr>
      <w:r>
        <w:rPr>
          <w:i/>
          <w:sz w:val="21"/>
        </w:rPr>
        <w:t xml:space="preserve">Figure 4.9 : Analyse détaillée d’une candidature par intelligence artificielle</w:t>
      </w:r>
    </w:p>
    <w:p w14:paraId="2F6820D7" w14:textId="77777777" w:rsidR="00730833" w:rsidRDefault="00AF2881">
      <w:r>
        <w:t xml:space="preserve">Au-delà du score global visible en liste (Figure 4.3), le détail d’un dossier expose la répartition par critère — technique, communication, adéquation séniorité — ainsi que, le cas échéant, la correction manuelle appliquée par un RH avec sa justification, conformément au principe de contrôle humain décrit en section 4.6.</w:t>
      </w:r>
    </w:p>
    <w:p w14:paraId="2952C15B" w14:textId="77777777" w:rsidR="00730833" w:rsidRDefault="00AF2881">
      <w:r>
        <w:t xml:space="preserve">Un manager ne voit que les candidatures relevant de son périmètre (département, ou à défaut famille de métier — voir ManagerRoutingService, section 3.5.4), à partir de leur entrée en évaluation technique (statut TECHNICAL_TEST), et non dès la validation du CV par le RH. Cette vue cloisonnée est distincte de la liste globale accessible au RH et à l’administrateur (Figure 4.3).</w:t>
      </w:r>
      <w:r>
        <w:t xml:space="preserve"> Sa capture est reprise en annexe A (figure A.7).</w:t>
      </w:r>
    </w:p>
    <w:p w14:paraId="2952C15B" w14:textId="77777777" w:rsidR="00730833" w:rsidRDefault="00AF2881">
      <w:r>
        <w:t>Le manager dispose en outre d’une page « Mon calendrier » qui centralise ses propres entretiens : prochaine session, lien de visioconférence, répartition par statut et vue mensuelle, avec un rappel automatique planifié deux heures avant chaque entretien dont il est intervieweur. La liste reste filtrée côté serveur selon son département, sa famille de métier ou son affectation, de sorte qu’aucun dossier hors de son périmètre ne peut y apparaître.</w:t>
      </w:r>
    </w:p>
    <w:p w14:paraId="234F2466" w14:textId="3397CEB3" w:rsidR="00730833" w:rsidRDefault="00CA1A9F">
      <w:pPr>
        <w:keepNext/>
        <w:jc w:val="center"/>
      </w:pPr>
      <w:r>
        <w:rPr>
          <w:noProof/>
        </w:rPr>
        <w:pict w14:anchorId="1ABB31E4">
          <v:shape id="Picture 17" o:spid="_x0000_i1060" type="#_x0000_t75" style="visibility:visible;mso-wrap-style:square;width:425.0pt;height:295.4pt">
            <v:imagedata r:id="rId902" o:title=""/>
          </v:shape>
        </w:pict>
      </w:r>
    </w:p>
    <w:p w14:paraId="213F627D" w14:textId="77777777" w:rsidR="00730833" w:rsidRDefault="00AF2881">
      <w:pPr>
        <w:jc w:val="center"/>
        <w:rPr>
          <w:i/>
          <w:sz w:val="21"/>
        </w:rPr>
      </w:pPr>
      <w:r>
        <w:rPr>
          <w:i/>
          <w:sz w:val="21"/>
        </w:rPr>
        <w:t xml:space="preserve">Figure 4.10 : Espace Manager — page « Mon calendrier », entretiens et rappels</w:t>
      </w:r>
    </w:p>
    <w:p w14:paraId="2952C15B" w14:textId="77777777" w:rsidR="00730833" w:rsidRDefault="00AF2881">
      <w:r>
        <w:t xml:space="preserve">Au-delà des interfaces de la plateforme, la chaîne d’automatisation a été vérifiée dans la console n8n elle-même. La figure A.8, en annexe, montre les trois flux déclarés dans l’application — « Agent 1 — CV Parser + Score IA + Email Candidat », « Agent 2 — Planification entretien + Email participants » et « Agent 3 — RH vers Manager (dossier validé) » — tous trois à l’état Publié, avec quinze exécutions sur l’instance locale ayant servi à la démonstration, aucun échec dans cet échantillon (taux d’échec 0 %) et une durée moyenne d’exécution de 3,61 s. Ces mesures relèvent d’un environnement local et non d’une exploitation en production ; l’échantillon reste trop limité pour valoir test de charge ou garantie de disponibilité.</w:t>
      </w:r>
    </w:p>
    <w:p w14:paraId="2952C15B" w14:textId="77777777" w:rsidR="00730833" w:rsidRDefault="00AF2881">
      <w:r>
        <w:t xml:space="preserve">Le détail de l’Agent 1 (figure A.9, en annexe)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952C15B" w14:textId="77777777" w:rsidR="00730833" w:rsidRDefault="00AF2881">
      <w:r>
        <w:t xml:space="preserve">Côté candidat, la notification produite par ce flux arrive bien dans sa boîte de réception (figure A.10, en annexe) : accusé de réception nominatif pour le poste visé, score d’analyse IA obtenu et horodatage du traitement, avec la mention d’envoi automatique par n8n.</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 xml:space="preserve">Au-delà des vérifications manuelles, la couche service et une partie de la couche controller sont couvertes par une suite de tests automatisés écrite avec JUnit 5 et Mockito [16], exécutée via Maven. Elle comprend 12 classes de test pour un total de 108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3009874B" w:rsidR="005911B7" w:rsidRDefault="005911B7" w:rsidP="007B1E7D">
            <w:pPr>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Décision manager sur un dossier non encore validé par le RH</w:t>
            </w:r>
          </w:p>
        </w:tc>
        <w:tc>
          <w:tcPr>
            <w:tcW w:w="1667" w:type="pct"/>
          </w:tcPr>
          <w:p w14:paraId="7B26BC3A" w14:textId="77777777" w:rsidR="005911B7" w:rsidRPr="007B1E7D" w:rsidRDefault="005911B7" w:rsidP="007B1E7D">
            <w:pPr>
              <w:rPr>
                <w:sz w:val="21"/>
              </w:rPr>
            </w:pPr>
            <w:r>
              <w:rPr>
                <w:sz w:val="21"/>
              </w:rPr>
              <w:t>Erreur 400, décision bloquée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Décision manager après validation RH</w:t>
            </w:r>
          </w:p>
        </w:tc>
        <w:tc>
          <w:tcPr>
            <w:tcW w:w="1667" w:type="pct"/>
          </w:tcPr>
          <w:p w14:paraId="61A7BC4F" w14:textId="77777777" w:rsidR="005911B7" w:rsidRPr="007B1E7D" w:rsidRDefault="005911B7" w:rsidP="007B1E7D">
            <w:pPr>
              <w:rPr>
                <w:sz w:val="21"/>
              </w:rPr>
            </w:pPr>
            <w:r>
              <w:rPr>
                <w:sz w:val="21"/>
              </w:rPr>
              <w:t>Statut mis à jour (ACCEPTED ou MANAGER_REJECTED)</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Notification par e-mail au candidat après décision finale</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Routage RH → manager selon le département de l’offre (repli famille de métier)</w:t>
            </w:r>
          </w:p>
        </w:tc>
        <w:tc>
          <w:tcPr>
            <w:tcW w:w="1667" w:type="pct"/>
          </w:tcPr>
          <w:p w14:paraId="4EF70E9D" w14:textId="77777777" w:rsidR="005911B7" w:rsidRPr="007B1E7D" w:rsidRDefault="001110FA" w:rsidP="007B1E7D">
            <w:pPr>
              <w:rPr>
                <w:sz w:val="21"/>
              </w:rPr>
            </w:pPr>
            <w:r>
              <w:rPr>
                <w:sz w:val="21"/>
              </w:rPr>
              <w:t>Seul le manager du département concerné est notifié et voit le dossier</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Seul le manager du département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Aucun dossier hors de son département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bl>
    <w:p w14:paraId="18E2834B" w14:textId="77777777" w:rsidR="005911B7" w:rsidRDefault="008D5C06" w:rsidP="007B1E7D">
      <w:r>
        <w:t xml:space="preserve">Ce tableau atteste de l’exécution des vingt scénarios listés, tous concluants ; il ne constitue pas pour autant une garantie globale de qualité. Des cas nominaux et des cas d’erreur qui réussissent ne prouvent pas l’absence de défauts sur les chemins non exercés, et ne disent rien du comportement de la plateforme sous charge. Ces tests vérifient des fonctionnalités et des règles d’accès : ils ne mesurent pas la pertinence du scoring IA, qui fait l’objet de la section 4.4.5. Aucun test de charge n’a mesuré les exigences non fonctionnelles de temps de réponse fixées en section 2.2.3 (moins de 500 ms en lecture, moins de 2 s en écriture) : elles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seize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seize profils se répartissent sur les trois familles de métiers visées par la plateforme, chacune rattachée à une offre cible : Développeur Backend Java/Spring (offre 115, six profils), DevOps Engineer (offre 117, cinq profils) et Business Analyst (offre 122, cinq profils). Chaque CV porte une vérité terrain binaire, PERTINENT ou NON_PERTINENT, arrêtée sur des critères objectifs — compétences techniques indispensables et séniorité — et non d’après la sortie du modèle : neuf profils sont pertinents, sept sont volontairement hors cible (compétences d’un autre domaine, séniorité insuffisante, outillage sans rapport avec l’offre).</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19" w:type="dxa"/>
          </w:tcPr>
          <w:p w14:paraId="5B60ED76" w14:textId="77777777" w:rsidR="005911B7" w:rsidRPr="007B1E7D" w:rsidRDefault="005911B7" w:rsidP="007B1E7D">
            <w:pPr>
              <w:rPr>
                <w:sz w:val="21"/>
              </w:rPr>
              <w:jc w:val="center"/>
            </w:pPr>
            <w:r>
              <w:rPr>
                <w:sz w:val="21"/>
              </w:rPr>
              <w:t xml:space="preserve">7</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100 %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88,9 %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94,1 %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93,8 %</w:t>
            </w:r>
          </w:p>
        </w:tc>
      </w:tr>
    </w:tbl>
    <w:p w14:paraId="18E2834B" w14:textId="77777777" w:rsidR="005911B7" w:rsidRDefault="008D5C06" w:rsidP="007B1E7D">
      <w:r>
        <w:t xml:space="preserve">Avec le seuil retenu de 60/100, le système prend seize bonnes décisions sur seize : aucun profil pertinent n’est écarté (rappel de 100 %) et aucun profil hors cible n’est retenu (précision de 100 %). Abaisser le seuil à 50 ne change rien sur ce jeu, les deux seuils y sont donc indiscernables ; le relever à 70 fait apparaître un faux négatif — le profil GOLD_14, développeuse Java dont le dossier est pourtant jugé pertinent et scoré 69/100 — et fait chuter le rappel à 88,9 %.</w:t>
      </w:r>
    </w:p>
    <w:p w14:paraId="18E2834B" w14:textId="77777777" w:rsidR="005911B7" w:rsidRDefault="008D5C06" w:rsidP="007B1E7D">
      <w:r>
        <w:t xml:space="preserve">Le seuil de 60 est cohérent avec la distribution des scores obtenus : le meilleur profil non pertinent s’arrête à 47/100, soit treize points sous le seuil, tandis que le plus faible profil pertinent est à 69/100, soit neuf points au-dessus. Sur ce jeu, les deux populations ne se chevauchent donc pas.</w:t>
      </w:r>
    </w:p>
    <w:p w14:paraId="18E2834B" w14:textId="77777777" w:rsidR="005911B7" w:rsidRDefault="008D5C06" w:rsidP="007B1E7D">
      <w:r>
        <w:t xml:space="preserve">Ce qui précède établit le seuil de 60/100 comme paramètre opérationnel pour cette version de la plateforme, non comme un optimum démontré. Sur les seize profils du Gold Set, 60 et 50 produisent exactement les mêmes classifications : leur écart n’est donc pas observable sur ce jeu, et rien n’y établit la supériorité de 60 sur 50. Seule la remontée à 70 s’en distingue, en introduisant un faux négatif.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seize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Ces éléments alimentent les badges affichés dans le détail d’une candidature (figure 4.9)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ce qui permet à un dossier bloqué en zone grise de repartir normalement dans le pipeline.</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le journal d’audit (figure A.5).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0622333D" w14:textId="77777777" w:rsidR="005911B7" w:rsidRDefault="005911B7" w:rsidP="007B1E7D">
      <w:pPr>
        <w:pStyle w:val="Titre3"/>
      </w:pPr>
      <w:bookmarkStart w:id="61" w:name="_Toc240315751"/>
      <w:r>
        <w:t>4.5.2 Distinguer un rejet RH d’un rejet manager</w:t>
      </w:r>
      <w:bookmarkEnd w:id="61"/>
    </w:p>
    <w:p w14:paraId="691450D9"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Découplage entre planification d’entretien et statut du candidat</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protégées par des garde-fous, font avancer le dossier. Pour ne pas perdre en confort d’usage, l’interface garde une case à cocher optionnelle qui déclenche la transition correspondante en un clic, mais via l’endpoint protégé par ce même garde-fou, donc sans contourner la règle.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en cas d’échec avec un délai croissant (5 s, 10 s, 20 s, 40 s puis 80 s ; le plafond théorique de 300 s n’est jamais atteint avec cinq relances), soit au plus 6 tentatives au total, ce qui évite de perdre un événement sans pour autant bloquer la requête initiale.</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via le mécanisme de surcharge manuelle, avec justification obligatoire et trace dans le journal d’audit, tandis que les dossiers signalés needsHumanReview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keepNext/>
              <w:rPr>
                <w:b/>
                <w:sz w:val="21"/>
              </w:rPr>
            </w:pPr>
            <w:r>
              <w:rPr>
                <w:b/>
                <w:sz w:val="21"/>
              </w:rPr>
              <w:t>Fonctionnalité</w:t>
            </w:r>
          </w:p>
        </w:tc>
        <w:tc>
          <w:tcPr>
            <w:tcW w:w="817" w:type="pct"/>
            <w:shd w:val="clear" w:color="auto" w:fill="D9D9D9"/>
          </w:tcPr>
          <w:p w14:paraId="00CC2BD2" w14:textId="77777777" w:rsidR="005911B7" w:rsidRPr="007B1E7D" w:rsidRDefault="005911B7" w:rsidP="007B1E7D">
            <w:pPr>
              <w:keepNext/>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keepNext/>
              <w:rPr>
                <w:sz w:val="21"/>
              </w:rPr>
            </w:pPr>
            <w:r>
              <w:rPr>
                <w:sz w:val="21"/>
              </w:rPr>
              <w:t>Authentification et gestion des rôles (JWT, RBAC)</w:t>
            </w:r>
          </w:p>
        </w:tc>
        <w:tc>
          <w:tcPr>
            <w:tcW w:w="817" w:type="pct"/>
          </w:tcPr>
          <w:p w14:paraId="55B95671" w14:textId="77777777" w:rsidR="005911B7" w:rsidRPr="007B1E7D" w:rsidRDefault="005911B7" w:rsidP="007B1E7D">
            <w:pPr>
              <w:keepNext/>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keepNext/>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keepNext/>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keepNext/>
              <w:rPr>
                <w:sz w:val="21"/>
              </w:rPr>
            </w:pPr>
            <w:r>
              <w:rPr>
                <w:sz w:val="21"/>
              </w:rPr>
              <w:t>Gestion des candidatures et des CV</w:t>
            </w:r>
          </w:p>
        </w:tc>
        <w:tc>
          <w:tcPr>
            <w:tcW w:w="817" w:type="pct"/>
          </w:tcPr>
          <w:p w14:paraId="687F858E" w14:textId="77777777" w:rsidR="005911B7" w:rsidRPr="007B1E7D" w:rsidRDefault="005911B7" w:rsidP="007B1E7D">
            <w:pPr>
              <w:keepNext/>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keepNext/>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keepNext/>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keepNext/>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keepNext/>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keepNext/>
              <w:rPr>
                <w:sz w:val="21"/>
              </w:rPr>
            </w:pPr>
            <w:r>
              <w:rPr>
                <w:sz w:val="21"/>
              </w:rPr>
              <w:t>Gestion des feedbacks (saisie, validation RH)</w:t>
            </w:r>
          </w:p>
        </w:tc>
        <w:tc>
          <w:tcPr>
            <w:tcW w:w="817" w:type="pct"/>
          </w:tcPr>
          <w:p w14:paraId="47DFED35" w14:textId="77777777" w:rsidR="005911B7" w:rsidRPr="007B1E7D" w:rsidRDefault="005911B7" w:rsidP="007B1E7D">
            <w:pPr>
              <w:keepNext/>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keepNext/>
              <w:rPr>
                <w:sz w:val="21"/>
              </w:rPr>
            </w:pPr>
            <w:r>
              <w:rPr>
                <w:sz w:val="21"/>
              </w:rPr>
              <w:t xml:space="preserve">Routage automatique RH → manager par département (isolation stricte, repli famille de métier)</w:t>
            </w:r>
          </w:p>
        </w:tc>
        <w:tc>
          <w:tcPr>
            <w:tcW w:w="817" w:type="pct"/>
          </w:tcPr>
          <w:p w14:paraId="121300FF" w14:textId="77777777" w:rsidR="005911B7" w:rsidRPr="007B1E7D" w:rsidRDefault="005911B7" w:rsidP="007B1E7D">
            <w:pPr>
              <w:keepNext/>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keepNext/>
              <w:rPr>
                <w:sz w:val="21"/>
              </w:rPr>
            </w:pPr>
            <w:r>
              <w:rPr>
                <w:sz w:val="21"/>
              </w:rPr>
              <w:t>Notifications automatiques par e-mail (agents n8n)</w:t>
            </w:r>
          </w:p>
        </w:tc>
        <w:tc>
          <w:tcPr>
            <w:tcW w:w="817" w:type="pct"/>
          </w:tcPr>
          <w:p w14:paraId="3E627415" w14:textId="77777777" w:rsidR="005911B7" w:rsidRPr="007B1E7D" w:rsidRDefault="005911B7" w:rsidP="007B1E7D">
            <w:pPr>
              <w:keepNext/>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keepNext/>
              <w:rPr>
                <w:sz w:val="21"/>
              </w:rPr>
            </w:pPr>
            <w:r>
              <w:rPr>
                <w:sz w:val="21"/>
              </w:rPr>
              <w:t>Tableau de bord et pipeline de recrutement (Kanban)</w:t>
            </w:r>
          </w:p>
        </w:tc>
        <w:tc>
          <w:tcPr>
            <w:tcW w:w="817" w:type="pct"/>
          </w:tcPr>
          <w:p w14:paraId="7AD7F3A9" w14:textId="77777777" w:rsidR="005911B7" w:rsidRPr="007B1E7D" w:rsidRDefault="005911B7" w:rsidP="007B1E7D">
            <w:pPr>
              <w:keepNext/>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keepNext/>
              <w:rPr>
                <w:sz w:val="21"/>
              </w:rPr>
            </w:pPr>
            <w:r>
              <w:rPr>
                <w:sz w:val="21"/>
              </w:rPr>
              <w:t>Journal d’audit (traçabilité des actions)</w:t>
            </w:r>
          </w:p>
        </w:tc>
        <w:tc>
          <w:tcPr>
            <w:tcW w:w="817" w:type="pct"/>
          </w:tcPr>
          <w:p w14:paraId="00B702B8" w14:textId="77777777" w:rsidR="005911B7" w:rsidRPr="007B1E7D" w:rsidRDefault="005911B7" w:rsidP="007B1E7D">
            <w:pPr>
              <w:keepNext/>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keepNext/>
              <w:rPr>
                <w:sz w:val="21"/>
              </w:rPr>
            </w:pPr>
            <w:r>
              <w:rPr>
                <w:sz w:val="21"/>
              </w:rPr>
              <w:t xml:space="preserve">Matching « Job idéal » (suggestion d’offres à partir d’un CV)</w:t>
            </w:r>
          </w:p>
        </w:tc>
        <w:tc>
          <w:tcPr>
            <w:tcW w:w="817" w:type="pct"/>
          </w:tcPr>
          <w:p w14:paraId="2FFE87F4" w14:textId="77777777" w:rsidR="008A4E34" w:rsidRDefault="008A4E34" w:rsidP="007B1E7D">
            <w:pPr>
              <w:keepNext/>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keepNext/>
              <w:rPr>
                <w:sz w:val="21"/>
              </w:rPr>
            </w:pPr>
            <w:r>
              <w:rPr>
                <w:sz w:val="21"/>
              </w:rPr>
              <w:t>Entretien téléphonique RH obligatoire avant acceptation</w:t>
            </w:r>
          </w:p>
        </w:tc>
        <w:tc>
          <w:tcPr>
            <w:tcW w:w="817" w:type="pct"/>
          </w:tcPr>
          <w:p w14:paraId="5F7B83FD" w14:textId="77777777" w:rsidR="000F1AFA" w:rsidRDefault="000F1AFA" w:rsidP="007B1E7D">
            <w:pPr>
              <w:keepNext/>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keepNext/>
              <w:rPr>
                <w:sz w:val="21"/>
              </w:rPr>
            </w:pPr>
            <w:r>
              <w:rPr>
                <w:sz w:val="21"/>
              </w:rPr>
              <w:t>Calendrier manager dédié (lecture seule, cloisonné par périmètre)</w:t>
            </w:r>
          </w:p>
        </w:tc>
        <w:tc>
          <w:tcPr>
            <w:tcW w:w="817" w:type="pct"/>
          </w:tcPr>
          <w:p w14:paraId="63C3ED08" w14:textId="77777777" w:rsidR="000F1AFA" w:rsidRDefault="000F1AFA" w:rsidP="007B1E7D">
            <w:pPr>
              <w:keepNext/>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keepNext/>
              <w:rPr>
                <w:sz w:val="21"/>
              </w:rPr>
            </w:pPr>
            <w:r>
              <w:rPr>
                <w:sz w:val="21"/>
              </w:rPr>
              <w:t>Retrait de candidature en libre-service par le candidat</w:t>
            </w:r>
          </w:p>
        </w:tc>
        <w:tc>
          <w:tcPr>
            <w:tcW w:w="817" w:type="pct"/>
          </w:tcPr>
          <w:p w14:paraId="3CE2F2E7" w14:textId="77777777" w:rsidR="000F1AFA" w:rsidRDefault="000F1AFA" w:rsidP="007B1E7D">
            <w:pPr>
              <w:keepNext/>
              <w:rPr>
                <w:sz w:val="21"/>
              </w:rPr>
            </w:pPr>
            <w:r>
              <w:rPr>
                <w:sz w:val="21"/>
              </w:rPr>
              <w:t>Réalisée</w:t>
            </w:r>
          </w:p>
        </w:tc>
      </w:tr>
      <w:tr w:rsidR="00CE421D" w14:paraId="2B1407EA" w14:textId="77777777">
        <w:trPr>
          <w:cantSplit/>
        </w:trPr>
        <w:tc>
          <w:tcPr>
            <w:tcW w:w="4183" w:type="pct"/>
          </w:tcPr>
          <w:p w14:paraId="6C90A7D0" w14:textId="77777777" w:rsidR="00CE421D" w:rsidRDefault="00450284">
            <w:pPr>
              <w:keepNext/>
            </w:pPr>
            <w:r>
              <w:t>Assistant conversationnel candidat (chatbot IA via OpenRouter, connaissance des candidatures réelles et de la plateforme)</w:t>
            </w:r>
          </w:p>
        </w:tc>
        <w:tc>
          <w:tcPr>
            <w:tcW w:w="817" w:type="pct"/>
          </w:tcPr>
          <w:p w14:paraId="0482DAE4" w14:textId="77777777" w:rsidR="00CE421D" w:rsidRDefault="00450284">
            <w:pPr>
              <w:keepNext/>
            </w:pPr>
            <w:r>
              <w:t>Réalisée</w:t>
            </w:r>
          </w:p>
        </w:tc>
      </w:tr>
      <w:tr w:rsidR="00CE421D" w14:paraId="2B1407EA" w14:textId="77777777">
        <w:trPr>
          <w:cantSplit/>
        </w:trPr>
        <w:tc>
          <w:tcPr>
            <w:tcW w:w="4183" w:type="pct"/>
          </w:tcPr>
          <w:p w14:paraId="6C90A7D0" w14:textId="77777777" w:rsidR="00CE421D" w:rsidRDefault="00450284">
            <w:pPr>
              <w:keepNext/>
            </w:pPr>
            <w:r>
              <w:t xml:space="preserve">Évaluation du matching sur un Gold Set de seize CVs annotés</w:t>
            </w:r>
          </w:p>
        </w:tc>
        <w:tc>
          <w:tcPr>
            <w:tcW w:w="817" w:type="pct"/>
          </w:tcPr>
          <w:p w14:paraId="0482DAE4" w14:textId="77777777" w:rsidR="00CE421D" w:rsidRDefault="00450284">
            <w:pPr>
              <w:keepNext/>
            </w:pPr>
            <w:r>
              <w:t xml:space="preserve">Réalisée</w:t>
            </w:r>
          </w:p>
        </w:tc>
      </w:tr>
      <w:tr w:rsidR="00CE421D" w14:paraId="2B1407EA" w14:textId="77777777">
        <w:trPr>
          <w:cantSplit/>
        </w:trPr>
        <w:tc>
          <w:tcPr>
            <w:tcW w:w="4183" w:type="pct"/>
          </w:tcPr>
          <w:p w14:paraId="6C90A7D0" w14:textId="77777777" w:rsidR="00CE421D" w:rsidRDefault="00450284">
            <w:pPr>
              <w:keepNext/>
            </w:pPr>
            <w:r>
              <w:t xml:space="preserve">Human-in-the-Loop : signalement des dossiers à arbitrer (needsHumanReview)</w:t>
            </w:r>
          </w:p>
        </w:tc>
        <w:tc>
          <w:tcPr>
            <w:tcW w:w="817" w:type="pct"/>
          </w:tcPr>
          <w:p w14:paraId="0482DAE4" w14:textId="77777777" w:rsidR="00CE421D" w:rsidRDefault="00450284">
            <w:pPr>
              <w:keepNext/>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 xml:space="preserve">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la suite de tests automatisés — qui compte déjà 108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seize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r>
        <w:t xml:space="preserve">Annexe A — Captures d’écran complémentaires</w:t>
      </w:r>
    </w:p>
    <w:p w14:paraId="30A5B2DD" w14:textId="77777777" w:rsidR="005911B7" w:rsidRDefault="008D5C06" w:rsidP="007B1E7D">
      <w:pPr/>
      <w:r>
        <w:t xml:space="preserve">Cette annexe regroupe dix captures complémentaires de la plateforme, citées dans le chapitre 4 mais non reproduites dans le corps du rapport afin d’en préserver la lisibilité. Comme les figures du corps, elles proviennent de l’application en fonctionnement.</w:t>
      </w:r>
    </w:p>
    <w:p w14:paraId="36E2BBAE" w14:textId="77777777" w:rsidR="005911B7" w:rsidRDefault="00CA1A9F" w:rsidP="007B1E7D">
      <w:pPr>
        <w:keepNext/>
        <w:jc w:val="center"/>
      </w:pPr>
      <w:r>
        <w:rPr>
          <w:noProof/>
        </w:rPr>
        <w:pict w14:anchorId="5BF0AF37">
          <v:shape id="Image 14" o:spid="_x0000_i1041" type="#_x0000_t75" style="width:235.3pt;height:470.0pt;visibility:visible;mso-wrap-style:square">
            <v:imagedata r:id="rId27" o:title=""/>
          </v:shape>
        </w:pict>
      </w:r>
    </w:p>
    <w:p w14:paraId="3346D263" w14:textId="77777777" w:rsidR="005911B7" w:rsidRDefault="005911B7" w:rsidP="007B1E7D">
      <w:pPr>
        <w:jc w:val="center"/>
        <w:rPr>
          <w:i/>
          <w:sz w:val="21"/>
        </w:rPr>
      </w:pPr>
      <w:r>
        <w:rPr>
          <w:i/>
          <w:sz w:val="21"/>
        </w:rPr>
        <w:t xml:space="preserve">Figure A.1 : Page de connexion</w:t>
      </w:r>
    </w:p>
    <w:p w14:paraId="20B08E4E" w14:textId="77777777" w:rsidR="005911B7" w:rsidRDefault="00CA1A9F" w:rsidP="007B1E7D">
      <w:pPr>
        <w:keepNext/>
        <w:jc w:val="center"/>
      </w:pPr>
      <w:r>
        <w:rPr>
          <w:noProof/>
        </w:rPr>
        <w:pict w14:anchorId="0B44AC1E">
          <v:shape id="Image 17" o:spid="_x0000_i1044" type="#_x0000_t75" style="visibility:visible;mso-wrap-style:square;width:425.0pt;height:452.2pt">
            <v:imagedata r:id="rId30" o:title=""/>
          </v:shape>
        </w:pict>
      </w:r>
    </w:p>
    <w:p w14:paraId="3050056D" w14:textId="77777777" w:rsidR="005911B7" w:rsidRDefault="005911B7" w:rsidP="007B1E7D">
      <w:pPr>
        <w:jc w:val="center"/>
        <w:rPr>
          <w:i/>
          <w:sz w:val="21"/>
        </w:rPr>
      </w:pPr>
      <w:r>
        <w:rPr>
          <w:i/>
          <w:sz w:val="21"/>
        </w:rPr>
        <w:t xml:space="preserve">Figure A.2 : Modification d’un dossier candidat</w:t>
      </w:r>
    </w:p>
    <w:p w14:paraId="29148E8D" w14:textId="77777777" w:rsidR="005911B7" w:rsidRDefault="00CA1A9F" w:rsidP="007B1E7D">
      <w:pPr>
        <w:keepNext/>
        <w:jc w:val="center"/>
      </w:pPr>
      <w:r>
        <w:rPr>
          <w:noProof/>
        </w:rPr>
        <w:pict w14:anchorId="61C2271E">
          <v:shape id="Image 19" o:spid="_x0000_i1046" type="#_x0000_t75" style="width:425.0pt;height:244.0pt;visibility:visible;mso-wrap-style:square">
            <v:imagedata r:id="rId32" o:title=""/>
          </v:shape>
        </w:pict>
      </w:r>
    </w:p>
    <w:p w14:paraId="14AD82FA" w14:textId="77777777" w:rsidR="005911B7" w:rsidRDefault="005911B7" w:rsidP="007B1E7D">
      <w:pPr>
        <w:jc w:val="center"/>
        <w:rPr>
          <w:i/>
          <w:sz w:val="21"/>
        </w:rPr>
      </w:pPr>
      <w:r>
        <w:rPr>
          <w:i/>
          <w:sz w:val="21"/>
        </w:rPr>
        <w:t xml:space="preserve">Figure A.3 : Gestion des entretiens</w:t>
      </w:r>
    </w:p>
    <w:p w14:paraId="3B0AAACB" w14:textId="77777777" w:rsidR="005911B7" w:rsidRDefault="00CA1A9F" w:rsidP="007B1E7D">
      <w:pPr>
        <w:keepNext/>
        <w:jc w:val="center"/>
      </w:pPr>
      <w:r>
        <w:rPr>
          <w:noProof/>
        </w:rPr>
        <w:pict w14:anchorId="4A63A72C">
          <v:shape id="Image 20" o:spid="_x0000_i1047" type="#_x0000_t75" style="width:425.0pt;height:235.5pt;visibility:visible;mso-wrap-style:square">
            <v:imagedata r:id="rId33" o:title=""/>
          </v:shape>
        </w:pict>
      </w:r>
    </w:p>
    <w:p w14:paraId="23470364" w14:textId="77777777" w:rsidR="005911B7" w:rsidRDefault="005911B7" w:rsidP="007B1E7D">
      <w:pPr>
        <w:jc w:val="center"/>
        <w:rPr>
          <w:i/>
          <w:sz w:val="21"/>
        </w:rPr>
      </w:pPr>
      <w:r>
        <w:rPr>
          <w:i/>
          <w:sz w:val="21"/>
        </w:rPr>
        <w:t xml:space="preserve">Figure A.4 : Gestion des feedbacks</w:t>
      </w:r>
    </w:p>
    <w:p w14:paraId="0B1676FD" w14:textId="77777777" w:rsidR="005911B7" w:rsidRDefault="00CA1A9F" w:rsidP="007B1E7D">
      <w:pPr>
        <w:keepNext/>
        <w:jc w:val="center"/>
      </w:pPr>
      <w:r>
        <w:rPr>
          <w:noProof/>
        </w:rPr>
        <w:pict w14:anchorId="66625CE5">
          <v:shape id="Image 23" o:spid="_x0000_i1050" type="#_x0000_t75" style="width:425.0pt;height:245.2pt;visibility:visible;mso-wrap-style:square">
            <v:imagedata r:id="rId36" o:title=""/>
          </v:shape>
        </w:pict>
      </w:r>
    </w:p>
    <w:p w14:paraId="77DF7A55" w14:textId="77777777" w:rsidR="005911B7" w:rsidRDefault="005911B7" w:rsidP="007B1E7D">
      <w:pPr>
        <w:jc w:val="center"/>
        <w:rPr>
          <w:i/>
          <w:sz w:val="21"/>
        </w:rPr>
      </w:pPr>
      <w:r>
        <w:rPr>
          <w:i/>
          <w:sz w:val="21"/>
        </w:rPr>
        <w:t xml:space="preserve">Figure A.5 : Journal d’audit</w:t>
      </w:r>
    </w:p>
    <w:p w14:paraId="609C1A12" w14:textId="7262CE25" w:rsidR="00C90533" w:rsidRDefault="00CA1A9F">
      <w:pPr>
        <w:keepNext/>
        <w:jc w:val="center"/>
      </w:pPr>
      <w:r>
        <w:rPr>
          <w:noProof/>
        </w:rPr>
        <w:pict w14:anchorId="65301F00">
          <v:shape id="Picture 8" o:spid="_x0000_i1051" type="#_x0000_t75" style="visibility:visible;mso-wrap-style:square;width:384.9pt;height:390.0pt">
            <v:imagedata r:id="rId37" o:title=""/>
          </v:shape>
        </w:pict>
      </w:r>
    </w:p>
    <w:p w14:paraId="438164E7" w14:textId="77777777" w:rsidR="00730833" w:rsidRDefault="00AF2881">
      <w:pPr>
        <w:sectPr w:rsidR="00161C39" w:rsidRPr="00443232" w:rsidSect="005911B7">
          <w:type w:val="nextPage"/>
          <w:pgSz w:w="11906" w:h="16838"/>
          <w:pgMar w:top="1420" w:right="1140" w:bottom="1420" w:left="1700" w:header="708" w:footer="708" w:gutter="0"/>
          <w:cols w:space="708"/>
          <w:docGrid w:linePitch="360"/>
        </w:sectPr>
        <w:jc w:val="center"/>
        <w:rPr>
          <w:i/>
          <w:sz w:val="21"/>
        </w:rPr>
      </w:pPr>
      <w:r>
        <w:rPr>
          <w:i/>
          <w:sz w:val="21"/>
        </w:rPr>
        <w:t xml:space="preserve">Figure A.6 : Soumission d’une candidature avec dépôt de CV</w:t>
      </w:r>
    </w:p>
    <w:p w14:paraId="234F2466" w14:textId="3397CEB3" w:rsidR="00730833" w:rsidRDefault="00CA1A9F">
      <w:pPr>
        <w:keepNext/>
        <w:jc w:val="center"/>
      </w:pPr>
      <w:r>
        <w:rPr>
          <w:noProof/>
        </w:rPr>
        <w:pict w14:anchorId="1ABB31E4">
          <v:shape id="Picture 7" o:spid="_x0000_i1054" type="#_x0000_t75" style="visibility:visible;mso-wrap-style:square;width:700.0pt;height:389.9pt">
            <v:imagedata r:id="rId40" o:title=""/>
          </v:shape>
        </w:pict>
      </w:r>
    </w:p>
    <w:p w14:paraId="213F627D" w14:textId="77777777" w:rsidR="00730833" w:rsidRDefault="00AF2881">
      <w:pPr>
        <w:sectPr w:rsidR="00161C39" w:rsidRPr="00443232" w:rsidSect="005911B7">
          <w:type w:val="nextPage"/>
          <w:pgSz w:w="16838" w:h="11906" w:orient="landscape"/>
          <w:pgMar w:top="1420" w:right="1140" w:bottom="1420" w:left="1140" w:header="708" w:footer="708" w:gutter="0"/>
          <w:cols w:space="708"/>
          <w:docGrid w:linePitch="360"/>
        </w:sectPr>
        <w:jc w:val="center"/>
        <w:rPr>
          <w:i/>
          <w:sz w:val="21"/>
        </w:rPr>
      </w:pPr>
      <w:r>
        <w:rPr>
          <w:i/>
          <w:sz w:val="21"/>
        </w:rPr>
        <w:t xml:space="preserve">Figure A.7 : Espace Manager — candidatures relevant du périmètre du manager</w:t>
      </w:r>
    </w:p>
    <w:p w14:paraId="234F2466" w14:textId="3397CEB3" w:rsidR="00730833" w:rsidRDefault="00CA1A9F">
      <w:pPr>
        <w:keepNext/>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 xml:space="preserve">Figure A.8 : Console n8n — les trois flux d’automatisation publiés et leurs statistiques</w:t>
      </w:r>
    </w:p>
    <w:p w14:paraId="234F2466" w14:textId="3397CEB3" w:rsidR="00730833" w:rsidRDefault="00CA1A9F">
      <w:pPr>
        <w:keepNext/>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A.9 : Flux n8n de l’Agent 1 — webhook de candidature, appel du scoring Cohere puis e-mail au candidat</w:t>
      </w:r>
    </w:p>
    <w:p w14:paraId="234F2466" w14:textId="3397CEB3" w:rsidR="00730833" w:rsidRDefault="00CA1A9F">
      <w:pPr>
        <w:keepNext/>
        <w:jc w:val="center"/>
      </w:pPr>
      <w:r>
        <w:rPr>
          <w:noProof/>
        </w:rPr>
        <w:pict w14:anchorId="1ABB31E4">
          <v:shape id="Picture 110" o:spid="_x0000_i1063" type="#_x0000_t75" style="width:425.0pt;height:286.4pt;visibility:visible;mso-wrap-style:square">
            <v:imagedata r:id="rId905" o:title=""/>
          </v:shape>
        </w:pict>
      </w:r>
    </w:p>
    <w:p w14:paraId="213F627D" w14:textId="77777777" w:rsidR="00730833" w:rsidRDefault="00AF2881">
      <w:pPr>
        <w:jc w:val="center"/>
        <w:rPr>
          <w:i/>
          <w:sz w:val="21"/>
        </w:rPr>
      </w:pPr>
      <w:r>
        <w:rPr>
          <w:i/>
          <w:sz w:val="21"/>
        </w:rPr>
        <w:t xml:space="preserve">Figure A.10 : E-mail automatique de confirmation de candidature reçu par le candidat</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