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et sans jamais exposer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using only their own real data and without ever exposing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17</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18</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18</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18</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18</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19</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20</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21</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23</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26</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27</w:t>
      </w:r>
    </w:p>
    <w:p w:rsidR="000422CF" w:rsidRDefault="000422CF">
      <w:pPr>
        <w:pStyle w:val="TM2"/>
        <w:tabs>
          <w:tab w:val="right" w:leader="dot" w:pos="9066"/>
        </w:tabs>
        <w:rPr>
          <w:rFonts w:ascii="Aptos" w:eastAsia="Times New Roman" w:hAnsi="Aptos"/>
          <w:noProof/>
          <w:lang w:eastAsia="fr-FR"/>
        </w:rPr>
      </w:pPr>
      <w:r>
        <w:t xml:space="preserve">2.3 Étude technique</w:t>
        <w:tab/>
        <w:t>28</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28</w:t>
      </w:r>
    </w:p>
    <w:p w:rsidR="000422CF" w:rsidRDefault="000422CF">
      <w:pPr>
        <w:pStyle w:val="TM3"/>
        <w:tabs>
          <w:tab w:val="right" w:leader="dot" w:pos="9066"/>
        </w:tabs>
        <w:rPr>
          <w:rFonts w:ascii="Aptos" w:eastAsia="Times New Roman" w:hAnsi="Aptos"/>
          <w:noProof/>
          <w:lang w:eastAsia="fr-FR"/>
        </w:rPr>
      </w:pPr>
      <w:r>
        <w:t xml:space="preserve">2.3.2 Côté client — Angular</w:t>
        <w:tab/>
        <w:t>29</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29</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29</w:t>
      </w:r>
    </w:p>
    <w:p w:rsidR="000422CF" w:rsidRDefault="000422CF">
      <w:pPr>
        <w:pStyle w:val="TM2"/>
        <w:tabs>
          <w:tab w:val="right" w:leader="dot" w:pos="9066"/>
        </w:tabs>
        <w:rPr>
          <w:rFonts w:ascii="Aptos" w:eastAsia="Times New Roman" w:hAnsi="Aptos"/>
          <w:noProof/>
          <w:lang w:eastAsia="fr-FR"/>
        </w:rPr>
      </w:pPr>
      <w:r>
        <w:t xml:space="preserve">2.4 Conclusion</w:t>
        <w:tab/>
        <w:t>30</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31</w:t>
      </w:r>
    </w:p>
    <w:p w:rsidR="000422CF" w:rsidRDefault="000422CF">
      <w:pPr>
        <w:pStyle w:val="TM2"/>
        <w:tabs>
          <w:tab w:val="right" w:leader="dot" w:pos="9066"/>
        </w:tabs>
        <w:rPr>
          <w:rFonts w:ascii="Aptos" w:eastAsia="Times New Roman" w:hAnsi="Aptos"/>
          <w:noProof/>
          <w:lang w:eastAsia="fr-FR"/>
        </w:rPr>
      </w:pPr>
      <w:r>
        <w:t xml:space="preserve">3.1 Introduction</w:t>
        <w:tab/>
        <w:t>31</w:t>
      </w:r>
    </w:p>
    <w:p w:rsidR="000422CF" w:rsidRDefault="000422CF">
      <w:pPr>
        <w:pStyle w:val="TM2"/>
        <w:tabs>
          <w:tab w:val="right" w:leader="dot" w:pos="9066"/>
        </w:tabs>
        <w:rPr>
          <w:rFonts w:ascii="Aptos" w:eastAsia="Times New Roman" w:hAnsi="Aptos"/>
          <w:noProof/>
          <w:lang w:eastAsia="fr-FR"/>
        </w:rPr>
      </w:pPr>
      <w:r>
        <w:t xml:space="preserve">3.2 Diagramme des paquetages</w:t>
        <w:tab/>
        <w:t>31</w:t>
      </w:r>
    </w:p>
    <w:p w:rsidR="000422CF" w:rsidRDefault="000422CF">
      <w:pPr>
        <w:pStyle w:val="TM2"/>
        <w:tabs>
          <w:tab w:val="right" w:leader="dot" w:pos="9066"/>
        </w:tabs>
        <w:rPr>
          <w:rFonts w:ascii="Aptos" w:eastAsia="Times New Roman" w:hAnsi="Aptos"/>
          <w:noProof/>
          <w:lang w:eastAsia="fr-FR"/>
        </w:rPr>
      </w:pPr>
      <w:r>
        <w:t xml:space="preserve">3.3 Diagrammes de classes</w:t>
        <w:tab/>
        <w:t>32</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35</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35</w:t>
      </w:r>
    </w:p>
    <w:p w:rsidR="000422CF" w:rsidRDefault="000422CF">
      <w:pPr>
        <w:pStyle w:val="TM3"/>
        <w:tabs>
          <w:tab w:val="right" w:leader="dot" w:pos="9066"/>
        </w:tabs>
        <w:rPr>
          <w:rFonts w:ascii="Aptos" w:eastAsia="Times New Roman" w:hAnsi="Aptos"/>
          <w:noProof/>
          <w:lang w:eastAsia="fr-FR"/>
        </w:rPr>
      </w:pPr>
      <w:r>
        <w:t xml:space="preserve">3.5.1 Planifier un entretien</w:t>
        <w:tab/>
        <w:t>36</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37</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38</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39</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40</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41</w:t>
      </w:r>
    </w:p>
    <w:p w:rsidR="000422CF" w:rsidRDefault="000422CF">
      <w:pPr>
        <w:pStyle w:val="TM2"/>
        <w:tabs>
          <w:tab w:val="right" w:leader="dot" w:pos="9066"/>
        </w:tabs>
        <w:rPr>
          <w:rFonts w:ascii="Aptos" w:eastAsia="Times New Roman" w:hAnsi="Aptos"/>
          <w:noProof/>
          <w:lang w:eastAsia="fr-FR"/>
        </w:rPr>
      </w:pPr>
      <w:r>
        <w:t xml:space="preserve">3.8 Diagramme de composants</w:t>
        <w:tab/>
        <w:t>42</w:t>
      </w:r>
    </w:p>
    <w:p w:rsidR="000422CF" w:rsidRDefault="000422CF">
      <w:pPr>
        <w:pStyle w:val="TM2"/>
        <w:tabs>
          <w:tab w:val="right" w:leader="dot" w:pos="9066"/>
        </w:tabs>
        <w:rPr>
          <w:rFonts w:ascii="Aptos" w:eastAsia="Times New Roman" w:hAnsi="Aptos"/>
          <w:noProof/>
          <w:lang w:eastAsia="fr-FR"/>
        </w:rPr>
      </w:pPr>
      <w:r>
        <w:t xml:space="preserve">3.9 Diagramme de déploiement</w:t>
        <w:tab/>
        <w:t>44</w:t>
      </w:r>
    </w:p>
    <w:p w:rsidR="000422CF" w:rsidRDefault="000422CF">
      <w:pPr>
        <w:pStyle w:val="TM2"/>
        <w:tabs>
          <w:tab w:val="right" w:leader="dot" w:pos="9066"/>
        </w:tabs>
        <w:rPr>
          <w:rFonts w:ascii="Aptos" w:eastAsia="Times New Roman" w:hAnsi="Aptos"/>
          <w:noProof/>
          <w:lang w:eastAsia="fr-FR"/>
        </w:rPr>
      </w:pPr>
      <w:r>
        <w:t xml:space="preserve">3.10 Conclusion</w:t>
        <w:tab/>
        <w:t>44</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45</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45</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45</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45</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45</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46</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46</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46</w:t>
      </w:r>
    </w:p>
    <w:p w14:paraId="79B3FD09" w14:textId="77FE9BCD" w:rsidR="000422CF" w:rsidRDefault="000422CF">
      <w:pPr>
        <w:pStyle w:val="TM2"/>
        <w:tabs>
          <w:tab w:val="right" w:leader="dot" w:pos="9066"/>
        </w:tabs>
        <w:rPr>
          <w:rFonts w:ascii="Aptos" w:eastAsia="Times New Roman" w:hAnsi="Aptos"/>
          <w:noProof/>
          <w:lang w:eastAsia="fr-FR"/>
        </w:rPr>
      </w:pPr>
      <w:r>
        <w:t>4.4 Tests</w:t>
        <w:tab/>
        <w:t>60</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60</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60</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62</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62</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62</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64</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64</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64</w:t>
      </w:r>
    </w:p>
    <w:p w14:paraId="4C766FE2" w14:textId="4D99A644" w:rsidR="000422CF" w:rsidRDefault="000422CF">
      <w:pPr>
        <w:pStyle w:val="TM3"/>
        <w:tabs>
          <w:tab w:val="right" w:leader="dot" w:pos="9066"/>
        </w:tabs>
        <w:rPr>
          <w:rFonts w:ascii="Aptos" w:eastAsia="Times New Roman" w:hAnsi="Aptos"/>
          <w:noProof/>
          <w:lang w:eastAsia="fr-FR"/>
        </w:rPr>
      </w:pPr>
      <w:r>
        <w:t>4.5.2 Distinguer un rejet RH d’un rejet manager</w:t>
        <w:tab/>
        <w:t>65</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65</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65</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65</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66</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66</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66</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66</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67</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67</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67</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69</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70</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71</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73</w:t>
      </w:r>
    </w:p>
    <w:p w14:paraId="02CC94FF" w14:textId="73A2BE14" w:rsidR="000422CF" w:rsidRDefault="000422CF">
      <w:pPr>
        <w:pStyle w:val="TM1"/>
        <w:tabs>
          <w:tab w:val="right" w:leader="dot" w:pos="9066"/>
        </w:tabs>
        <w:rPr>
          <w:rFonts w:ascii="Aptos" w:eastAsia="Times New Roman" w:hAnsi="Aptos"/>
          <w:noProof/>
          <w:lang w:eastAsia="fr-FR"/>
        </w:rPr>
      </w:pPr>
      <w:r>
        <w:t>Glossaire</w:t>
        <w:tab/>
        <w:t>75</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2.1 : Diagramme d’activité — Vue d’ensemble du processus de recrutement</w:t>
        <w:tab/>
        <w:t>22</w:t>
      </w:r>
    </w:p>
    <w:p w:rsidR="005911B7" w:rsidRDefault="005911B7" w:rsidP="007B1E7D">
      <w:pPr>
        <w:keepNext/>
        <w:tabs>
          <w:tab w:val="right" w:leader="dot" w:pos="9066"/>
        </w:tabs>
      </w:pPr>
      <w:r>
        <w:t xml:space="preserve">Figure 2.2 : Diagramme de cas d’utilisation global</w:t>
        <w:tab/>
        <w:t>23</w:t>
      </w:r>
    </w:p>
    <w:p w:rsidR="005911B7" w:rsidRDefault="005911B7" w:rsidP="007B1E7D">
      <w:pPr>
        <w:keepNext/>
        <w:tabs>
          <w:tab w:val="right" w:leader="dot" w:pos="9066"/>
        </w:tabs>
      </w:pPr>
      <w:r>
        <w:t xml:space="preserve">Figure 2.3 : Diagramme de cas d’utilisation — Portail Candidat &amp; Visiteur</w:t>
        <w:tab/>
        <w:t>24</w:t>
      </w:r>
    </w:p>
    <w:p w:rsidR="005911B7" w:rsidRDefault="005911B7" w:rsidP="007B1E7D">
      <w:pPr>
        <w:keepNext/>
        <w:tabs>
          <w:tab w:val="right" w:leader="dot" w:pos="9066"/>
        </w:tabs>
      </w:pPr>
      <w:r>
        <w:t xml:space="preserve">Figure 2.4 : Diagramme de cas d’utilisation — Processus de Recrutement &amp; Évaluation</w:t>
        <w:tab/>
        <w:t>25</w:t>
      </w:r>
    </w:p>
    <w:p w:rsidR="005911B7" w:rsidRDefault="005911B7" w:rsidP="007B1E7D">
      <w:pPr>
        <w:keepNext/>
        <w:tabs>
          <w:tab w:val="right" w:leader="dot" w:pos="9066"/>
        </w:tabs>
      </w:pPr>
      <w:r>
        <w:t xml:space="preserve">Figure 2.5 : Diagramme de cas d’utilisation — Administration &amp; Paramétrage</w:t>
        <w:tab/>
        <w:t>26</w:t>
      </w:r>
    </w:p>
    <w:p w:rsidR="005911B7" w:rsidRDefault="005911B7" w:rsidP="007B1E7D">
      <w:pPr>
        <w:keepNext/>
        <w:tabs>
          <w:tab w:val="right" w:leader="dot" w:pos="9066"/>
        </w:tabs>
      </w:pPr>
      <w:r>
        <w:t xml:space="preserve">Figure 2.6 : Diagramme de séquence système — Soumettre une candidature (boîte noire)</w:t>
        <w:tab/>
        <w:t>28</w:t>
      </w:r>
    </w:p>
    <w:p w:rsidR="005911B7" w:rsidRDefault="005911B7" w:rsidP="007B1E7D">
      <w:pPr>
        <w:keepNext/>
        <w:tabs>
          <w:tab w:val="right" w:leader="dot" w:pos="9066"/>
        </w:tabs>
      </w:pPr>
      <w:r>
        <w:t xml:space="preserve">Figure 3.1 : Diagramme des paquetages</w:t>
        <w:tab/>
        <w:t>31</w:t>
      </w:r>
    </w:p>
    <w:p w:rsidR="005911B7" w:rsidRDefault="005911B7" w:rsidP="007B1E7D">
      <w:pPr>
        <w:keepNext/>
        <w:tabs>
          <w:tab w:val="right" w:leader="dot" w:pos="9066"/>
        </w:tabs>
      </w:pPr>
      <w:r>
        <w:t xml:space="preserve">Figure 3.2 : Diagramme de classes — vue globale du domaine métier</w:t>
        <w:tab/>
        <w:t>32</w:t>
      </w:r>
    </w:p>
    <w:p w:rsidR="005911B7" w:rsidRDefault="005911B7" w:rsidP="007B1E7D">
      <w:pPr>
        <w:keepNext/>
        <w:tabs>
          <w:tab w:val="right" w:leader="dot" w:pos="9066"/>
        </w:tabs>
      </w:pPr>
      <w:r>
        <w:t xml:space="preserve">Figure 3.2a : Diagramme de classes — modèle recrutement</w:t>
        <w:tab/>
        <w:t>33</w:t>
      </w:r>
    </w:p>
    <w:p w:rsidR="005911B7" w:rsidRDefault="005911B7" w:rsidP="007B1E7D">
      <w:pPr>
        <w:keepNext/>
        <w:tabs>
          <w:tab w:val="right" w:leader="dot" w:pos="9066"/>
        </w:tabs>
      </w:pPr>
      <w:r>
        <w:t xml:space="preserve">Figure 3.2b : Diagramme de classes — utilisateurs et sécurité</w:t>
        <w:tab/>
        <w:t>34</w:t>
      </w:r>
    </w:p>
    <w:p w:rsidR="005911B7" w:rsidRDefault="005911B7" w:rsidP="007B1E7D">
      <w:pPr>
        <w:keepNext/>
        <w:tabs>
          <w:tab w:val="right" w:leader="dot" w:pos="9066"/>
        </w:tabs>
      </w:pPr>
      <w:r>
        <w:t xml:space="preserve">Figure 3.3 : Diagramme de séquence technique — Soumission asynchrone et scoring IA</w:t>
        <w:tab/>
        <w:t>35</w:t>
      </w:r>
    </w:p>
    <w:p w:rsidR="005911B7" w:rsidRDefault="005911B7" w:rsidP="007B1E7D">
      <w:pPr>
        <w:keepNext/>
        <w:tabs>
          <w:tab w:val="right" w:leader="dot" w:pos="9066"/>
        </w:tabs>
      </w:pPr>
      <w:r>
        <w:t xml:space="preserve">Figure 3.4 : Diagramme de séquence objet — Planifier un entretien</w:t>
        <w:tab/>
        <w:t>36</w:t>
      </w:r>
    </w:p>
    <w:p w:rsidR="005911B7" w:rsidRDefault="005911B7" w:rsidP="007B1E7D">
      <w:pPr>
        <w:keepNext/>
        <w:tabs>
          <w:tab w:val="right" w:leader="dot" w:pos="9066"/>
        </w:tabs>
      </w:pPr>
      <w:r>
        <w:t xml:space="preserve">Figure 3.5 : Diagramme de séquence objet — Décision finale de recrutement</w:t>
        <w:tab/>
        <w:t>37</w:t>
      </w:r>
    </w:p>
    <w:p w:rsidR="005911B7" w:rsidRDefault="005911B7" w:rsidP="007B1E7D">
      <w:pPr>
        <w:keepNext/>
        <w:tabs>
          <w:tab w:val="right" w:leader="dot" w:pos="9066"/>
        </w:tabs>
      </w:pPr>
      <w:r>
        <w:t xml:space="preserve">Figure 3.6 : Diagramme de séquence objet — Analyse IA du CV</w:t>
        <w:tab/>
        <w:t>38</w:t>
      </w:r>
    </w:p>
    <w:p w:rsidR="005911B7" w:rsidRDefault="005911B7" w:rsidP="007B1E7D">
      <w:pPr>
        <w:keepNext/>
        <w:tabs>
          <w:tab w:val="right" w:leader="dot" w:pos="9066"/>
        </w:tabs>
      </w:pPr>
      <w:r>
        <w:t xml:space="preserve">Figure 3.7 : Diagramme de séquence objet — Routage et notification des managers</w:t>
        <w:tab/>
        <w:t>39</w:t>
      </w:r>
    </w:p>
    <w:p w:rsidR="005911B7" w:rsidRDefault="005911B7" w:rsidP="007B1E7D">
      <w:pPr>
        <w:keepNext/>
        <w:tabs>
          <w:tab w:val="right" w:leader="dot" w:pos="9066"/>
        </w:tabs>
      </w:pPr>
      <w:r>
        <w:t xml:space="preserve">Figure 3.8 : Diagramme d’états du cycle de vie d’une candidature</w:t>
        <w:tab/>
        <w:t>40</w:t>
      </w:r>
    </w:p>
    <w:p w:rsidR="005911B7" w:rsidRDefault="005911B7" w:rsidP="007B1E7D">
      <w:pPr>
        <w:keepNext/>
        <w:tabs>
          <w:tab w:val="right" w:leader="dot" w:pos="9066"/>
        </w:tabs>
      </w:pPr>
      <w:r>
        <w:t xml:space="preserve">Figure 3.9 : Schéma relationnel de la base de données PostgreSQL</w:t>
        <w:tab/>
        <w:t>42</w:t>
      </w:r>
    </w:p>
    <w:p w:rsidR="005911B7" w:rsidRDefault="005911B7" w:rsidP="007B1E7D">
      <w:pPr>
        <w:keepNext/>
        <w:tabs>
          <w:tab w:val="right" w:leader="dot" w:pos="9066"/>
        </w:tabs>
      </w:pPr>
      <w:r>
        <w:t xml:space="preserve">Figure 3.10 : Diagramme de composants de la plateforme JOB4YOU</w:t>
        <w:tab/>
        <w:t>43</w:t>
      </w:r>
    </w:p>
    <w:p w:rsidR="005911B7" w:rsidRDefault="005911B7" w:rsidP="007B1E7D">
      <w:pPr>
        <w:keepNext/>
        <w:tabs>
          <w:tab w:val="right" w:leader="dot" w:pos="9066"/>
        </w:tabs>
      </w:pPr>
      <w:r>
        <w:t xml:space="preserve">Figure 3.11 : Diagramme de déploiement de la plateforme JOB4YOU</w:t>
        <w:tab/>
        <w:t>44</w:t>
      </w:r>
    </w:p>
    <w:p w14:paraId="50335382" w14:textId="54EF0CDD" w:rsidR="005911B7" w:rsidRDefault="005911B7" w:rsidP="007B1E7D">
      <w:pPr>
        <w:tabs>
          <w:tab w:val="right" w:leader="dot" w:pos="9066"/>
        </w:tabs>
      </w:pPr>
      <w:r>
        <w:t>Figure 4.1 : Page d’accueil publique — recherche d’offres d’emploi</w:t>
        <w:tab/>
        <w:t>46</w:t>
      </w:r>
    </w:p>
    <w:p w14:paraId="5C177565" w14:textId="6CD0A4EA" w:rsidR="005911B7" w:rsidRDefault="005911B7" w:rsidP="007B1E7D">
      <w:pPr>
        <w:tabs>
          <w:tab w:val="right" w:leader="dot" w:pos="9066"/>
        </w:tabs>
      </w:pPr>
      <w:r>
        <w:t>Figure 4.2 : Page de connexion</w:t>
        <w:tab/>
        <w:t>47</w:t>
      </w:r>
    </w:p>
    <w:p w14:paraId="0AFF955C" w14:textId="72F5DA5C" w:rsidR="005911B7" w:rsidRDefault="005911B7" w:rsidP="007B1E7D">
      <w:pPr>
        <w:tabs>
          <w:tab w:val="right" w:leader="dot" w:pos="9066"/>
        </w:tabs>
      </w:pPr>
      <w:r>
        <w:t>Figure 4.3 : Gestion des offres d’emploi (espace RH)</w:t>
        <w:tab/>
        <w:t>48</w:t>
      </w:r>
    </w:p>
    <w:p w14:paraId="0A11B2F5" w14:textId="59AA0FB2" w:rsidR="005911B7" w:rsidRDefault="005911B7" w:rsidP="007B1E7D">
      <w:pPr>
        <w:tabs>
          <w:tab w:val="right" w:leader="dot" w:pos="9066"/>
        </w:tabs>
      </w:pPr>
      <w:r>
        <w:t>Figure 4.4 : Gestion des candidats — vue liste avec score IA</w:t>
        <w:tab/>
        <w:t>48</w:t>
      </w:r>
    </w:p>
    <w:p w14:paraId="640B0DE2" w14:textId="7B013B25" w:rsidR="005911B7" w:rsidRDefault="005911B7" w:rsidP="007B1E7D">
      <w:pPr>
        <w:tabs>
          <w:tab w:val="right" w:leader="dot" w:pos="9066"/>
        </w:tabs>
      </w:pPr>
      <w:r>
        <w:t>Figure 4.5 : Modification d’un dossier candidat</w:t>
        <w:tab/>
        <w:t>49</w:t>
      </w:r>
    </w:p>
    <w:p w14:paraId="17208FBD" w14:textId="3121B3AD" w:rsidR="005911B7" w:rsidRDefault="005911B7" w:rsidP="007B1E7D">
      <w:pPr>
        <w:tabs>
          <w:tab w:val="right" w:leader="dot" w:pos="9066"/>
        </w:tabs>
      </w:pPr>
      <w:r>
        <w:t>Figure 4.6 : Tableau Kanban du pipeline de recrutement</w:t>
        <w:tab/>
        <w:t>50</w:t>
      </w:r>
    </w:p>
    <w:p w14:paraId="57370A12" w14:textId="37FC101D" w:rsidR="005911B7" w:rsidRDefault="005911B7" w:rsidP="007B1E7D">
      <w:pPr>
        <w:tabs>
          <w:tab w:val="right" w:leader="dot" w:pos="9066"/>
        </w:tabs>
      </w:pPr>
      <w:r>
        <w:t>Figure 4.7 : Gestion des entretiens</w:t>
        <w:tab/>
        <w:t>50</w:t>
      </w:r>
    </w:p>
    <w:p w14:paraId="758A2828" w14:textId="7B4DE53B" w:rsidR="005911B7" w:rsidRDefault="005911B7" w:rsidP="007B1E7D">
      <w:pPr>
        <w:tabs>
          <w:tab w:val="right" w:leader="dot" w:pos="9066"/>
        </w:tabs>
      </w:pPr>
      <w:r>
        <w:t>Figure 4.8 : Gestion des feedbacks</w:t>
        <w:tab/>
        <w:t>51</w:t>
      </w:r>
    </w:p>
    <w:p w14:paraId="50337BA5" w14:textId="5EADD626" w:rsidR="005911B7" w:rsidRDefault="005911B7" w:rsidP="007B1E7D">
      <w:pPr>
        <w:tabs>
          <w:tab w:val="right" w:leader="dot" w:pos="9066"/>
        </w:tabs>
      </w:pPr>
      <w:r>
        <w:t>Figure 4.9 : Gestion des utilisateurs et des rôles (espace Administrateur)</w:t>
        <w:tab/>
        <w:t>51</w:t>
      </w:r>
    </w:p>
    <w:p w14:paraId="621B3F2F" w14:textId="0A2FC2E9" w:rsidR="005911B7" w:rsidRDefault="005911B7" w:rsidP="007B1E7D">
      <w:pPr>
        <w:tabs>
          <w:tab w:val="right" w:leader="dot" w:pos="9066"/>
        </w:tabs>
      </w:pPr>
      <w:r>
        <w:t>Figure 4.10 : Paramétrage du scoring IA par famille de métier</w:t>
        <w:tab/>
        <w:t>52</w:t>
      </w:r>
    </w:p>
    <w:p w14:paraId="4A53CA89" w14:textId="0A40C952" w:rsidR="005911B7" w:rsidRDefault="005911B7" w:rsidP="007B1E7D">
      <w:pPr>
        <w:tabs>
          <w:tab w:val="right" w:leader="dot" w:pos="9066"/>
        </w:tabs>
      </w:pPr>
      <w:r>
        <w:t>Figure 4.11 : Journal d’audit</w:t>
        <w:tab/>
        <w:t>52</w:t>
      </w:r>
    </w:p>
    <w:p w14:paraId="0B8DC928" w14:textId="006C02D8" w:rsidR="005911B7" w:rsidRDefault="005911B7" w:rsidP="007B1E7D">
      <w:pPr>
        <w:tabs>
          <w:tab w:val="right" w:leader="dot" w:pos="9066"/>
        </w:tabs>
      </w:pPr>
      <w:r>
        <w:t>Figure 4.12 : Assistant conversationnel candidat (chatbot)</w:t>
        <w:tab/>
        <w:t>53</w:t>
      </w:r>
    </w:p>
    <w:p w14:paraId="596ABFC6" w14:textId="3D6EBCCB" w:rsidR="005911B7" w:rsidRDefault="005911B7" w:rsidP="007B1E7D">
      <w:pPr>
        <w:tabs>
          <w:tab w:val="right" w:leader="dot" w:pos="9066"/>
        </w:tabs>
      </w:pPr>
      <w:r>
        <w:t>Figure 4.13 : Soumission d’une candidature avec dépôt de CV</w:t>
        <w:tab/>
        <w:t>54</w:t>
      </w:r>
    </w:p>
    <w:p w14:paraId="6F4BEA44" w14:textId="2416B8DA" w:rsidR="005911B7" w:rsidRDefault="005911B7" w:rsidP="007B1E7D">
      <w:pPr>
        <w:tabs>
          <w:tab w:val="right" w:leader="dot" w:pos="9066"/>
        </w:tabs>
      </w:pPr>
      <w:r>
        <w:t xml:space="preserve">Figure 4.14 : Fonctionnalité « Job idéal » — suggestions d’offres selon le CV</w:t>
        <w:tab/>
        <w:t>55</w:t>
      </w:r>
    </w:p>
    <w:p w14:paraId="4E671CA7" w14:textId="1C0781DB" w:rsidR="005911B7" w:rsidRDefault="005911B7" w:rsidP="007B1E7D">
      <w:pPr>
        <w:tabs>
          <w:tab w:val="right" w:leader="dot" w:pos="9066"/>
        </w:tabs>
      </w:pPr>
      <w:r>
        <w:t>Figure 4.15 : Analyse détaillée d’une candidature par intelligence artificielle</w:t>
        <w:tab/>
        <w:t>56</w:t>
      </w:r>
    </w:p>
    <w:p w14:paraId="64C30683" w14:textId="082BDCCC" w:rsidR="005911B7" w:rsidRDefault="005911B7" w:rsidP="007B1E7D">
      <w:pPr>
        <w:tabs>
          <w:tab w:val="right" w:leader="dot" w:pos="9066"/>
        </w:tabs>
      </w:pPr>
      <w:r>
        <w:t>Figure 4.16 : Espace Manager — candidatures relevant du périmètre du manager</w:t>
        <w:tab/>
        <w:t>57</w:t>
      </w:r>
    </w:p>
    <w:p w14:paraId="64C30683" w14:textId="082BDCCC" w:rsidR="005911B7" w:rsidRDefault="005911B7" w:rsidP="007B1E7D">
      <w:pPr>
        <w:tabs>
          <w:tab w:val="right" w:leader="dot" w:pos="9066"/>
        </w:tabs>
      </w:pPr>
      <w:r>
        <w:t>Figure 4.17  : Espace Manager — page « Mon calendrier », entretiens et rappels</w:t>
        <w:tab/>
        <w:t>58</w:t>
      </w:r>
    </w:p>
    <w:p w14:paraId="64C30683" w14:textId="082BDCCC" w:rsidR="005911B7" w:rsidRDefault="005911B7" w:rsidP="007B1E7D">
      <w:pPr>
        <w:tabs>
          <w:tab w:val="right" w:leader="dot" w:pos="9066"/>
        </w:tabs>
      </w:pPr>
      <w:r>
        <w:t>Figure 4.18  : Console n8n — les trois flux d’automatisation publiés et leurs statistiques</w:t>
        <w:tab/>
        <w:t>58</w:t>
      </w:r>
    </w:p>
    <w:p w14:paraId="64C30683" w14:textId="082BDCCC" w:rsidR="005911B7" w:rsidRDefault="005911B7" w:rsidP="007B1E7D">
      <w:pPr>
        <w:tabs>
          <w:tab w:val="right" w:leader="dot" w:pos="9066"/>
        </w:tabs>
      </w:pPr>
      <w:r>
        <w:t>Figure 4.19 : Flux n8n de l’Agent 1 — webhook de candidature, appel du scoring Cohere puis e-mail au candidat</w:t>
        <w:tab/>
        <w:t>59</w:t>
      </w:r>
    </w:p>
    <w:p w14:paraId="64C30683" w14:textId="082BDCCC" w:rsidR="005911B7" w:rsidRDefault="005911B7" w:rsidP="007B1E7D">
      <w:pPr>
        <w:tabs>
          <w:tab w:val="right" w:leader="dot" w:pos="9066"/>
        </w:tabs>
      </w:pPr>
      <w:r>
        <w:t>Figure 4.20 : E-mail automatique de confirmation de candidature reçu par le candidat</w:t>
        <w:tab/>
        <w:t>59</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Tableau 2.1 : Matrice des responsabilités par rôle</w:t>
        <w:tab/>
        <w:t>19</w:t>
      </w:r>
    </w:p>
    <w:p w14:paraId="0F0EF9EC" w14:textId="77777777" w:rsidR="005911B7" w:rsidRDefault="005911B7" w:rsidP="007B1E7D">
      <w:pPr>
        <w:tabs>
          <w:tab w:val="right" w:leader="dot" w:pos="9066"/>
        </w:tabs>
      </w:pPr>
      <w:r>
        <w:t xml:space="preserve">Tableau 2.2 : Description textuelle de deux cas d’utilisation représentatifs</w:t>
        <w:tab/>
        <w:t>27</w:t>
      </w:r>
    </w:p>
    <w:p w14:paraId="0F0EF9EC" w14:textId="77777777" w:rsidR="005911B7" w:rsidRDefault="005911B7" w:rsidP="007B1E7D">
      <w:pPr>
        <w:tabs>
          <w:tab w:val="right" w:leader="dot" w:pos="9066"/>
        </w:tabs>
      </w:pPr>
      <w:r>
        <w:t xml:space="preserve">Tableau 2.3 : Rôle des agents d’automatisation n8n</w:t>
        <w:tab/>
        <w:t>29</w:t>
      </w:r>
    </w:p>
    <w:p w14:paraId="4C96854F" w14:textId="5739EA8D" w:rsidR="005911B7" w:rsidRDefault="005911B7" w:rsidP="007B1E7D">
      <w:pPr>
        <w:tabs>
          <w:tab w:val="right" w:leader="dot" w:pos="9066"/>
        </w:tabs>
      </w:pPr>
      <w:r>
        <w:t>Tableau 4.1 : Synthèse des tests fonctionnels réalisés</w:t>
        <w:tab/>
        <w:t>61</w:t>
      </w:r>
    </w:p>
    <w:p w14:paraId="458518D7" w14:textId="5506CA71" w:rsidR="005911B7" w:rsidRDefault="001A53BF" w:rsidP="007B1E7D">
      <w:pPr>
        <w:tabs>
          <w:tab w:val="right" w:leader="dot" w:pos="9066"/>
        </w:tabs>
      </w:pPr>
      <w:r>
        <w:t>Tableau 4.2 : Matrice de confusion du Gold Set selon le seuil de décision</w:t>
        <w:tab/>
        <w:t>63</w:t>
      </w:r>
    </w:p>
    <w:p w14:paraId="458518D7" w14:textId="5506CA71" w:rsidR="005911B7" w:rsidRDefault="001A53BF" w:rsidP="007B1E7D">
      <w:pPr>
        <w:tabs>
          <w:tab w:val="right" w:leader="dot" w:pos="9066"/>
        </w:tabs>
      </w:pPr>
      <w:r>
        <w:t>Tableau 4.3 : Bilan des fonctionnalités réalisées</w:t>
        <w:tab/>
        <w:t>69</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Période indicative</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Décision finale (acceptation / refus)</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w:t>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width:769.9pt;height:449.0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78.0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trancher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et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11.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rattachements aux départements,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width:425.8pt;height:430.0pt;visibility:visible">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Décider Accepter / Refuser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Manager</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(MANAGER_REJECTED) est admis dès la présélection du CV (statut CV_REVIEWED ou ultérieur) ; une acceptation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Le statut du candidat passe à ACCEPTED ou MANAGER_REJECTED et un e-mail de décision est envoyé au candidat.</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à un statut qui n’autorise pas la décision demandée — par exemple une acceptation avant l’entretien téléphonique RH : le système refuse la décision et retourne un message d’erreur explicite.</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(décisions et routage des managers)</w:t>
            </w:r>
          </w:p>
        </w:tc>
        <w:tc>
          <w:tcPr>
            <w:tcW w:w="1667" w:type="pct"/>
          </w:tcPr>
          <w:p>
            <w:pPr>
              <w:rPr>
                <w:sz w:val="21"/>
              </w:rPr>
            </w:pPr>
            <w:r>
              <w:rPr>
                <w:sz w:val="21"/>
              </w:rPr>
              <w:t xml:space="preserve">Webhooks déclenchés à l’entrée en évaluation technique (TECHNICAL_TEST) et à la décision finale</w:t>
            </w:r>
          </w:p>
        </w:tc>
        <w:tc>
          <w:tcPr>
            <w:tcW w:w="1667" w:type="pct"/>
          </w:tcPr>
          <w:p>
            <w:pPr>
              <w:rPr>
                <w:sz w:val="21"/>
              </w:rPr>
            </w:pPr>
            <w:r>
              <w:rPr>
                <w:sz w:val="21"/>
              </w:rPr>
              <w:t xml:space="preserve">Résout les managers destinataires (ManagerRoutingService) et envoie les notifications de décision au candidat ainsi qu’aux managers concernés, sans dupliquer l’e-mail candidat.</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00.0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00.0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263.1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un autre garde-fou central de l’application : la prise de décision est soumise aux règles de transition du cycle de vie (section 3.6). Un refus (MANAGER_REJECTED) peut intervenir dès que le dossier a été validé par le RH (statut CV_REVIEWED ou ultérieur), tandis qu’une acceptation (ACCEPTED) exige d’être passé par l’entretien téléphonique RH (statut PHONE_SCREENING) — l’entrée en évaluation technique n’étant pas un prérequis à l’acceptation. Ce garde-fou empêche qu’une candidature soit acceptée sans ce premier filtre humain (section 4.5.8).</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width:453.3pt;height:448.7pt;visibility:visible">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7F957492" w14:textId="77777777" w:rsidR="005911B7" w:rsidRDefault="00C80EB9" w:rsidP="007B1E7D">
      <w:pPr/>
      <w:r>
        <w:t xml:space="preserve">On y distingue notamment un embranchement automatique piloté par le score de l’analyse IA — statut CV_REVIEWED si le score atteint le seuil de 60/100, AUTO_REJECTED sinon — ainsi que des états véritablement terminaux (HIRED, MANAGER_REJECTED, WITHDRAWN), au-delà desquels l’interface d’administration n’autorise plus aucune modification du statut. L’état AUTO_REJECTED n’est, lui, pas définitif : il peut être révisé par une correction manuelle du score décrite ci-après. Après la décision d’acceptation (statut ACCEPTED) prononcée par le manager et le RH, la transition vers INTERVIEW_SCHEDULED ne désigne pas un entretien d’évaluation de plus : les entretiens INTERVIEW et FINAL_INTERVIEW sont déjà clos à ce stade. Il s’agit de l’entretien d’onboarding — cadrage RH et signature de la promesse d’embauche — planifié une fois le candidat accepté, et qui conduit directement au statut définitif de collaborateur recruté (HIRED).</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AUTO_REJECTED (score &lt; 60) → validation humaine possible via le mécanisme de surcharge (manualScore).</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Figure 4.2 : Page de connexion</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Figure 4.3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Figure 4.4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CA1A9F" w:rsidP="007B1E7D">
      <w:pPr>
        <w:keepNext/>
        <w:jc w:val="center"/>
      </w:pPr>
      <w:r>
        <w:rPr>
          <w:noProof/>
        </w:rPr>
        <w:pict w14:anchorId="0B44AC1E">
          <v:shape id="Image 17" o:spid="_x0000_i1044" type="#_x0000_t75" style="width:275.2pt;height:470.0pt;visibility:visible;mso-wrap-style:square">
            <v:imagedata r:id="rId30" o:title=""/>
          </v:shape>
        </w:pict>
      </w:r>
    </w:p>
    <w:p w14:paraId="3050056D" w14:textId="77777777" w:rsidR="005911B7" w:rsidRDefault="005911B7" w:rsidP="007B1E7D">
      <w:pPr>
        <w:jc w:val="center"/>
        <w:rPr>
          <w:i/>
          <w:sz w:val="21"/>
        </w:rPr>
      </w:pPr>
      <w:r>
        <w:rPr>
          <w:i/>
          <w:sz w:val="21"/>
        </w:rPr>
        <w:t>Figure 4.5 : Modification d’un dossier candidat</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Figure 4.6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Figure 4.7 : Gestion des entretiens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Figure 4.8 : Gestion des feedbacks</w:t>
      </w:r>
    </w:p>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Figure 4.9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Figure 4.10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Figure 4.11 : Journal d’audit</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Figure 4.12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262CE25" w:rsidR="00C90533" w:rsidRDefault="00CA1A9F">
      <w:pPr>
        <w:keepNext/>
        <w:jc w:val="center"/>
      </w:pPr>
      <w:r>
        <w:rPr>
          <w:noProof/>
        </w:rPr>
        <w:pict w14:anchorId="65301F00">
          <v:shape id="Picture 8" o:spid="_x0000_i1051" type="#_x0000_t75" style="visibility:visible;mso-wrap-style:square;width:317.6pt;height:470.0pt;visibility:visible">
            <v:imagedata r:id="rId37" o:title=""/>
          </v:shape>
        </w:pict>
      </w:r>
    </w:p>
    <w:p w14:paraId="438164E7" w14:textId="77777777" w:rsidR="00730833" w:rsidRDefault="00AF2881">
      <w:pPr>
        <w:jc w:val="center"/>
        <w:rPr>
          <w:i/>
          <w:sz w:val="21"/>
        </w:rPr>
      </w:pPr>
      <w:r>
        <w:rPr>
          <w:i/>
          <w:sz w:val="21"/>
        </w:rPr>
        <w:t>Figure 4.13 : Soumission d’une candidature avec dépôt de CV</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4.14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Figure 4.15 : Analyse détaillée d’une candidature par intelligence artificielle</w:t>
      </w:r>
    </w:p>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34F2466" w14:textId="3397CEB3" w:rsidR="00730833" w:rsidRDefault="00CA1A9F">
      <w:pPr>
        <w:keepNext/>
        <w:jc w:val="center"/>
      </w:pPr>
      <w:r>
        <w:rPr>
          <w:noProof/>
        </w:rPr>
        <w:pict w14:anchorId="1ABB31E4">
          <v:shape id="Picture 7" o:spid="_x0000_i1054" type="#_x0000_t75" style="width:425.0pt;height:243.0pt;visibility:visible;mso-wrap-style:square">
            <v:imagedata r:id="rId40" o:title=""/>
          </v:shape>
        </w:pict>
      </w:r>
    </w:p>
    <w:p w14:paraId="213F627D" w14:textId="77777777" w:rsidR="00730833" w:rsidRDefault="00AF2881">
      <w:pPr>
        <w:jc w:val="center"/>
        <w:rPr>
          <w:i/>
          <w:sz w:val="21"/>
        </w:rPr>
      </w:pPr>
      <w:r>
        <w:rPr>
          <w:i/>
          <w:sz w:val="21"/>
        </w:rPr>
        <w:t>Figure 4.16 : Espace Manager — candidatures relevant du périmètre du manager</w:t>
      </w:r>
    </w:p>
    <w:p w14:paraId="2952C15B" w14:textId="77777777" w:rsidR="00730833" w:rsidRDefault="00AF2881">
      <w:r>
        <w:t>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4.4).</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width:425.0pt;height:289.2pt;visibility:visible;mso-wrap-style:square">
            <v:imagedata r:id="rId902" o:title=""/>
          </v:shape>
        </w:pict>
      </w:r>
    </w:p>
    <w:p w14:paraId="213F627D" w14:textId="77777777" w:rsidR="00730833" w:rsidRDefault="00AF2881">
      <w:pPr>
        <w:jc w:val="center"/>
        <w:rPr>
          <w:i/>
          <w:sz w:val="21"/>
        </w:rPr>
      </w:pPr>
      <w:r>
        <w:rPr>
          <w:i/>
          <w:sz w:val="21"/>
        </w:rPr>
        <w:t>Figure 4.17  : Espace Manager — page « Mon calendrier », entretiens et rappels</w:t>
      </w:r>
    </w:p>
    <w:p w14:paraId="2952C15B" w14:textId="77777777" w:rsidR="00730833" w:rsidRDefault="00AF2881">
      <w:r>
        <w:t>Au-delà des interfaces de la plateforme, la chaîne d’automatisation a été vérifiée dans la console n8n elle-même. La figure 4.18 montre les trois flux déclarés dans l’application — « Agent 1 — CV Parser + Score IA + Email Candidat », « Agent 2 — Planification entretien + Email participants » et « Agent 3 — RH vers Manager (dossier validé) » — tous trois à l’état Publié, avec quinze exécutions de production, aucun échec (taux d’échec 0 %) et une durée moyenne d’exécution de 3,61 s.</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Figure 4.18  : Console n8n — les trois flux d’automatisation publiés et leurs statistiques</w:t>
      </w:r>
    </w:p>
    <w:p w14:paraId="2952C15B" w14:textId="77777777" w:rsidR="00730833" w:rsidRDefault="00AF2881">
      <w:r>
        <w:t>Le détail de l’Agent 1 (figure 4.19)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Figure 4.19 : Flux n8n de l’Agent 1 — webhook de candidature, appel du scoring Cohere puis e-mail au candidat</w:t>
      </w:r>
    </w:p>
    <w:p w14:paraId="2952C15B" w14:textId="77777777" w:rsidR="00730833" w:rsidRDefault="00AF2881">
      <w:r>
        <w:t>Côté candidat, la notification produite par ce flux arrive bien dans sa boîte de réception (figure 4.20)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Figure 4.20 : E-mail automatique de confirmation de candidature reçu par le candidat</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18E2834B" w14:textId="77777777" w:rsidR="005911B7" w:rsidRDefault="008D5C06" w:rsidP="007B1E7D">
      <w:r>
        <w:t xml:space="preserve">Ce tableau atteste de l’exécution des vingt scénarios listés, tous concluants ; il ne constitue pas pour autant une garantie globale de qualité. Des cas nominaux et des cas d’erreur qui réussissent ne prouvent pas l’absence de défauts sur les chemins non exercés, et ne disent rien du comportement de la plateforme sous charge. Ces tests vérifient des fonctionnalités et des règles d’accès : ils ne mesurent pas la pertinence du scoring IA, qui fait l’objet de la section 4.4.5.</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4.15) et la synthèse enregistrée dans aiSummary.</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4.11).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soulève plusieurs points de conformité qu’il convient d’expliciter. Premièrement, des transferts vers des services d’IA tiers ont lieu : le scoring des CV transite par l’API de Cohere et l’assistant conversationnel par l’API OpenRouter ; ces flux doivent être encadrés (clauses contractuelles, minimisation des données transmises, information claire des candidats). Deuxièmement, le modèle de langage (LLM) utilisé pour le chatbot est un modèle expérimental « stealth » (stealth/ox-alpha via OpenRouter), retenu pour la phase de développement : son fournisseur n’étant pas explicitement identifié, ce choix doit être documenté et justifié au regard de la loyauté du traitement, puis remplacé en production par un modèle dont le fournisseur et les conditions de conservation des données sont connus. Troisièmement, la plateforme ne prévoit pas encore de politique explicite de durée de conservation et d’effacement des données des candidats (CV, évaluations) : il faudra la définir et l’outiller (archivage, purge automatique, exercice du droit à l’effacement). Quatrièmement, au niveau national, la loi organique tunisienne n° 2004-63 du 27 juillet 2004 relative à la protection des données à caractère personnel s’applique [20], sous le contrôle de l’Instance nationale de protection des données personnelles (INPDP) : elle impose notamment un consentement éclairé du candidat, recueilli lors du dépôt de candidature par une case à cocher explicite (figure 4.13), dont le libellé devra être complété pour mentionner les traitements par des services d’IA tiers. Cinquièmement, un système de scoring utilisé dans un processus de recrutement est susceptible d’être qualifié de système d’IA à « haut risque » au sens du règlement européen sur l’IA (AI Act, règlement (UE) 2024/1689) [21] ; il appelle à ce titre une traçabilité renforcée, une supervision humaine effective et une documentation du modèle — principes déjà partiellement mis en œuvre ici (surcharge manuelle justifiée, journal d’audit, contrôle humain sur toute décision).</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108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objectifs fixés au départ sont atteints : JOB4YOU est une plateforme fonctionnelle répondant aux besoins identifiés. Elle pourra entrer en phase de préproduction une fois mises en place les mesures encore inachevées — validation du contenu des fichiers téléversés, politique de rétention et d’effacement des données, encadrement des transferts vers Cohere et OpenRouter — puis industrialisée pour un déploiement chez Sopra HR Software Tunisie.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03/08/2026.</w:t>
      </w:r>
    </w:p>
    <w:p>
      <w:pPr>
        <w:pStyle w:val="Paragraphedeliste"/>
        <w:numPr>
          <w:ilvl w:val="0"/>
          <w:numId w:val="22"/>
        </w:numPr>
      </w:pPr>
      <w:r>
        <w:t xml:space="preserve">[2] SCRUM.ORG — The Scrum Guide (2020), Schwaber K. &amp; Sutherland J. Disponible sur : https://scrumguides.org. Consulté le 03/08/2026.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03/08/2026.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03/08/2026.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03/08/2026.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03/08/2026.</w:t>
      </w:r>
    </w:p>
    <w:p w14:paraId="35DD62DB" w14:textId="77777777" w:rsidR="005911B7" w:rsidRDefault="00EA224E" w:rsidP="005911B7">
      <w:pPr>
        <w:pStyle w:val="Paragraphedeliste"/>
        <w:numPr>
          <w:ilvl w:val="0"/>
          <w:numId w:val="22"/>
        </w:numPr>
      </w:pPr>
      <w:r>
        <w:t>[9] n8n Documentation. Disponible sur : https://docs.n8n.io. Consulté le 03/08/2026.</w:t>
      </w:r>
    </w:p>
    <w:p>
      <w:pPr>
        <w:pStyle w:val="Paragraphedeliste"/>
        <w:numPr>
          <w:ilvl w:val="0"/>
          <w:numId w:val="22"/>
        </w:numPr>
      </w:pPr>
      <w:r>
        <w:t xml:space="preserve">[10] Google Calendar API — Documentation développeur. Disponible sur : https://developers.google.com/calendar. Consulté le 03/08/2026.</w:t>
      </w:r>
    </w:p>
    <w:p w14:paraId="2AA277DF" w14:textId="77777777" w:rsidR="005911B7" w:rsidRDefault="00EA224E" w:rsidP="005911B7">
      <w:pPr>
        <w:pStyle w:val="Paragraphedeliste"/>
        <w:numPr>
          <w:ilvl w:val="0"/>
          <w:numId w:val="22"/>
        </w:numPr>
      </w:pPr>
      <w:r>
        <w:t>[11] Cohere API Documentation. Disponible sur : https://docs.cohere.com. Consulté le 03/08/2026.</w:t>
      </w:r>
    </w:p>
    <w:p>
      <w:pPr>
        <w:pStyle w:val="Paragraphedeliste"/>
        <w:numPr>
          <w:ilvl w:val="0"/>
          <w:numId w:val="22"/>
        </w:numPr>
      </w:pPr>
      <w:r>
        <w:t xml:space="preserve">[12] OpenRouter — Documentation de l’API. Disponible sur : https://openrouter.ai/docs. Consulté le 03/08/2026.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03/08/2026.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03/08/2026.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03/08/2026.</w:t>
      </w:r>
    </w:p>
    <w:p>
      <w:pPr>
        <w:pStyle w:val="Paragraphedeliste"/>
        <w:numPr>
          <w:ilvl w:val="0"/>
          <w:numId w:val="22"/>
        </w:numPr>
      </w:pPr>
      <w:r>
        <w:t xml:space="preserve">[16] JUnit 5 et Mockito — Documentation. Disponibles sur : https://junit.org/junit5/ et https://site.mockito.org. Consulté le 03/08/2026.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03/08/2026.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Loi organique n° 2004-63 du 27 juillet 2004 relative à la protection des données à caractère personnel (République tunisienne).</w:t>
      </w:r>
    </w:p>
    <w:p>
      <w:pPr>
        <w:pStyle w:val="Paragraphedeliste"/>
        <w:numPr>
          <w:ilvl w:val="0"/>
          <w:numId w:val="22"/>
        </w:numPr>
      </w:pPr>
      <w:r>
        <w:t xml:space="preserve">[21] Règlement (UE) 2024/1689 (AI Act) — systèmes d’intelligence artificielle à haut risque. Disponible sur : https://eur-lex.europa.eu. Consulté le 03/08/2026.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INPDP : Instance Nationale de Protection des Données Personnelles (Tunisie).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