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rsidR="000422CF" w:rsidRDefault="000422CF">
      <w:pPr>
        <w:pStyle w:val="TM3"/>
        <w:tabs>
          <w:tab w:val="right" w:leader="dot" w:pos="9066"/>
        </w:tabs>
        <w:rPr>
          <w:rFonts w:ascii="Aptos" w:eastAsia="Times New Roman" w:hAnsi="Aptos"/>
          <w:noProof/>
          <w:lang w:eastAsia="fr-FR"/>
        </w:rPr>
      </w:pPr>
      <w:r>
        <w:t>4.3.1 Accès public et espace candidat</w:t>
        <w:tab/>
        <w:t>49</w:t>
      </w:r>
    </w:p>
    <w:p w:rsidR="000422CF" w:rsidRDefault="000422CF">
      <w:pPr>
        <w:pStyle w:val="TM3"/>
        <w:tabs>
          <w:tab w:val="right" w:leader="dot" w:pos="9066"/>
        </w:tabs>
        <w:rPr>
          <w:rFonts w:ascii="Aptos" w:eastAsia="Times New Roman" w:hAnsi="Aptos"/>
          <w:noProof/>
          <w:lang w:eastAsia="fr-FR"/>
        </w:rPr>
      </w:pPr>
      <w:r>
        <w:t>4.3.2 Espace RH — suivi du processus de recrutement</w:t>
        <w:tab/>
        <w:t>52</w:t>
      </w:r>
    </w:p>
    <w:p w:rsidR="000422CF" w:rsidRDefault="000422CF">
      <w:pPr>
        <w:pStyle w:val="TM3"/>
        <w:tabs>
          <w:tab w:val="right" w:leader="dot" w:pos="9066"/>
        </w:tabs>
        <w:rPr>
          <w:rFonts w:ascii="Aptos" w:eastAsia="Times New Roman" w:hAnsi="Aptos"/>
          <w:noProof/>
          <w:lang w:eastAsia="fr-FR"/>
        </w:rPr>
      </w:pPr>
      <w:r>
        <w:t>4.3.3 Espace manager</w:t>
        <w:tab/>
        <w:t>57</w:t>
      </w:r>
    </w:p>
    <w:p w:rsidR="000422CF" w:rsidRDefault="000422CF">
      <w:pPr>
        <w:pStyle w:val="TM3"/>
        <w:tabs>
          <w:tab w:val="right" w:leader="dot" w:pos="9066"/>
        </w:tabs>
        <w:rPr>
          <w:rFonts w:ascii="Aptos" w:eastAsia="Times New Roman" w:hAnsi="Aptos"/>
          <w:noProof/>
          <w:lang w:eastAsia="fr-FR"/>
        </w:rPr>
      </w:pPr>
      <w:r>
        <w:t>4.3.4 Administrateur — comptes, paramétrage et traçabilité</w:t>
        <w:tab/>
        <w:t>59</w:t>
      </w:r>
    </w:p>
    <w:p w:rsidR="000422CF" w:rsidRDefault="000422CF">
      <w:pPr>
        <w:pStyle w:val="TM3"/>
        <w:tabs>
          <w:tab w:val="right" w:leader="dot" w:pos="9066"/>
        </w:tabs>
        <w:rPr>
          <w:rFonts w:ascii="Aptos" w:eastAsia="Times New Roman" w:hAnsi="Aptos"/>
          <w:noProof/>
          <w:lang w:eastAsia="fr-FR"/>
        </w:rPr>
      </w:pPr>
      <w:r>
        <w:t>4.3.5 Automatisation n8n et notification du candidat</w:t>
        <w:tab/>
        <w:t>60</w:t>
      </w:r>
    </w:p>
    <w:p w14:paraId="79B3FD09" w14:textId="77FE9BCD" w:rsidR="000422CF" w:rsidRDefault="000422CF">
      <w:pPr>
        <w:pStyle w:val="TM2"/>
        <w:tabs>
          <w:tab w:val="right" w:leader="dot" w:pos="9066"/>
        </w:tabs>
        <w:rPr>
          <w:rFonts w:ascii="Aptos" w:eastAsia="Times New Roman" w:hAnsi="Aptos"/>
          <w:noProof/>
          <w:lang w:eastAsia="fr-FR"/>
        </w:rPr>
      </w:pPr>
      <w:r>
        <w:t>4.4 Tests</w:t>
        <w:tab/>
        <w:t>62</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62</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63</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65</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65</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65</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66</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67</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68</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68</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68</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68</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69</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69</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69</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69</w:t>
      </w:r>
    </w:p>
    <w:p w14:paraId="44459885" w14:textId="52E93975" w:rsidR="000422CF" w:rsidRDefault="000422CF">
      <w:pPr>
        <w:pStyle w:val="TM3"/>
        <w:tabs>
          <w:tab w:val="right" w:leader="dot" w:pos="9066"/>
        </w:tabs>
        <w:rPr>
          <w:rFonts w:ascii="Aptos" w:eastAsia="Times New Roman" w:hAnsi="Aptos"/>
          <w:noProof/>
          <w:lang w:eastAsia="fr-FR"/>
        </w:rPr>
      </w:pPr>
      <w:r>
        <w:t>4.5.9 Planification de l’entretien et statut du dossier</w:t>
        <w:tab/>
        <w:t>70</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70</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71</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71</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72</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73</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74</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76</w:t>
      </w:r>
    </w:p>
    <w:p w14:paraId="02CC94FF" w14:textId="73A2BE14" w:rsidR="000422CF" w:rsidRDefault="000422CF">
      <w:pPr>
        <w:pStyle w:val="TM1"/>
        <w:tabs>
          <w:tab w:val="right" w:leader="dot" w:pos="9066"/>
        </w:tabs>
        <w:rPr>
          <w:rFonts w:ascii="Aptos" w:eastAsia="Times New Roman" w:hAnsi="Aptos"/>
          <w:noProof/>
          <w:lang w:eastAsia="fr-FR"/>
        </w:rPr>
      </w:pPr>
      <w:r>
        <w:t>Glossaire</w:t>
        <w:tab/>
        <w:t>78</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49</w:t>
      </w:r>
    </w:p>
    <w:p w14:paraId="0AFF955C" w14:textId="72F5DA5C" w:rsidR="005911B7" w:rsidRDefault="005911B7" w:rsidP="007B1E7D">
      <w:pPr>
        <w:tabs>
          <w:tab w:val="right" w:leader="dot" w:pos="9066"/>
        </w:tabs>
      </w:pPr>
      <w:r>
        <w:t xml:space="preserve">Figure 4.2 : Page de connexion</w:t>
        <w:tab/>
        <w:t>50</w:t>
      </w:r>
    </w:p>
    <w:p w14:paraId="0A11B2F5" w14:textId="59AA0FB2" w:rsidR="005911B7" w:rsidRDefault="005911B7" w:rsidP="007B1E7D">
      <w:pPr>
        <w:tabs>
          <w:tab w:val="right" w:leader="dot" w:pos="9066"/>
        </w:tabs>
      </w:pPr>
      <w:r>
        <w:t xml:space="preserve">Figure 4.3 : Soumission d’une candidature avec dépôt de CV</w:t>
        <w:tab/>
        <w:t>50</w:t>
      </w:r>
    </w:p>
    <w:p w14:paraId="17208FBD" w14:textId="3121B3AD" w:rsidR="005911B7" w:rsidRDefault="005911B7" w:rsidP="007B1E7D">
      <w:pPr>
        <w:tabs>
          <w:tab w:val="right" w:leader="dot" w:pos="9066"/>
        </w:tabs>
      </w:pPr>
      <w:r>
        <w:t xml:space="preserve">Figure 4.4 : Fonctionnalité « Job idéal » — suggestions d’offres selon le CV</w:t>
        <w:tab/>
        <w:t>51</w:t>
      </w:r>
    </w:p>
    <w:p w14:paraId="50337BA5" w14:textId="5EADD626" w:rsidR="005911B7" w:rsidRDefault="005911B7" w:rsidP="007B1E7D">
      <w:pPr>
        <w:tabs>
          <w:tab w:val="right" w:leader="dot" w:pos="9066"/>
        </w:tabs>
      </w:pPr>
      <w:r>
        <w:t xml:space="preserve">Figure 4.5 : Assistant conversationnel candidat (chatbot)</w:t>
        <w:tab/>
        <w:t>51</w:t>
      </w:r>
    </w:p>
    <w:p w14:paraId="621B3F2F" w14:textId="0A2FC2E9" w:rsidR="005911B7" w:rsidRDefault="005911B7" w:rsidP="007B1E7D">
      <w:pPr>
        <w:tabs>
          <w:tab w:val="right" w:leader="dot" w:pos="9066"/>
        </w:tabs>
      </w:pPr>
      <w:r>
        <w:t xml:space="preserve">Figure 4.6 : Gestion des offres d’emploi (espace RH)</w:t>
        <w:tab/>
        <w:t>52</w:t>
      </w:r>
    </w:p>
    <w:p w14:paraId="0B8DC928" w14:textId="006C02D8" w:rsidR="005911B7" w:rsidRDefault="005911B7" w:rsidP="007B1E7D">
      <w:pPr>
        <w:tabs>
          <w:tab w:val="right" w:leader="dot" w:pos="9066"/>
        </w:tabs>
      </w:pPr>
      <w:r>
        <w:t xml:space="preserve">Figure 4.7 : Gestion des candidats — vue liste avec score IA</w:t>
        <w:tab/>
        <w:t>53</w:t>
      </w:r>
    </w:p>
    <w:p w14:paraId="6F4BEA44" w14:textId="2416B8DA" w:rsidR="005911B7" w:rsidRDefault="005911B7" w:rsidP="007B1E7D">
      <w:pPr>
        <w:tabs>
          <w:tab w:val="right" w:leader="dot" w:pos="9066"/>
        </w:tabs>
      </w:pPr>
      <w:r>
        <w:t xml:space="preserve">Figure 4.8 : Analyse détaillée d’une candidature par intelligence artificielle</w:t>
        <w:tab/>
        <w:t>53</w:t>
      </w:r>
    </w:p>
    <w:p w14:paraId="4E671CA7" w14:textId="1C0781DB" w:rsidR="005911B7" w:rsidRDefault="005911B7" w:rsidP="007B1E7D">
      <w:pPr>
        <w:tabs>
          <w:tab w:val="right" w:leader="dot" w:pos="9066"/>
        </w:tabs>
      </w:pPr>
      <w:r>
        <w:t xml:space="preserve">Figure 4.9 : Modification d’un dossier candidat</w:t>
        <w:tab/>
        <w:t>54</w:t>
      </w:r>
    </w:p>
    <w:p w14:paraId="64C30683" w14:textId="082BDCCC" w:rsidR="005911B7" w:rsidRDefault="005911B7" w:rsidP="007B1E7D">
      <w:pPr>
        <w:tabs>
          <w:tab w:val="right" w:leader="dot" w:pos="9066"/>
        </w:tabs>
      </w:pPr>
      <w:r>
        <w:t xml:space="preserve">Figure 4.10 : Tableau Kanban du pipeline de recrutement</w:t>
        <w:tab/>
        <w:t>54</w:t>
      </w:r>
    </w:p>
    <w:p w14:paraId="64C30683" w14:textId="082BDCCC" w:rsidR="005911B7" w:rsidRDefault="005911B7" w:rsidP="007B1E7D">
      <w:pPr>
        <w:tabs>
          <w:tab w:val="right" w:leader="dot" w:pos="9066"/>
        </w:tabs>
      </w:pPr>
      <w:r>
        <w:t xml:space="preserve">Figure 4.11 : Gestion des entretiens (espace RH)</w:t>
        <w:tab/>
        <w:t>55</w:t>
      </w:r>
    </w:p>
    <w:p w14:paraId="64C30683" w14:textId="082BDCCC" w:rsidR="005911B7" w:rsidRDefault="005911B7" w:rsidP="007B1E7D">
      <w:pPr>
        <w:tabs>
          <w:tab w:val="right" w:leader="dot" w:pos="9066"/>
        </w:tabs>
      </w:pPr>
      <w:r>
        <w:t xml:space="preserve">Figure 4.12 : Gestion des feedbacks (espace RH)</w:t>
        <w:tab/>
        <w:t>56</w:t>
      </w:r>
    </w:p>
    <w:p w14:paraId="64C30683" w14:textId="082BDCCC" w:rsidR="005911B7" w:rsidRDefault="005911B7" w:rsidP="007B1E7D">
      <w:pPr>
        <w:tabs>
          <w:tab w:val="right" w:leader="dot" w:pos="9066"/>
        </w:tabs>
      </w:pPr>
      <w:r>
        <w:t xml:space="preserve">Figure 4.13 : Contre-signature RH d’un avis favorable « Valider l’embauche »</w:t>
        <w:tab/>
        <w:t>56</w:t>
      </w:r>
    </w:p>
    <w:p w14:paraId="64C30683" w14:textId="082BDCCC" w:rsidR="005911B7" w:rsidRDefault="005911B7" w:rsidP="007B1E7D">
      <w:pPr>
        <w:tabs>
          <w:tab w:val="right" w:leader="dot" w:pos="9066"/>
        </w:tabs>
      </w:pPr>
      <w:r>
        <w:t xml:space="preserve">Figure 4.14 : Contre-signature RH d’un refus proposé — modale « Confirmer le refus »</w:t>
        <w:tab/>
        <w:t>57</w:t>
      </w:r>
    </w:p>
    <w:p w14:paraId="64C30683" w14:textId="082BDCCC" w:rsidR="005911B7" w:rsidRDefault="005911B7" w:rsidP="007B1E7D">
      <w:pPr>
        <w:tabs>
          <w:tab w:val="right" w:leader="dot" w:pos="9066"/>
        </w:tabs>
      </w:pPr>
      <w:r>
        <w:t xml:space="preserve">Figure 4.15 : Espace Manager — candidatures relevant du périmètre du manager</w:t>
        <w:tab/>
        <w:t>57</w:t>
      </w:r>
    </w:p>
    <w:p w14:paraId="64C30683" w14:textId="082BDCCC" w:rsidR="005911B7" w:rsidRDefault="005911B7" w:rsidP="007B1E7D">
      <w:pPr>
        <w:tabs>
          <w:tab w:val="right" w:leader="dot" w:pos="9066"/>
        </w:tabs>
      </w:pPr>
      <w:r>
        <w:t xml:space="preserve">Figure 4.16 : Espace Manager — page « Mon calendrier d’entretiens », prochains entretiens, rappels et entretiens passés</w:t>
        <w:tab/>
        <w:t>58</w:t>
      </w:r>
    </w:p>
    <w:p w14:paraId="64C30683" w14:textId="082BDCCC" w:rsidR="005911B7" w:rsidRDefault="005911B7" w:rsidP="007B1E7D">
      <w:pPr>
        <w:tabs>
          <w:tab w:val="right" w:leader="dot" w:pos="9066"/>
        </w:tabs>
      </w:pPr>
      <w:r>
        <w:t xml:space="preserve">Figure 4.17 : Gestion des utilisateurs et des rôles (espace Administrateur)</w:t>
        <w:tab/>
        <w:t>59</w:t>
      </w:r>
    </w:p>
    <w:p w14:paraId="64C30683" w14:textId="082BDCCC" w:rsidR="005911B7" w:rsidRDefault="005911B7" w:rsidP="007B1E7D">
      <w:pPr>
        <w:tabs>
          <w:tab w:val="right" w:leader="dot" w:pos="9066"/>
        </w:tabs>
      </w:pPr>
      <w:r>
        <w:t xml:space="preserve">Figure 4.18 : Paramétrage du scoring IA par famille de métier</w:t>
        <w:tab/>
        <w:t>59</w:t>
      </w:r>
    </w:p>
    <w:p w14:paraId="64C30683" w14:textId="082BDCCC" w:rsidR="005911B7" w:rsidRDefault="005911B7" w:rsidP="007B1E7D">
      <w:pPr>
        <w:tabs>
          <w:tab w:val="right" w:leader="dot" w:pos="9066"/>
        </w:tabs>
      </w:pPr>
      <w:r>
        <w:t xml:space="preserve">Figure 4.19 : Historique d’audit</w:t>
        <w:tab/>
        <w:t>60</w:t>
      </w:r>
    </w:p>
    <w:p w14:paraId="64C30683" w14:textId="082BDCCC" w:rsidR="005911B7" w:rsidRDefault="005911B7" w:rsidP="007B1E7D">
      <w:pPr>
        <w:tabs>
          <w:tab w:val="right" w:leader="dot" w:pos="9066"/>
        </w:tabs>
      </w:pPr>
      <w:r>
        <w:t xml:space="preserve">Figure 4.20 : Console n8n — les trois flux d’automatisation publiés et leurs statistiques</w:t>
        <w:tab/>
        <w:t>60</w:t>
      </w:r>
    </w:p>
    <w:p w14:paraId="64C30683" w14:textId="082BDCCC" w:rsidR="005911B7" w:rsidRDefault="005911B7" w:rsidP="007B1E7D">
      <w:pPr>
        <w:tabs>
          <w:tab w:val="right" w:leader="dot" w:pos="9066"/>
        </w:tabs>
      </w:pPr>
      <w:r>
        <w:t xml:space="preserve">Figure 4.21 : Flux n8n de l’Agent 1 — webhook de candidature, appel du scoring Cohere puis e-mail au candidat</w:t>
        <w:tab/>
        <w:t>61</w:t>
      </w:r>
    </w:p>
    <w:p w14:paraId="64C30683" w14:textId="082BDCCC" w:rsidR="005911B7" w:rsidRDefault="005911B7" w:rsidP="007B1E7D">
      <w:pPr>
        <w:tabs>
          <w:tab w:val="right" w:leader="dot" w:pos="9066"/>
        </w:tabs>
      </w:pPr>
      <w:r>
        <w:t xml:space="preserve">Figure 4.22 : E-mail automatique de confirmation de candidature reçu par le candidat</w:t>
        <w:tab/>
        <w:t>61</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63</w:t>
      </w:r>
    </w:p>
    <w:p w14:paraId="458518D7" w14:textId="5506CA71" w:rsidR="005911B7" w:rsidRDefault="001A53BF" w:rsidP="007B1E7D">
      <w:pPr>
        <w:tabs>
          <w:tab w:val="right" w:leader="dot" w:pos="9066"/>
        </w:tabs>
      </w:pPr>
      <w:r>
        <w:t>Tableau 4.2 : Matrice de confusion du Gold Set selon le seuil de décision</w:t>
        <w:tab/>
        <w:t>66</w:t>
      </w:r>
    </w:p>
    <w:p w14:paraId="458518D7" w14:textId="5506CA71" w:rsidR="005911B7" w:rsidRDefault="001A53BF" w:rsidP="007B1E7D">
      <w:pPr>
        <w:tabs>
          <w:tab w:val="right" w:leader="dot" w:pos="9066"/>
        </w:tabs>
      </w:pPr>
      <w:r>
        <w:t>Tableau 4.3 : Bilan des fonctionnalités réalisées</w:t>
        <w:tab/>
        <w:t>73</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 xml:space="preserve">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1.1.</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 xml:space="preserve">Le tableau 2.1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finale n’est adressé au candidat qu’après le contreseing du RH, l’avis du manager notifiant le RH ; seule exception, le refus prononcé par l’agent IA, notifié dès le statut AUTO_REJECTED et qui n’est pas doublé lorsque le RH se borne à le confirmer.</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la transmission au manager désigné par le RH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admet deux issues humaines distinctes, toutes deux portées par la transition « AUTO_REJECTED » de la figure 3.8 : le RH confirme le refus après examen, ou le conteste par un override justifié qui réintègre le dossier dans le pipeline.</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visibility:visible;width:746.8pt;height:465.0pt;">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405.6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a été transmis au manager pour évaluation technique : un avis favorable (ACCEPTED) comme un refus proposé (MANAGER_REJECTED) sont admis sur les seuls statuts TECHNICAL_TEST, INTERVIEW et FINAL_INTERVIEW, c’est-à-dire après le pré-filtrage téléphonique du RH.</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Le diagramme de la figure 2.6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 l’essentiel des notifications (SMTP) ; le back-end envoie toutefois ses propres courriels, via JavaMailSender, pour la réinitialisation du mot de passe et les rappels d’entretien. Il appelle aussi directement l’API de Cohere [11] (scoring IA) et l’API OpenRouter [12] (assistant conversationnel). Cette organisation physique est détaillée au chapitre 3 (figures 3.10 et 3.11) ; le tableau 2.3 précise le rôle de chaque agent.</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la convocation au candidat comme la confirmation à l’intervieweur.</w:t>
            </w:r>
          </w:p>
        </w:tc>
      </w:tr>
      <w:tr>
        <w:trPr>
          <w:cantSplit/>
        </w:trPr>
        <w:tc>
          <w:tcPr>
            <w:tcW w:w="1667" w:type="pct"/>
          </w:tcPr>
          <w:p>
            <w:pPr>
              <w:rPr>
                <w:sz w:val="21"/>
              </w:rPr>
            </w:pPr>
            <w:r>
              <w:rPr>
                <w:sz w:val="21"/>
              </w:rPr>
              <w:t xml:space="preserve">Agent 3 — « RH vers Manager (dossier validé) » (notification du manager désigné)</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Notifie le manager désigné par le RH, résolu et gelé sur le dossier par le back-end (ManagerRoutingService),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3.1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 xml:space="preserve">La figure 3.2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98.2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visibility:visible;width:400.6pt;height:446.3pt;">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gèle sur la candidature le manager désigné par le RH, ManagerScopeService lit cette destination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des figures 3.4, 3.5, 3.6 et 3.7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387.0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Deux garde-fous ressortent de ce diagramme : la planification écarte un dossier clos (rejeté ou retiré) et refuse tout créneau chevauchant un entretien déjà réservé du même intervieweur — plusieurs entretiens le même jour restent possibles, jamais au même horaire.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63.2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à condition d’être motivé, comme un avis favorable (ACCEPTED), ne sont admis que sur un dossier transmis pour évaluation technique (TECHNICAL_TEST, INTERVIEW ou FINAL_INTERVIEW) — les étapes encore côté RH, dont la présélection du CV, ne sont pas instruites par le manager.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72.0pt;height:460.4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visibility:visible;width:381.3pt;height:290.0pt;">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destination et la notification (section 4.5.5). La résolution structurelle de ManagerRoutingService — manager désigné sur l’offre, puis département, puis famille de métier, puis ancien champ e-mail — ne produit plus qu’une proposition, pré-sélectionnée dans la modale de transmission : c’est le RH qui désigne le destinataire. Sans désignation, le back-end refuse la transition (erreur 400) et le dossier reste à son statut précédent. Le compte désigné est vérifié — rôle MANAGER, e-mail renseigné — puis gelé sur la candidature avec la base MANUAL ; c’est cette destination, et non le département courant de l’offre, qui borne la visibilité du manager via ManagerScopeService. Un choix hors proposition reste possible : il est journalisé ROUTING_MANUAL.</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Tout au long du processus de recrutement, le statut d’un candidat évolue selon une machine à états précise, représentée à la figure 3.8. Le diagramme ne dessine que les transitions les plus représentatives ; les autres transitions autorisées par le garde-fou métier sont détaillées dans le reste de cette section.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477.2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et précède l’état HIRED ; il ne désigne pas un entretien d’évaluation, les étapes du pipeline étant closes dès INTERVIEW et FINAL_INTERVIEW, et rien n’est modélisé pour l’onboarding. Planifier un entretien fait en revanche avancer le dossier à l’étape du type retenu (téléphonique, test, entretien, entretien final) ; une avancée que la machine à états refuse laisse le dossier en place, sans annuler l’entretien.</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WITHDRAWN) n’admettent plus aucune modification depuis l’interface d’administration ; AUTO_REJECTED ne fait plus partie de cette liste et reste entièrement révisable par le RH, qui confirme le refus après examen — REJECTED motivé, sans seconde notification au candidat — ou corrige le score, ce qui réintègre le dossier en CV_REVIEWED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dispose de deux issues. Soit il confirme le refus après examen : le dossier passe alors en REJECTED avec un motif obligatoire, et le candidat ne reçoit pas second e-mail, la notification ayant déjà été émise par l’agent IA. Soit il corrige manuellement le score via un mécanisme de surcharge (manualScore) : la justification y est obligatoire, la correction est journalisée dans l’audit, et le dossier, réintégré en CV_REVIEWED, repart normalement dans le pipeline.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Le schéma relationnel de la figure 3.9 présente l’ensemble des tables générées à partir des entités JPA, avec les clés primaires et étrangères qui matérialisent les relations décrites plus haut.</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69.9pt;height:426.1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de la figure 3.10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 xml:space="preserve">Le diagramme de la figure 3.11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4.4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 xml:space="preserve">Cette section présente les interfaces de la plateforme, regroupées par acteur : l’accès public et l’espace candidat (figures 4.1 à 4.5), l’espace RH et le suivi du processus de recrutement (figures 4.6 à 4.14), l’espace manager (figures 4.15 et 4.16), l’espace administrateur et la traçabilité (figures 4.17 à 4.19), enfin la chaîne d’automatisation n8n (figures 4.20 à 4.22). Toutes ces captures proviennent de l’application en fonctionnement.</w:t>
      </w:r>
    </w:p>
    <w:p w:rsidR="005911B7" w:rsidRDefault="005911B7" w:rsidP="007B1E7D">
      <w:pPr>
        <w:pStyle w:val="Titre3"/>
      </w:pPr>
      <w:r>
        <w:t>4.3.1 Accès public et espace candidat</w:t>
      </w:r>
    </w:p>
    <w:p w14:paraId="5FCBA3EC" w14:textId="77777777" w:rsidR="005911B7" w:rsidRDefault="00CA1A9F" w:rsidP="007B1E7D">
      <w:pPr>
        <w:keepNext/>
        <w:spacing w:after="40" w:before="0"/>
        <w:jc w:val="center"/>
      </w:pPr>
      <w:r>
        <w:rPr>
          <w:noProof/>
        </w:rPr>
        <w:pict w14:anchorId="650581FA">
          <v:shape id="Image 13" o:spid="_x0000_i1040" type="#_x0000_t75" style="width:453.3pt;height:275.5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de la figure 4.1 propose un cartouche de « Recherche rapide » par mot-clé et par localisation et présente, sous le titre « Offres en vedette » — « Découvrez les dernières opportunités professionnelles » —, les offres les plus récemment publiées : chaque carte porte l’intitulé du poste, son type de contrat, son lieu, l’expérience demandée, ses compétences clés, sa date de publication, un extrait de la description et un bouton « Voir les détails ».</w:t>
      </w:r>
    </w:p>
    <w:p w14:paraId="36E2BBAE" w14:textId="77777777" w:rsidR="005911B7" w:rsidRDefault="00CA1A9F" w:rsidP="007B1E7D">
      <w:pPr>
        <w:keepNext/>
        <w:spacing w:after="40" w:before="0"/>
        <w:jc w:val="center"/>
      </w:pPr>
      <w:r>
        <w:rPr>
          <w:noProof/>
        </w:rPr>
        <w:pict w14:anchorId="5BF0AF37">
          <v:shape id="Image 14" o:spid="_x0000_i1041" type="#_x0000_t75" style="width:138.2pt;height:276.0pt;visibility:visible;mso-wrap-style:square">
            <v:imagedata r:id="rId27" o:title=""/>
          </v:shape>
        </w:pict>
      </w:r>
    </w:p>
    <w:p w14:paraId="3346D263" w14:textId="77777777" w:rsidR="005911B7" w:rsidRDefault="005911B7" w:rsidP="007B1E7D">
      <w:pPr>
        <w:jc w:val="center"/>
        <w:rPr>
          <w:i/>
          <w:sz w:val="21"/>
        </w:rPr>
      </w:pPr>
      <w:r>
        <w:rPr>
          <w:i/>
          <w:sz w:val="21"/>
        </w:rPr>
        <w:t xml:space="preserve">Figure 4.2 : Page de connexion</w:t>
      </w:r>
    </w:p>
    <w:p w14:paraId="4624902F" w14:textId="77777777" w:rsidR="005911B7" w:rsidRDefault="008D5C06" w:rsidP="007B1E7D">
      <w:r>
        <w:t xml:space="preserve">La page de connexion de la figure 4.2 est le point d’entrée des espaces sécurisés : l’authentification s’y fait par nom d’utilisateur et mot de passe, et le jeton JWT renvoyé par le back-end sécurise ensuite l’ensemble des requêtes vers l’API.</w:t>
      </w:r>
      <w:r>
        <w:t xml:space="preserve"/>
      </w:r>
    </w:p>
    <w:p w14:paraId="609C1A12" w14:textId="7262CE25" w:rsidR="00C90533" w:rsidRDefault="00CA1A9F">
      <w:pPr>
        <w:keepNext/>
        <w:spacing w:after="40" w:before="0"/>
        <w:jc w:val="center"/>
      </w:pPr>
      <w:r>
        <w:rPr>
          <w:noProof/>
        </w:rPr>
        <w:pict w14:anchorId="65301F00">
          <v:shape id="Picture 8" o:spid="_x0000_i1051" type="#_x0000_t75" style="visibility:visible;mso-wrap-style:square;width:290.1pt;height:294.0pt">
            <v:imagedata r:id="rId37" o:title=""/>
          </v:shape>
        </w:pict>
      </w:r>
    </w:p>
    <w:p w14:paraId="438164E7" w14:textId="77777777" w:rsidR="00730833" w:rsidRDefault="00AF2881">
      <w:pPr>
        <w:jc w:val="center"/>
        <w:rPr>
          <w:i/>
          <w:sz w:val="21"/>
        </w:rPr>
      </w:pPr>
      <w:r>
        <w:rPr>
          <w:i/>
          <w:sz w:val="21"/>
        </w:rPr>
        <w:t xml:space="preserve">Figure 4.3 : Soumission d’une candidature avec dépôt de CV</w:t>
      </w:r>
    </w:p>
    <w:p w14:paraId="2B525994" w14:textId="77777777" w:rsidR="00730833" w:rsidRDefault="00AF2881">
      <w:r>
        <w:t xml:space="preserve">Comme le montre la figure 4.3, 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w:r>
    </w:p>
    <w:p w14:paraId="607DF564" w14:textId="7B6895C0" w:rsidR="00730833" w:rsidRDefault="00CA1A9F">
      <w:pPr>
        <w:keepNext/>
        <w:spacing w:after="40" w:before="0"/>
        <w:jc w:val="center"/>
      </w:pPr>
      <w:r>
        <w:rPr>
          <w:noProof/>
        </w:rPr>
        <w:pict w14:anchorId="580FE8B9">
          <v:shape id="Picture 5" o:spid="_x0000_i1052" type="#_x0000_t75" style="width:424.8pt;height:191.2pt;visibility:visible;mso-wrap-style:square">
            <v:imagedata r:id="rId38" o:title=""/>
          </v:shape>
        </w:pict>
      </w:r>
    </w:p>
    <w:p w14:paraId="268E66AF" w14:textId="77777777" w:rsidR="00730833" w:rsidRDefault="00AF2881">
      <w:pPr>
        <w:jc w:val="center"/>
        <w:rPr>
          <w:i/>
          <w:sz w:val="21"/>
        </w:rPr>
      </w:pPr>
      <w:r>
        <w:rPr>
          <w:i/>
          <w:sz w:val="21"/>
        </w:rPr>
        <w:t xml:space="preserve">Figure 4.4 : Fonctionnalité « Job idéal » — suggestions d’offres selon le CV</w:t>
      </w:r>
    </w:p>
    <w:p w14:paraId="4511BEA1" w14:textId="77777777" w:rsidR="00730833" w:rsidRDefault="00AF2881">
      <w:r>
        <w:t xml:space="preserve">Comme l’illustre la figure 4.4, un visiteur ou un candidat qui ne postule à aucune offre précise peut déposer son CV et recevoir une liste des offres actives classées par pourcentage de compatibilité, calculée par l’API de Cohere (badge « Analyse IA (Cohere) », avec repli automatique sur un classement par mots-clés si l’IA est indisponible).</w:t>
      </w:r>
    </w:p>
    <w:p w14:paraId="607DF564" w14:textId="7B6895C0" w:rsidR="00730833" w:rsidRDefault="00CA1A9F">
      <w:pPr>
        <w:keepNext/>
        <w:jc w:val="center"/>
        <w:spacing w:before="0" w:after="40" w:line="240" w:lineRule="auto"/>
      </w:pPr>
      <w:r>
        <w:rPr>
          <w:noProof/>
        </w:rPr>
        <w:pict w14:anchorId="580FE8B9">
          <v:shape id="Picture 5" o:spid="_x0000_i1052" type="#_x0000_t75" style="visibility:visible;mso-wrap-style:square;width:222.5pt;height:300.0pt;visibility:visible">
            <v:imagedata r:id="rId900" o:title=""/>
          </v:shape>
        </w:pict>
      </w:r>
    </w:p>
    <w:p w14:paraId="00903B0C" w14:textId="77777777" w:rsidR="00CE421D" w:rsidRDefault="00450284">
      <w:pPr>
        <w:jc w:val="center"/>
        <w:rPr>
          <w:i/>
          <w:sz w:val="21"/>
        </w:rPr>
      </w:pPr>
      <w:r>
        <w:rPr>
          <w:i/>
          <w:sz w:val="21"/>
        </w:rPr>
        <w:t xml:space="preserve">Figure 4.5 : Assistant conversationnel candidat (chatbot)</w:t>
      </w:r>
    </w:p>
    <w:p w14:paraId="0646AE5F" w14:textId="77777777" w:rsidR="00CE421D" w:rsidRDefault="00450284">
      <w:r>
        <w:t xml:space="preserve">Disponible uniquement pour un candidat authentifié, le widget de la figure 4.5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rsidR="005911B7" w:rsidRDefault="005911B7" w:rsidP="007B1E7D">
      <w:pPr>
        <w:pStyle w:val="Titre3"/>
      </w:pPr>
      <w:r>
        <w:t>4.3.2 Espace RH — suivi du processus de recrutement</w:t>
      </w:r>
    </w:p>
    <w:p w14:paraId="03BC45B4" w14:textId="77777777" w:rsidR="005911B7" w:rsidRDefault="00CA1A9F" w:rsidP="007B1E7D">
      <w:pPr>
        <w:keepNext/>
        <w:spacing w:after="40" w:before="0"/>
        <w:jc w:val="center"/>
      </w:pPr>
      <w:r>
        <w:rPr>
          <w:noProof/>
        </w:rPr>
        <w:pict w14:anchorId="1EEBD083">
          <v:shape id="Image 15" o:spid="_x0000_i1042" type="#_x0000_t75" style="width:453.3pt;height:226.7pt;visibility:visible;mso-wrap-style:square">
            <v:imagedata r:id="rId28" o:title=""/>
          </v:shape>
        </w:pict>
      </w:r>
    </w:p>
    <w:p w14:paraId="68CAA9B5" w14:textId="77777777" w:rsidR="005911B7" w:rsidRDefault="005911B7" w:rsidP="007B1E7D">
      <w:pPr>
        <w:jc w:val="center"/>
        <w:rPr>
          <w:i/>
          <w:sz w:val="21"/>
        </w:rPr>
      </w:pPr>
      <w:r>
        <w:rPr>
          <w:i/>
          <w:sz w:val="21"/>
        </w:rPr>
        <w:t xml:space="preserve">Figure 4.6 : Gestion des offres d’emploi (espace RH)</w:t>
      </w:r>
    </w:p>
    <w:p w14:paraId="69D54197" w14:textId="77777777" w:rsidR="005911B7" w:rsidRDefault="008D5C06" w:rsidP="007B1E7D">
      <w:r>
        <w:t xml:space="preserve">Comme le montre la figure 4.6, le responsable RH crée, modifie et suit le statut de chaque offre depuis une table filtrable par mot-clé, par statut et par type de contrat, avec un accès direct à la consultation, à la modification et à la suppression ; la bascule en « expirée » se fait automatiquement une fois la date limite dépassée.</w:t>
      </w:r>
    </w:p>
    <w:p w14:paraId="35421A65" w14:textId="77777777" w:rsidR="005911B7" w:rsidRDefault="00CA1A9F" w:rsidP="007B1E7D">
      <w:pPr>
        <w:keepNext/>
        <w:spacing w:after="40" w:before="0"/>
        <w:jc w:val="center"/>
      </w:pPr>
      <w:r>
        <w:rPr>
          <w:noProof/>
        </w:rPr>
        <w:pict w14:anchorId="131B476D">
          <v:shape id="Image 16" o:spid="_x0000_i1043" type="#_x0000_t75" style="width:453.3pt;height:226.7pt;visibility:visible;mso-wrap-style:square">
            <v:imagedata r:id="rId29" o:title=""/>
          </v:shape>
        </w:pict>
      </w:r>
    </w:p>
    <w:p w14:paraId="43FB54AE" w14:textId="77777777" w:rsidR="005911B7" w:rsidRDefault="005911B7" w:rsidP="007B1E7D">
      <w:pPr>
        <w:jc w:val="center"/>
        <w:rPr>
          <w:i/>
          <w:sz w:val="21"/>
        </w:rPr>
      </w:pPr>
      <w:r>
        <w:rPr>
          <w:i/>
          <w:sz w:val="21"/>
        </w:rPr>
        <w:t xml:space="preserve">Figure 4.7 : Gestion des candidats — vue liste avec score IA</w:t>
      </w:r>
    </w:p>
    <w:p w14:paraId="596C0960" w14:textId="77777777" w:rsidR="005911B7" w:rsidRDefault="008D5C06" w:rsidP="007B1E7D">
      <w:r>
        <w:t>La figure 4.7 reproduit la liste des dossiers de l’espace RH : pour chacun apparaissent le contact, l’offre visée, le statut courant, le score de l’agent IA — coloré selon son niveau — et les actions rapides (consultation en ligne du CV, téléchargement, modification, envoi d’e-mail, suppression). Le bandeau supérieur résume l’état du vivier (à valider, rejetés, retirés, embauchés).</w:t>
      </w:r>
    </w:p>
    <w:p w14:paraId="0BC41D96" w14:textId="636DDE35" w:rsidR="00C90533" w:rsidRDefault="00CA1A9F">
      <w:pPr>
        <w:keepNext/>
        <w:spacing w:after="40" w:before="0"/>
        <w:jc w:val="center"/>
      </w:pPr>
      <w:r>
        <w:rPr>
          <w:noProof/>
        </w:rPr>
        <w:pict w14:anchorId="6E2178D7">
          <v:shape id="Picture 9" o:spid="_x0000_i1053" type="#_x0000_t75" style="visibility:visible;mso-wrap-style:square;width:309.8pt;height:280.0pt;visibility:visible">
            <v:imagedata r:id="rId39" o:title=""/>
          </v:shape>
        </w:pict>
      </w:r>
    </w:p>
    <w:p w14:paraId="5A138DDE" w14:textId="77777777" w:rsidR="00730833" w:rsidRDefault="00AF2881">
      <w:pPr>
        <w:jc w:val="center"/>
        <w:rPr>
          <w:i/>
          <w:sz w:val="21"/>
        </w:rPr>
      </w:pPr>
      <w:r>
        <w:rPr>
          <w:i/>
          <w:sz w:val="21"/>
        </w:rPr>
        <w:t xml:space="preserve">Figure 4.8 : Analyse détaillée d’une candidature par intelligence artificielle</w:t>
      </w:r>
    </w:p>
    <w:p w14:paraId="2F6820D7" w14:textId="77777777" w:rsidR="00730833" w:rsidRDefault="00AF2881">
      <w:r>
        <w:t xml:space="preserve">Le détail d’une candidature, reproduit en figure 4.8, expose, au-delà du score global visible en liste (figure 4.7), la répartition par critère — technique, communication, adéquation séniorité —, le bouton « Corriger le score » et, le cas échéant, la correction manuelle appliquée par un RH avec sa justification, conformément au principe de contrôle humain décrit en section 4.6. Y figurent également les notes internes, réservées aux rôles RH et administrateur, et l’activité des agents n8n sur le dossier.</w:t>
      </w:r>
    </w:p>
    <w:p w14:paraId="20B08E4E" w14:textId="77777777" w:rsidR="005911B7" w:rsidRDefault="00CA1A9F" w:rsidP="007B1E7D">
      <w:pPr>
        <w:keepNext/>
        <w:spacing w:after="40" w:before="0"/>
        <w:jc w:val="center"/>
      </w:pPr>
      <w:r>
        <w:rPr>
          <w:noProof/>
        </w:rPr>
        <w:pict w14:anchorId="0B44AC1E">
          <v:shape id="Image 17" o:spid="_x0000_i1044" type="#_x0000_t75" style="visibility:visible;mso-wrap-style:square;width:277.3pt;height:295.0pt">
            <v:imagedata r:id="rId30" o:title=""/>
          </v:shape>
        </w:pict>
      </w:r>
    </w:p>
    <w:p w14:paraId="3050056D" w14:textId="77777777" w:rsidR="005911B7" w:rsidRDefault="005911B7" w:rsidP="007B1E7D">
      <w:pPr>
        <w:jc w:val="center"/>
        <w:rPr>
          <w:i/>
          <w:sz w:val="21"/>
        </w:rPr>
      </w:pPr>
      <w:r>
        <w:rPr>
          <w:i/>
          <w:sz w:val="21"/>
        </w:rPr>
        <w:t xml:space="preserve">Figure 4.9 : Modification d’un dossier candidat</w:t>
      </w:r>
    </w:p>
    <w:p w14:paraId="06E05E3E" w14:textId="77777777" w:rsidR="005911B7" w:rsidRDefault="008D5C06" w:rsidP="007B1E7D">
      <w:r>
        <w:t xml:space="preserve">Le formulaire de modification (figure 4.9) permet de corriger un dossier candidat (coordonnées, lettre, statut, offre associée) ; la fiche de consultation associée regroupe le CV, consultable en ligne sans téléchargement, l’analyse IA détaillée (technique, communication, séniorité) et l’historique des agents n8n sur ce dossier.</w:t>
      </w:r>
      <w:r>
        <w:t xml:space="preserve"/>
      </w:r>
    </w:p>
    <w:p w14:paraId="688C2C17" w14:textId="77777777" w:rsidR="005911B7" w:rsidRDefault="00CA1A9F" w:rsidP="007B1E7D">
      <w:pPr>
        <w:keepNext/>
        <w:spacing w:after="40" w:before="0"/>
        <w:jc w:val="center"/>
      </w:pPr>
      <w:r>
        <w:rPr>
          <w:noProof/>
        </w:rPr>
        <w:pict w14:anchorId="3DE79FED">
          <v:shape id="Image 18" o:spid="_x0000_i1045" type="#_x0000_t75" style="width:453.3pt;height:226.7pt;visibility:visible;mso-wrap-style:square">
            <v:imagedata r:id="rId31" o:title=""/>
          </v:shape>
        </w:pict>
      </w:r>
    </w:p>
    <w:p w14:paraId="648457B4" w14:textId="77777777" w:rsidR="005911B7" w:rsidRDefault="005911B7" w:rsidP="007B1E7D">
      <w:pPr>
        <w:jc w:val="center"/>
        <w:rPr>
          <w:i/>
          <w:sz w:val="21"/>
        </w:rPr>
      </w:pPr>
      <w:r>
        <w:rPr>
          <w:i/>
          <w:sz w:val="21"/>
        </w:rPr>
        <w:t xml:space="preserve">Figure 4.10 : Tableau Kanban du pipeline de recrutement</w:t>
      </w:r>
    </w:p>
    <w:p w14:paraId="6D3BC57F" w14:textId="77777777" w:rsidR="005911B7" w:rsidRDefault="008D5C06" w:rsidP="007B1E7D">
      <w:r>
        <w:t xml:space="preserve">Le tableau Kanban de la figure 4.10, intitulé « Pipeline de recrutement », donne une vue synthétique et interactive de toutes les candidatures réparties par statut : chaque colonne porte le nombre de dossiers qu’elle contient et chaque carte le nom du candidat, l’offre visée et son score IA. Toutes les colonnes ne tenant pas à l’écran, le tableau se fait défiler horizontalement.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spacing w:after="40" w:before="0"/>
        <w:jc w:val="center"/>
      </w:pPr>
      <w:r>
        <w:rPr>
          <w:noProof/>
        </w:rPr>
        <w:pict w14:anchorId="61C2271E">
          <v:shape id="Image 19" o:spid="_x0000_i1046" type="#_x0000_t75" style="width:453.3pt;height:290.4pt;visibility:visible;mso-wrap-style:square">
            <v:imagedata r:id="rId32" o:title=""/>
          </v:shape>
        </w:pict>
      </w:r>
    </w:p>
    <w:p w14:paraId="14AD82FA" w14:textId="77777777" w:rsidR="005911B7" w:rsidRDefault="005911B7" w:rsidP="007B1E7D">
      <w:pPr>
        <w:jc w:val="center"/>
        <w:rPr>
          <w:i/>
          <w:sz w:val="21"/>
        </w:rPr>
      </w:pPr>
      <w:r>
        <w:rPr>
          <w:i/>
          <w:sz w:val="21"/>
        </w:rPr>
        <w:t xml:space="preserve">Figure 4.11 : Gestion des entretiens (espace RH)</w:t>
      </w:r>
    </w:p>
    <w:p w14:paraId="456E7EFE" w14:textId="77777777" w:rsidR="005911B7" w:rsidRDefault="008D5C06" w:rsidP="007B1E7D">
      <w:r>
        <w:t>L’écran de gestion des entretiens de la figure 4.11 permet de planifier, filtrer et suivre les entretiens par candidat, offre, type, interviewer et statut, avec des actions contextuelles comme le démarrage, l’annulation, la reprogrammation ou l’ajout d’un feedback une fois l’entretien terminé.</w:t>
      </w:r>
      <w:r>
        <w:t xml:space="preserve"/>
      </w:r>
    </w:p>
    <w:p w14:paraId="3B0AAACB" w14:textId="77777777" w:rsidR="005911B7" w:rsidRDefault="00CA1A9F" w:rsidP="007B1E7D">
      <w:pPr>
        <w:keepNext/>
        <w:spacing w:after="40" w:before="0"/>
        <w:jc w:val="center"/>
      </w:pPr>
      <w:r>
        <w:rPr>
          <w:noProof/>
        </w:rPr>
        <w:pict w14:anchorId="4A63A72C">
          <v:shape id="Image 20" o:spid="_x0000_i1047" type="#_x0000_t75" style="width:453.3pt;height:290.4pt;visibility:visible;mso-wrap-style:square">
            <v:imagedata r:id="rId33" o:title=""/>
          </v:shape>
        </w:pict>
      </w:r>
    </w:p>
    <w:p w14:paraId="23470364" w14:textId="77777777" w:rsidR="005911B7" w:rsidRDefault="005911B7" w:rsidP="007B1E7D">
      <w:pPr>
        <w:jc w:val="center"/>
        <w:rPr>
          <w:i/>
          <w:sz w:val="21"/>
        </w:rPr>
      </w:pPr>
      <w:r>
        <w:rPr>
          <w:i/>
          <w:sz w:val="21"/>
        </w:rPr>
        <w:t xml:space="preserve">Figure 4.12 : Gestion des feedbacks (espace RH)</w:t>
      </w:r>
    </w:p>
    <w:p w14:paraId="70B615C4" w14:textId="77777777" w:rsidR="005911B7" w:rsidRDefault="008D5C06" w:rsidP="007B1E7D">
      <w:r>
        <w:t>La figure 4.12 centralise les feedbacks saisis par les managers, notés de 1 à 5 étoiles et assortis d’un commentaire, avec une étape de validation par le RH avant transmission au candidat.</w:t>
      </w:r>
      <w:r>
        <w:t xml:space="preserve"/>
      </w:r>
    </w:p>
    <w:p w14:paraId="234F2466" w14:textId="3397CEB3" w:rsidR="00730833" w:rsidRDefault="00CA1A9F">
      <w:pPr>
        <w:keepNext/>
        <w:spacing w:after="40" w:before="0"/>
        <w:jc w:val="center"/>
      </w:pPr>
      <w:r>
        <w:rPr>
          <w:noProof/>
        </w:rPr>
        <w:pict w14:anchorId="1ABB31E4">
          <v:shape id="Picture 411" o:spid="_x0000_i1911" type="#_x0000_t75" style="visibility:visible;mso-wrap-style:square;width:240.2pt;height:263.0pt">
            <v:imagedata r:id="rId960" o:title=""/>
          </v:shape>
        </w:pict>
      </w:r>
    </w:p>
    <w:p w14:paraId="213F627D" w14:textId="77777777" w:rsidR="00730833" w:rsidRDefault="00AF2881">
      <w:pPr>
        <w:jc w:val="center"/>
        <w:rPr>
          <w:i/>
          <w:sz w:val="21"/>
        </w:rPr>
      </w:pPr>
      <w:r>
        <w:rPr>
          <w:i/>
          <w:sz w:val="21"/>
        </w:rPr>
        <w:t xml:space="preserve">Figure 4.13 : Contre-signature RH d’un avis favorable « Valider l’embauche »</w:t>
      </w:r>
    </w:p>
    <w:p w14:paraId="2952C15B" w14:textId="77777777" w:rsidR="00730833" w:rsidRDefault="00AF2881">
      <w:r>
        <w:t xml:space="preserve">La modale de la figure 4.13 : le RH contre-signe l’avis favorable du manager avant l’embauche ; la date de présentation y est obligatoire, car elle alimente l’e-mail de convocation.</w:t>
      </w:r>
    </w:p>
    <w:p w14:paraId="234F2466" w14:textId="3397CEB3" w:rsidR="00730833" w:rsidRDefault="00CA1A9F">
      <w:pPr>
        <w:keepNext/>
        <w:spacing w:after="40" w:before="0"/>
        <w:jc w:val="center"/>
      </w:pPr>
      <w:r>
        <w:rPr>
          <w:noProof/>
        </w:rPr>
        <w:pict w14:anchorId="1ABB31E4">
          <v:shape id="Picture 412" o:spid="_x0000_i1912" type="#_x0000_t75" style="visibility:visible;mso-wrap-style:square;width:240.0pt;height:254.0pt">
            <v:imagedata r:id="rId961" o:title=""/>
          </v:shape>
        </w:pict>
      </w:r>
    </w:p>
    <w:p w14:paraId="213F627D" w14:textId="77777777" w:rsidR="00730833" w:rsidRDefault="00AF2881">
      <w:pPr>
        <w:jc w:val="center"/>
        <w:rPr>
          <w:i/>
          <w:sz w:val="21"/>
        </w:rPr>
      </w:pPr>
      <w:r>
        <w:rPr>
          <w:i/>
          <w:sz w:val="21"/>
        </w:rPr>
        <w:t xml:space="preserve">Figure 4.14 : Contre-signature RH d’un refus proposé — modale « Confirmer le refus »</w:t>
      </w:r>
    </w:p>
    <w:p w14:paraId="2952C15B" w14:textId="77777777" w:rsidR="00730833" w:rsidRDefault="00AF2881">
      <w:r>
        <w:t xml:space="preserve">La modale « Confirmer le refus » de la figure 4.14 : le RH contre-signe le refus proposé par le manager ; le motif y est obligatoire, car il alimente l’e-mail de refus final.</w:t>
      </w:r>
    </w:p>
    <w:p w:rsidR="005911B7" w:rsidRDefault="005911B7" w:rsidP="007B1E7D">
      <w:pPr>
        <w:pStyle w:val="Titre3"/>
      </w:pPr>
      <w:r>
        <w:t>4.3.3 Espace manager</w:t>
      </w:r>
    </w:p>
    <w:p w14:paraId="234F2466" w14:textId="3397CEB3" w:rsidR="00730833" w:rsidRDefault="00CA1A9F">
      <w:pPr>
        <w:keepNext/>
        <w:spacing w:after="40" w:before="0"/>
        <w:jc w:val="center"/>
      </w:pPr>
      <w:r>
        <w:rPr>
          <w:noProof/>
        </w:rPr>
        <w:pict w14:anchorId="1ABB31E4">
          <v:shape id="Picture 7" o:spid="_x0000_i1054" type="#_x0000_t75" style="visibility:visible;mso-wrap-style:square;width:453.3pt;height:252.5pt">
            <v:imagedata r:id="rId40" o:title=""/>
          </v:shape>
        </w:pict>
      </w:r>
    </w:p>
    <w:p w14:paraId="213F627D" w14:textId="77777777" w:rsidR="00730833" w:rsidRDefault="00AF2881">
      <w:pPr>
        <w:jc w:val="center"/>
        <w:rPr>
          <w:i/>
          <w:sz w:val="21"/>
        </w:rPr>
      </w:pPr>
      <w:r>
        <w:rPr>
          <w:i/>
          <w:sz w:val="21"/>
        </w:rPr>
        <w:t xml:space="preserve">Figure 4.15 : Espace Manager — candidatures relevant du périmètre du manager</w:t>
      </w:r>
    </w:p>
    <w:p w14:paraId="2952C15B" w14:textId="77777777" w:rsidR="00730833" w:rsidRDefault="00AF2881">
      <w:r>
        <w:t xml:space="preserve">Un manager ne voit que les dossiers relevant de son périmètre — le destinataire désigné par le RH, gelé sur la candidature (base MANUAL) et lu par ManagerScopeService (3.5.4) —, à partir de leur entrée en évaluation technique. La figure 4.15 montre cette vue, distincte de la liste RH (figure 4.7) : les colonnes ne rognent plus, chaque ligne se déplie sur le score, les compétences et l’analyse IA, et porte « Planifier l’entretien ».</w:t>
      </w:r>
    </w:p>
    <w:p w14:paraId="234F2466" w14:textId="3397CEB3" w:rsidR="00730833" w:rsidRDefault="00CA1A9F">
      <w:pPr>
        <w:keepNext/>
        <w:spacing w:after="40" w:before="0"/>
        <w:jc w:val="center"/>
      </w:pPr>
      <w:r>
        <w:rPr>
          <w:noProof/>
        </w:rPr>
        <w:pict w14:anchorId="1ABB31E4">
          <v:shape id="Picture 17" o:spid="_x0000_i1060" type="#_x0000_t75" style="visibility:visible;mso-wrap-style:square;width:453.3pt;height:298.5pt">
            <v:imagedata r:id="rId902" o:title=""/>
          </v:shape>
        </w:pict>
      </w:r>
    </w:p>
    <w:p w14:paraId="213F627D" w14:textId="77777777" w:rsidR="00730833" w:rsidRDefault="00AF2881">
      <w:pPr>
        <w:jc w:val="center"/>
        <w:rPr>
          <w:i/>
          <w:sz w:val="21"/>
        </w:rPr>
      </w:pPr>
      <w:r>
        <w:rPr>
          <w:i/>
          <w:sz w:val="21"/>
        </w:rPr>
        <w:t xml:space="preserve">Figure 4.16 : Espace Manager — page « Mon calendrier d’entretiens », prochains entretiens, rappels et entretiens passés</w:t>
      </w:r>
    </w:p>
    <w:p w14:paraId="6E5C99B1" w14:textId="77777777" w:rsidR="005911B7" w:rsidRDefault="00161004" w:rsidP="007B1E7D">
      <w:r>
        <w:t xml:space="preserve">La page « Mon calendrier d’entretiens » (figure 4.16) n’affiche que ce qui regarde l’intervieweur connecté : filtrage côté serveur sur sa seule identité, reprise du jeton, et même contrôle d’accès au dossier que pour la liste des dossiers. Elle n’est pas figée pour autant : le manager peut y marquer un entretien comme effectué et y reprendre un dossier encore instruit.</w:t>
      </w:r>
    </w:p>
    <w:p w14:paraId="2952C15B" w14:textId="77777777" w:rsidR="00730833" w:rsidRDefault="00AF2881">
      <w:r>
        <w:t xml:space="preserve">La partie haute de la figure 4.16 donne les trois prochains rendez-vous actifs, chacun avec l’heure, la date, le candidat, le poste, le format et, une fois le lien produit par l’agent de planification, le bouton « Rejoindre le lien Google Meet » ; l’encart « Rappels » annonce un e-mail deux heures avant chaque entretien dont l’utilisateur est l’intervieweur. La section « Entretiens passés ce mois-ci » permet de reprendre un dossier déjà vu : le manager peut y marquer l’entretien comme effectué et, tant que le dossier est encore en cours d’instruction, l’ouvrir par le bouton « Donner mon avis », qui amène la fiche où l’avis se saisit. Lorsque l’avis a déjà été rendu ou que le dossier est clôturé, ce bouton disparaît et la carte affiche l’état courant (« Dossier clôturé : candidat embauché », « Dossier clôturé : refus validé par le RH »), pour ne jamais laisser le manager devant une commande sans effet. Plus bas, une grille mensuelle — non reproduite ici — complète la page : chaque créneau y est coloré selon l’état du dossier, verrouillé et grisé une fois la décision du RH tombée, ambré et marqué d’un sablier tant que l’avis du manager attend son contreseing. Chaque événement ouvre une fenêtre de détail (candidat, poste, format, date, heure, durée, lieu, notes) où le lien Meet reste derrière un bouton explicite « Rejoindre l’entretien », tant que le créneau court : consulter le planning ne déclenche pas d’appel visio, et l’écran sans lien produit le dit au lieu d’afficher un bouton vide.</w:t>
      </w:r>
    </w:p>
    <w:p w:rsidR="005911B7" w:rsidRDefault="005911B7" w:rsidP="007B1E7D">
      <w:pPr>
        <w:pStyle w:val="Titre3"/>
      </w:pPr>
      <w:r>
        <w:t>4.3.4 Administrateur — comptes, paramétrage et traçabilité</w:t>
      </w:r>
    </w:p>
    <w:p w14:paraId="146E0641" w14:textId="77777777" w:rsidR="005911B7" w:rsidRDefault="00CA1A9F" w:rsidP="007B1E7D">
      <w:pPr>
        <w:keepNext/>
        <w:spacing w:after="40" w:before="0"/>
        <w:jc w:val="center"/>
      </w:pPr>
      <w:r>
        <w:rPr>
          <w:noProof/>
        </w:rPr>
        <w:pict w14:anchorId="1C64D113">
          <v:shape id="Image 21" o:spid="_x0000_i1048" type="#_x0000_t75" style="width:453.3pt;height:245.5pt;visibility:visible;mso-wrap-style:square">
            <v:imagedata r:id="rId34" o:title=""/>
          </v:shape>
        </w:pict>
      </w:r>
    </w:p>
    <w:p w14:paraId="5BF29D70" w14:textId="77777777" w:rsidR="005911B7" w:rsidRDefault="005911B7" w:rsidP="007B1E7D">
      <w:pPr>
        <w:jc w:val="center"/>
        <w:rPr>
          <w:i/>
          <w:sz w:val="21"/>
        </w:rPr>
      </w:pPr>
      <w:r>
        <w:rPr>
          <w:i/>
          <w:sz w:val="21"/>
        </w:rPr>
        <w:t xml:space="preserve">Figure 4.17 : Gestion des utilisateurs et des rôles (espace Administrateur)</w:t>
      </w:r>
    </w:p>
    <w:p w14:paraId="51E35756" w14:textId="77777777" w:rsidR="005911B7" w:rsidRDefault="008D5C06" w:rsidP="007B1E7D">
      <w:r>
        <w:t>L’écran de la figure 4.17 permet à l’administrateur de gérer l’ensemble des comptes de la plateforme et leurs rôles — un même compte pouvant en cumuler plusieurs —, ainsi que leur rattachement à un département ou, à défaut pour un manager, à une famille de métier.</w:t>
      </w:r>
    </w:p>
    <w:p w14:paraId="199A6A97" w14:textId="77777777" w:rsidR="005911B7" w:rsidRDefault="00CA1A9F" w:rsidP="007B1E7D">
      <w:pPr>
        <w:keepNext/>
        <w:spacing w:after="40" w:before="0"/>
        <w:jc w:val="center"/>
      </w:pPr>
      <w:r>
        <w:rPr>
          <w:noProof/>
        </w:rPr>
        <w:pict w14:anchorId="30680820">
          <v:shape id="Image 22" o:spid="_x0000_i1049" type="#_x0000_t75" style="width:453.3pt;height:247.9pt;visibility:visible;mso-wrap-style:square">
            <v:imagedata r:id="rId35" o:title=""/>
          </v:shape>
        </w:pict>
      </w:r>
    </w:p>
    <w:p w14:paraId="53F7EF5B" w14:textId="77777777" w:rsidR="005911B7" w:rsidRDefault="005911B7" w:rsidP="007B1E7D">
      <w:pPr>
        <w:jc w:val="center"/>
        <w:rPr>
          <w:i/>
          <w:sz w:val="21"/>
        </w:rPr>
      </w:pPr>
      <w:r>
        <w:rPr>
          <w:i/>
          <w:sz w:val="21"/>
        </w:rPr>
        <w:t xml:space="preserve">Figure 4.18 : Paramétrage du scoring IA par famille de métier</w:t>
      </w:r>
    </w:p>
    <w:p w14:paraId="2EF1BE18" w14:textId="77777777" w:rsidR="005911B7" w:rsidRDefault="008D5C06" w:rsidP="007B1E7D">
      <w:r>
        <w:t>Réservé à l’administrateur, l’écran de la figure 4.18 permet d’ajuster, pour chaque famille de métier et chaque niveau de séniorité, la pondération technique / communication / séniorité utilisée par l’agent IA pour calculer le score d’une candidature ; une colonne de contrôle vérifie avant l’enregistrement que les trois poids somment bien à 100 %.</w:t>
      </w:r>
    </w:p>
    <w:p w14:paraId="0B1676FD" w14:textId="77777777" w:rsidR="005911B7" w:rsidRDefault="00CA1A9F" w:rsidP="007B1E7D">
      <w:pPr>
        <w:keepNext/>
        <w:spacing w:after="40" w:before="0"/>
        <w:jc w:val="center"/>
      </w:pPr>
      <w:r>
        <w:rPr>
          <w:noProof/>
        </w:rPr>
        <w:pict w14:anchorId="66625CE5">
          <v:shape id="Image 23" o:spid="_x0000_i1050" type="#_x0000_t75" style="width:453.3pt;height:290.4pt;visibility:visible;mso-wrap-style:square">
            <v:imagedata r:id="rId36" o:title=""/>
          </v:shape>
        </w:pict>
      </w:r>
    </w:p>
    <w:p w14:paraId="77DF7A55" w14:textId="77777777" w:rsidR="005911B7" w:rsidRDefault="005911B7" w:rsidP="007B1E7D">
      <w:pPr>
        <w:jc w:val="center"/>
        <w:rPr>
          <w:i/>
          <w:sz w:val="21"/>
        </w:rPr>
      </w:pPr>
      <w:r>
        <w:rPr>
          <w:i/>
          <w:sz w:val="21"/>
        </w:rPr>
        <w:t xml:space="preserve">Figure 4.19 : Historique d’audit</w:t>
      </w:r>
    </w:p>
    <w:p w14:paraId="6867BA22" w14:textId="77777777" w:rsidR="000F1AFA" w:rsidRDefault="008D5C06" w:rsidP="007B1E7D">
      <w:r>
        <w:t>L’historique d’audit reproduit en figure 4.19 trace tous les changements significatifs d’un dossier — statut, score, routage vers un manager, contre-signature de la décision finale — en précisant la date, l’entité concernée, la nature de l’action, la valeur précédente, la nouvelle valeur et l’auteur de la modification, qu’elle soit initiée manuellement par un utilisateur ou automatiquement par le système (agents n8n) ; les lignes ROUTING et ROUTING_MANUAL y rappellent le destinataire retenu et la proposition écartée, ce qui garantit la traçabilité de chaque décision.</w:t>
      </w:r>
      <w:r>
        <w:t xml:space="preserve"/>
      </w:r>
    </w:p>
    <w:p w:rsidR="005911B7" w:rsidRDefault="005911B7" w:rsidP="007B1E7D">
      <w:pPr>
        <w:pStyle w:val="Titre3"/>
      </w:pPr>
      <w:r>
        <w:t>4.3.5 Automatisation n8n et notification du candidat</w:t>
      </w:r>
    </w:p>
    <w:p w14:paraId="234F2466" w14:textId="3397CEB3" w:rsidR="00730833" w:rsidRDefault="00CA1A9F">
      <w:pPr>
        <w:keepNext/>
        <w:spacing w:after="40" w:before="0"/>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4.20 : Console n8n — les trois flux d’automatisation publiés et leurs statistiques</w:t>
      </w:r>
    </w:p>
    <w:p w14:paraId="2952C15B" w14:textId="77777777" w:rsidR="00730833" w:rsidRDefault="00AF2881">
      <w:r>
        <w:t xml:space="preserve">Au-delà des interfaces de la plateforme, la chaîne d’automatisation a été vérifiée dans la console n8n elle-même. La figure 4.20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34F2466" w14:textId="3397CEB3" w:rsidR="00730833" w:rsidRDefault="00CA1A9F">
      <w:pPr>
        <w:keepNext/>
        <w:spacing w:after="40" w:before="0"/>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4.21 : Flux n8n de l’Agent 1 — webhook de candidature, appel du scoring Cohere puis e-mail au candidat</w:t>
      </w:r>
    </w:p>
    <w:p w14:paraId="2952C15B" w14:textId="77777777" w:rsidR="00730833" w:rsidRDefault="00AF2881">
      <w:r>
        <w:t xml:space="preserve">Le détail de l’Agent 1 (figure 4.21)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spacing w:after="40" w:before="0"/>
        <w:jc w:val="center"/>
      </w:pPr>
      <w:r>
        <w:rPr>
          <w:noProof/>
        </w:rPr>
        <w:pict w14:anchorId="1ABB31E4">
          <v:shape id="Picture 110" o:spid="_x0000_i1063" type="#_x0000_t75" style="width:371.0pt;height:250.0pt;visibility:visible;mso-wrap-style:square">
            <v:imagedata r:id="rId905" o:title=""/>
          </v:shape>
        </w:pict>
      </w:r>
    </w:p>
    <w:p w14:paraId="213F627D" w14:textId="77777777" w:rsidR="00730833" w:rsidRDefault="00AF2881">
      <w:pPr>
        <w:jc w:val="center"/>
        <w:rPr>
          <w:i/>
          <w:sz w:val="21"/>
        </w:rPr>
      </w:pPr>
      <w:r>
        <w:rPr>
          <w:i/>
          <w:sz w:val="21"/>
        </w:rPr>
        <w:t xml:space="preserve">Figure 4.22 : E-mail automatique de confirmation de candidature reçu par le candidat</w:t>
      </w:r>
    </w:p>
    <w:p w14:paraId="2952C15B" w14:textId="77777777" w:rsidR="00730833" w:rsidRDefault="00AF2881">
      <w:r>
        <w:t xml:space="preserve">Côté candidat, la notification produite par ce flux arrive bien dans sa boîte de réception (figure 4.22) : accusé de réception nominatif pour le poste visé, score d’analyse IA obtenu et horodatage du traitement, avec la mention « Cet email a été envoyé automatiquement par la plateforme JOB4YOU ».</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Au-delà des vérifications manuelles, la couche service et une partie de la couche controller sont couvertes par une suite de tests automatisés écrite avec JUnit 5 et Mockito [16], exécutée via Maven. Elle comprend 20 classes de test pour un total de 249 méthodes, toutes exécutées sans échec : CandidateServiceTest, JobOfferServiceTest, ManagerRoutingServiceTest, ManagerScopeServiceTest, CandidateManualRoutingTest, DepartmentProposalServiceTest, N8nServiceTest, N8nServiceOutboxKeyTest, ScoringWeightProfileServiceTest, AiScoringServiceTest, SkillNormalizationServiceTest, CohereClientParsingTest, MatchingServiceTest, ExperienceLevelNormsTest,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les routes anonymes et la sécurité d’accès au lien Google Meet d’un entretien. Ces tests couvrent en particulier la résolution des managers destinataires et son blocage lorsqu’aucun niveau ne propose, le refus de transmission sans désignation et la journalisation ROUTING_MANUAL d’un choix hors de la proposition retenue, l’isolation stricte de la visibilité à la liste gelée, le calcul du score IA et ses seuils de décision, la neutralisation d’une compétence que le CV nie explicitement, l’orientation de tout score en zone grise vers un arbitrage humain, l’avancée du dossier à l’étape effectivement planifiée, le refus du créneau qui en chevauche un autre à l’agenda du même intervieweur, l’arbitrage RH d’un dossier rejeté par l’agent IA — confirmation motivée ou correction du score —, l’absence de double notification quand le RH confirme un refus déjà notifié par l’IA,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spacing w:before="0" w:after="0" w:line="240" w:lineRule="auto"/>
              <w:rPr>
                <w:rFonts w:ascii="Consolas" w:hAnsi="Consolas"/>
                <w:sz w:val="18"/>
              </w:rPr>
            </w:pPr>
            <w:r>
              <w:rPr>
                <w:rFonts w:ascii="Consolas" w:hAnsi="Consolas"/>
                <w:sz w:val="18"/>
              </w:rPr>
              <w:t>@Test</w:t>
            </w:r>
          </w:p>
          <w:p w14:paraId="5AFAC82A" w14:textId="3009874B" w:rsidR="005911B7" w:rsidRDefault="005911B7" w:rsidP="007B1E7D">
            <w:pPr>
              <w:spacing w:before="0" w:after="0" w:line="240" w:lineRule="auto"/>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spacing w:before="0" w:after="0" w:line="240" w:lineRule="auto"/>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spacing w:before="0" w:after="0" w:line="240" w:lineRule="auto"/>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spacing w:before="0" w:after="0" w:line="240" w:lineRule="auto"/>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spacing w:before="0" w:after="0" w:line="240" w:lineRule="auto"/>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spacing w:before="0" w:after="0" w:line="240" w:lineRule="auto"/>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spacing w:before="0" w:after="0" w:line="240" w:lineRule="auto"/>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spacing w:before="0" w:after="0" w:line="240" w:lineRule="auto"/>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spacing w:before="0" w:after="0" w:line="240" w:lineRule="auto"/>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spacing w:before="0" w:after="0" w:line="240" w:lineRule="auto"/>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Transmission RH → manager : l’aiguillage propose, le RH désigne le destinataire</w:t>
            </w:r>
          </w:p>
        </w:tc>
        <w:tc>
          <w:tcPr>
            <w:tcW w:w="1667" w:type="pct"/>
          </w:tcPr>
          <w:p w14:paraId="4EF70E9D" w14:textId="77777777" w:rsidR="005911B7" w:rsidRPr="007B1E7D" w:rsidRDefault="001110FA" w:rsidP="007B1E7D">
            <w:pPr>
              <w:rPr>
                <w:sz w:val="21"/>
              </w:rPr>
            </w:pPr>
            <w:r>
              <w:rPr>
                <w:sz w:val="21"/>
              </w:rPr>
              <w:t xml:space="preserve">Sans désignation : 400, dossier immobile ; le manager choisi est seul notifié ; choix hors proposition : ROUTING_MANUAL</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Le manager désigné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Chevauchement de deux entretiens d’un même intervieweur</w:t>
            </w:r>
          </w:p>
        </w:tc>
        <w:tc>
          <w:tcPr>
            <w:tcW w:w="1667" w:type="pct"/>
          </w:tcPr>
          <w:p w14:paraId="55B01654" w14:textId="77777777" w:rsidR="000F1AFA" w:rsidRDefault="000F1AFA" w:rsidP="007B1E7D">
            <w:pPr>
              <w:rPr>
                <w:sz w:val="21"/>
              </w:rPr>
            </w:pPr>
            <w:r>
              <w:rPr>
                <w:sz w:val="21"/>
              </w:rPr>
              <w:t>Erreur 400 ; le même jour reste possible</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Arbitrage RH d’un dossier rejeté automatiquement par l’agent IA</w:t>
            </w:r>
          </w:p>
        </w:tc>
        <w:tc>
          <w:tcPr>
            <w:tcW w:w="3069" w:type="dxa"/>
          </w:tcPr>
          <w:p w14:paraId="32DB0FB0" w14:textId="77777777" w:rsidR="00CE421D" w:rsidRDefault="00450284">
            <w:r>
              <w:t xml:space="preserve">Confirmation du refus (REJECTED motivé, sans second e-mail au candidat) ou correction du score (retour en CV_REVIEWED) ; erreur 400 si le motif manque</w:t>
            </w:r>
          </w:p>
        </w:tc>
        <w:tc>
          <w:tcPr>
            <w:tcW w:w="3067" w:type="dxa"/>
          </w:tcPr>
          <w:p w14:paraId="18F5A2E4" w14:textId="77777777" w:rsidR="00CE421D" w:rsidRDefault="00450284">
            <w:r>
              <w:t xml:space="preserve">OK, vérifié le 17/10 en local</w:t>
            </w:r>
          </w:p>
        </w:tc>
      </w:tr>
    </w:tbl>
    <w:p w14:paraId="18E2834B" w14:textId="77777777" w:rsidR="005911B7" w:rsidRDefault="008D5C06" w:rsidP="007B1E7D">
      <w:r>
        <w:t xml:space="preserve">Ce tableau atteste de l’exécution des vingt-trois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 aux parties prenantes internes. Une vidéo de démonstration commentée de ce parcours, courriels remis à l’appui, a été transmise à l’encadrant. Le fractionnement de la décision en deux niveaux, et les erreurs renvoyées quand un manager tente de trancher seul, sont figés par des tests côté back-end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vingt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vingt profils se répartissent sur les trois familles de métiers visées par la plateforme, chacune rattachée à une offre cible : Développeur Backend Java/Spring (offre 115, sept profils), DevOps Engineer (offre 117, six profils) et Business Analyst (offre 122, sept profils). Chaque CV porte une vérité terrain binaire, PERTINENT ou NON_PERTINENT, arrêtée sur des critères objectifs — compétences techniques indispensables et séniorité — et non d’après la sortie du modèle : onze profils sont pertinents, neuf sont volontairement hors cible (compétences d’un autre domaine, séniorité insuffisante, outillage sans rapport avec l’offre). Quatre cas (GOLD_17 à GOLD_20) ont été écrits pour cette re-evaluation, dont deux construits pour se situer au voisinage immédiat du seuil de décision.</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63" w:type="dxa"/>
          </w:tcPr>
          <w:p w14:paraId="5B60ED76" w14:textId="77777777" w:rsidR="005911B7" w:rsidRPr="007B1E7D" w:rsidRDefault="005911B7" w:rsidP="007B1E7D">
            <w:pPr>
              <w:rPr>
                <w:sz w:val="21"/>
              </w:rPr>
              <w:jc w:val="center"/>
            </w:pPr>
            <w:r>
              <w:rPr>
                <w:sz w:val="21"/>
              </w:rPr>
              <w:t xml:space="preserve">11</w:t>
            </w:r>
          </w:p>
        </w:tc>
        <w:tc>
          <w:tcPr>
            <w:tcW w:w="2119" w:type="dxa"/>
          </w:tcPr>
          <w:p w14:paraId="5B60ED76" w14:textId="77777777" w:rsidR="005911B7" w:rsidRPr="007B1E7D" w:rsidRDefault="005911B7" w:rsidP="007B1E7D">
            <w:pPr>
              <w:rPr>
                <w:sz w:val="21"/>
              </w:rPr>
              <w:jc w:val="center"/>
            </w:pPr>
            <w:r>
              <w:rPr>
                <w:sz w:val="21"/>
              </w:rPr>
              <w:t xml:space="preserve">10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63" w:type="dxa"/>
          </w:tcPr>
          <w:p w14:paraId="5B60ED76" w14:textId="77777777" w:rsidR="005911B7" w:rsidRPr="007B1E7D" w:rsidRDefault="005911B7" w:rsidP="007B1E7D">
            <w:pPr>
              <w:rPr>
                <w:sz w:val="21"/>
              </w:rPr>
              <w:jc w:val="center"/>
            </w:pPr>
            <w:r>
              <w:rPr>
                <w:sz w:val="21"/>
              </w:rPr>
              <w:t xml:space="preserve">1</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63" w:type="dxa"/>
          </w:tcPr>
          <w:p w14:paraId="5B60ED76" w14:textId="77777777" w:rsidR="005911B7" w:rsidRPr="007B1E7D" w:rsidRDefault="005911B7" w:rsidP="007B1E7D">
            <w:pPr>
              <w:rPr>
                <w:sz w:val="21"/>
              </w:rPr>
              <w:jc w:val="center"/>
            </w:pPr>
            <w:r>
              <w:rPr>
                <w:sz w:val="21"/>
              </w:rPr>
              <w:t xml:space="preserve">8</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63" w:type="dxa"/>
          </w:tcPr>
          <w:p w14:paraId="5B60ED76" w14:textId="77777777" w:rsidR="005911B7" w:rsidRPr="007B1E7D" w:rsidRDefault="005911B7" w:rsidP="007B1E7D">
            <w:pPr>
              <w:rPr>
                <w:sz w:val="21"/>
              </w:rPr>
              <w:jc w:val="center"/>
            </w:pPr>
            <w:r>
              <w:rPr>
                <w:sz w:val="21"/>
              </w:rPr>
              <w:t xml:space="preserve">91,7 %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63" w:type="dxa"/>
          </w:tcPr>
          <w:p w14:paraId="5B60ED76" w14:textId="77777777" w:rsidR="005911B7" w:rsidRPr="007B1E7D" w:rsidRDefault="005911B7" w:rsidP="007B1E7D">
            <w:pPr>
              <w:rPr>
                <w:sz w:val="21"/>
              </w:rPr>
              <w:jc w:val="center"/>
            </w:pPr>
            <w:r>
              <w:rPr>
                <w:sz w:val="21"/>
              </w:rPr>
              <w:t xml:space="preserve">95,7 %</w:t>
            </w:r>
          </w:p>
        </w:tc>
        <w:tc>
          <w:tcPr>
            <w:tcW w:w="2119" w:type="dxa"/>
          </w:tcPr>
          <w:p w14:paraId="5B60ED76" w14:textId="77777777" w:rsidR="005911B7" w:rsidRPr="007B1E7D" w:rsidRDefault="005911B7" w:rsidP="007B1E7D">
            <w:pPr>
              <w:rPr>
                <w:sz w:val="21"/>
              </w:rPr>
              <w:jc w:val="center"/>
            </w:pPr>
            <w:r>
              <w:rPr>
                <w:sz w:val="21"/>
              </w:rPr>
              <w:t xml:space="preserve">90,9 %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63" w:type="dxa"/>
          </w:tcPr>
          <w:p w14:paraId="5B60ED76" w14:textId="77777777" w:rsidR="005911B7" w:rsidRPr="007B1E7D" w:rsidRDefault="005911B7" w:rsidP="007B1E7D">
            <w:pPr>
              <w:rPr>
                <w:sz w:val="21"/>
              </w:rPr>
              <w:jc w:val="center"/>
            </w:pPr>
            <w:r>
              <w:rPr>
                <w:sz w:val="21"/>
              </w:rPr>
              <w:t xml:space="preserve">95 %</w:t>
            </w:r>
          </w:p>
        </w:tc>
        <w:tc>
          <w:tcPr>
            <w:tcW w:w="2119" w:type="dxa"/>
          </w:tcPr>
          <w:p w14:paraId="5B60ED76" w14:textId="77777777" w:rsidR="005911B7" w:rsidRPr="007B1E7D" w:rsidRDefault="005911B7" w:rsidP="007B1E7D">
            <w:pPr>
              <w:rPr>
                <w:sz w:val="21"/>
              </w:rPr>
              <w:jc w:val="center"/>
            </w:pPr>
            <w:r>
              <w:rPr>
                <w:sz w:val="21"/>
              </w:rPr>
              <w:t xml:space="preserve">90 %</w:t>
            </w:r>
          </w:p>
        </w:tc>
      </w:tr>
    </w:tbl>
    <w:p w14:paraId="18E2834B" w14:textId="77777777" w:rsidR="005911B7" w:rsidRDefault="008D5C06" w:rsidP="007B1E7D">
      <w:r>
        <w:t xml:space="preserve">Avec le seuil retenu de 60/100, le système prend dix-neuf bonnes décisions sur vingt : aucun profil pertinent n’est écarté (rappel de 100 %). Un profil volontairement hors cible est en revanche retenu à 71/100 — GOLD_18, ingénieure DevOps dont l’outillage d’intégration continue recouvre une large part des compétences attendues par l’offre, alors que son dossier déclare aucune expérience des plateformes cloud managées —, d’où une précision de 91,7 %. Abaisser le seuil à 50 ne change rien sur ce jeu, les deux seuils y sont donc indiscernables ; le relever à 70, outre ce même faux positif, fait apparaître un faux négatif — le profil GOLD_14, développeuse Java dont le dossier est pourtant jugé pertinent et scoré 67/100 — et fait chuter le rappel à 90,9 %.</w:t>
      </w:r>
    </w:p>
    <w:p w14:paraId="18E2834B" w14:textId="77777777" w:rsidR="005911B7" w:rsidRDefault="008D5C06" w:rsidP="007B1E7D">
      <w:r>
        <w:t xml:space="preserve">Le seuil de 60 est cohérent avec la distribution des scores obtenus, à une exception près : huit des neuf profils hors cible s’arrêtent à 47/100 ou moins, soit treize points au moins sous le seuil, tandis que le plus faible profil pertinent atteint 67/100, soit sept points au-dessus. Les deux familles sont donc nettement séparées de part et d’autre de la frontière, sauf GOLD_18, dont l’outillage recouvre celui de l’offre visée.</w:t>
      </w:r>
    </w:p>
    <w:p w14:paraId="18E2834B" w14:textId="77777777" w:rsidR="005911B7" w:rsidRDefault="008D5C06" w:rsidP="007B1E7D">
      <w:r>
        <w:t xml:space="preserve">Ce qui précède établit le seuil de 60/100 comme paramètre opérationnel pour cette version de la plateforme, non comme un optimum démontré. Sur les vingt profils du Gold Set, 60 et 50 produisent exactement les mêmes classifications, faux positif compris : leur écart n’est donc pas observable sur ce jeu, et rien n’y établit la supériorité de 60 sur 50. Seule la remontée à 70 s’en distingue, en introduisant un faux négatif. Le faux positif de GOLD_18, lui, se retrouve aux trois seuils : il ne relève pas du réglage de la frontière, mais de la proximité sémantique entre deux métiers voisins, que seul l’arbitrage du recruteur tranche.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vingt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 Ce second chemin est désormais le même que le score provienne du recalcul complet du dossier ou de la transmission d’un score calculé hors platforme : les deux entrées partagent la même règle de décision et la même bande d’incertitude, définie par deux constantes uniques dans le service de scoring. Reste à en mesurer l’effet réel : sur les vingt cas du Gold Set, aucun n’est tombé dans la bande 55-65, le score le plus proche du seuil s’arrêtant à 67/100. La zone grise est donc un filet de sécurité établi par test unitaire en mode simulé, non une étape effectivement rencontrée par le jeu de référence.</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La présence d’une compétence est en outre examinée segment par segment : une mention placée sous une négation — « aucune expérience des plateformes cloud managées » — n’est plus comptée comme acquise, ce qui évite que la liste présentée au recruteur crédite un candidat d’une compétence dont son propre CV déclare l’absence. Ces éléments alimentent les badges affichés dans le détail d’une candidature (figure 4.8)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 un dossier bloqué en zone grise repart ainsi normalement dans le pipeline, tandis qu’une correction ramenant le score sous le seuil le maintient en AUTO_REJECTED sans nouvelle notification au candidat, le refus ayant déjà été envoyé par l’agent IA.</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l’historique d’audit (figure 4.19).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destination est gelée sur le dossier ; depuis, le RH la désigne lui-même dans la modale de transmission.</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validation, la modale pré-sélectionne le manager proposé par l’aiguillage (GET /api/candidates/{id}/routing-preview) et le RH le désigne ; après l’envoi, le destinataire est confirmé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Planification de l’entretien et statut du dossier</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 planifier un entretien téléphonique sur un dossier déjà en phase technique suffisait à le faire régresser. J’ai d’abord supprimé tout effet de la planification sur le statut, ce qui rendait le manager incapable de faire avancer le dossier qu’on lui transmettait. Le contrôle est désormais placé côté serveur : la planification propose l’étape correspondant au type retenu et la machine à états l’applique si elle l’autorise — une avancée refusée laisse le dossier en place, sans annuler l’entretien. Le manager n’a plus de case à cocher : l’agenda fait foi, la transition reste gardée.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son objet d’erreur se propageait tel quel aux nœuds suivants : le rappel vers le back-end partait avec un lien vide, ce que l’API refusait, et l’événement en file épuisait ses cinq tentatives avant de passer en échec définitif — une simple coupure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courriels par n8n, puis reprise du même lien dans la fenêtre de détail du calendrier du manager. Ce rejeu n’a pas abouti du premier coup : le rappel partait sans en-tête d’authentification, car n8n interdit l’expression $env dans un nœud HTTP Request et n’attache la credential d’en-tête que si le nœud déclare explicitement ce mode ; Spring répondait donc 401 pendant que l’exécution affichait « success », et le lien était perdu sans trace. La voie JavaMailSender du back-end a été vérifiée séparément : le courriel de réinitialisation du mot de passe a été remis à 22 h 37, et le rappel d’entretien à J-1 dispatché par le planifieur à 23 h 00, la journalisation « sent successfully » étant corrigée par la réception effective sur la boîte de test. Ce résultat reste conditionné à la connexion Google : un projet maintenu en mode « test » voit son jeton d’actualisation expirer au bout de sept jours, ce qui impose de reconnecter le compte avant toute démonstration. Pour rendre cet appel fiable en cas d’indisponibilité passagère, le back-end s’appuie sur une file interne (outbox) : chaque déclenchement est journalisé puis retenté avec un délai croissant (5 s, puis 10, 20, 40 et 80 s), soit six tentatives au maximum sans bloquer la requête initiale. Cette clé intègre l’adresse du manager destinataire, pour que deux managers d’un même dossier produisent deux envois distincts. Une relance manuelle du RH (bouton « Relancer la notification ») émet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qui confirme le refus après examen — avec motif obligatoire et sans seconde notification au candidat — ou le conteste par le mécanisme de surcharge manuelle, avec justification obligatoire et trace dans le journal d’audit ; les dossiers signalés needsHumanReview, eux,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(filtré sur l’intervieweur connecté)</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vingt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La liste des candidatures côté RH expose désormais cette valeur effective (badge du score retenu, mention « corrigé RH », relance de l’analyse depuis une ligne non scorée) ; son tri, exécuté côté client, reste à reporter côté serveur pour qu’il porte sur l’ensemble des dossiers et non sur la seule page affichée. Côté technique, la suite de tests automatisés — qui compte déjà 249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vingt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