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2878" w14:textId="77777777" w:rsidR="000D02AB" w:rsidRDefault="000D02AB" w:rsidP="00751000">
      <w:pPr>
        <w:rPr>
          <w:rStyle w:val="bzpyqfadein"/>
        </w:rPr>
      </w:pPr>
    </w:p>
    <w:p w14:paraId="0F65FD77" w14:textId="56378D55" w:rsidR="00AB6189" w:rsidRPr="00AB6189" w:rsidRDefault="00AB6189" w:rsidP="00751000">
      <w:pPr>
        <w:rPr>
          <w:rStyle w:val="bzpyqfadein"/>
          <w:b/>
          <w:bCs/>
        </w:rPr>
      </w:pPr>
      <w:r w:rsidRPr="00AB6189">
        <w:rPr>
          <w:rStyle w:val="bzpyqfadein"/>
          <w:b/>
          <w:bCs/>
        </w:rPr>
        <w:t>Downscaling Urban Built-Up Surface from 1 km to 10 m Using EO Embeddings and Binary Settlement Priors</w:t>
      </w:r>
    </w:p>
    <w:p w14:paraId="5CA3B6E4" w14:textId="071337CB" w:rsidR="00AB6189" w:rsidRPr="00C76698" w:rsidRDefault="00AB6189" w:rsidP="00751000">
      <w:pPr>
        <w:rPr>
          <w:rStyle w:val="bzpyqfadein"/>
          <w:b/>
          <w:bCs/>
          <w:sz w:val="22"/>
          <w:szCs w:val="22"/>
        </w:rPr>
      </w:pPr>
      <w:r w:rsidRPr="00C76698">
        <w:rPr>
          <w:sz w:val="22"/>
          <w:szCs w:val="22"/>
        </w:rPr>
        <w:t>Evgeny Noi</w:t>
      </w:r>
      <w:r w:rsidRPr="00C76698">
        <w:rPr>
          <w:sz w:val="22"/>
          <w:szCs w:val="22"/>
          <w:vertAlign w:val="superscript"/>
        </w:rPr>
        <w:t>a</w:t>
      </w:r>
      <w:r w:rsidRPr="00C76698">
        <w:rPr>
          <w:sz w:val="22"/>
          <w:szCs w:val="22"/>
        </w:rPr>
        <w:t xml:space="preserve">*, </w:t>
      </w:r>
      <w:r w:rsidR="00590062" w:rsidRPr="00C76698">
        <w:rPr>
          <w:sz w:val="22"/>
          <w:szCs w:val="22"/>
        </w:rPr>
        <w:t>Laurence</w:t>
      </w:r>
      <w:r w:rsidRPr="00C76698">
        <w:rPr>
          <w:sz w:val="22"/>
          <w:szCs w:val="22"/>
        </w:rPr>
        <w:t xml:space="preserve"> </w:t>
      </w:r>
      <w:r w:rsidR="00590062" w:rsidRPr="00C76698">
        <w:rPr>
          <w:sz w:val="22"/>
          <w:szCs w:val="22"/>
        </w:rPr>
        <w:t>Hawker</w:t>
      </w:r>
      <w:r w:rsidRPr="00C76698">
        <w:rPr>
          <w:sz w:val="22"/>
          <w:szCs w:val="22"/>
          <w:vertAlign w:val="superscript"/>
        </w:rPr>
        <w:t>a</w:t>
      </w:r>
      <w:r w:rsidR="00590062" w:rsidRPr="00C76698">
        <w:rPr>
          <w:sz w:val="22"/>
          <w:szCs w:val="22"/>
        </w:rPr>
        <w:t xml:space="preserve">, </w:t>
      </w:r>
      <w:r w:rsidR="00590062" w:rsidRPr="00C76698">
        <w:rPr>
          <w:sz w:val="22"/>
          <w:szCs w:val="22"/>
        </w:rPr>
        <w:t>Andrew</w:t>
      </w:r>
      <w:r w:rsidR="00590062" w:rsidRPr="00C76698">
        <w:rPr>
          <w:sz w:val="22"/>
          <w:szCs w:val="22"/>
        </w:rPr>
        <w:t xml:space="preserve"> </w:t>
      </w:r>
      <w:r w:rsidR="00590062" w:rsidRPr="00C76698">
        <w:rPr>
          <w:sz w:val="22"/>
          <w:szCs w:val="22"/>
        </w:rPr>
        <w:t>Tatem</w:t>
      </w:r>
      <w:r w:rsidR="00590062" w:rsidRPr="00C76698">
        <w:rPr>
          <w:sz w:val="22"/>
          <w:szCs w:val="22"/>
          <w:vertAlign w:val="superscript"/>
        </w:rPr>
        <w:t>b</w:t>
      </w:r>
    </w:p>
    <w:p w14:paraId="27F516B9" w14:textId="29201E0E" w:rsidR="00AB6189" w:rsidRPr="00C76698" w:rsidRDefault="00AB6189" w:rsidP="00AB6189">
      <w:pPr>
        <w:pStyle w:val="Affiliation"/>
        <w:spacing w:line="240" w:lineRule="auto"/>
        <w:rPr>
          <w:rFonts w:asciiTheme="minorHAnsi" w:hAnsiTheme="minorHAnsi"/>
          <w:sz w:val="22"/>
          <w:szCs w:val="22"/>
        </w:rPr>
      </w:pPr>
      <w:r w:rsidRPr="00C76698">
        <w:rPr>
          <w:rFonts w:asciiTheme="minorHAnsi" w:hAnsiTheme="minorHAnsi"/>
          <w:sz w:val="22"/>
          <w:szCs w:val="22"/>
          <w:vertAlign w:val="superscript"/>
        </w:rPr>
        <w:t>a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>School of Geographical Sciences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 xml:space="preserve">, 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>University of Bristol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 xml:space="preserve">, Bristol, </w:t>
      </w:r>
      <w:proofErr w:type="gramStart"/>
      <w:r w:rsidRPr="00C76698">
        <w:rPr>
          <w:rFonts w:asciiTheme="minorHAnsi" w:hAnsiTheme="minorHAnsi"/>
          <w:color w:val="000000" w:themeColor="text1"/>
          <w:sz w:val="22"/>
          <w:szCs w:val="22"/>
        </w:rPr>
        <w:t>UK</w:t>
      </w:r>
      <w:r w:rsidRPr="00C76698">
        <w:rPr>
          <w:rFonts w:asciiTheme="minorHAnsi" w:hAnsiTheme="minorHAnsi"/>
          <w:sz w:val="22"/>
          <w:szCs w:val="22"/>
        </w:rPr>
        <w:t>;</w:t>
      </w:r>
      <w:proofErr w:type="gramEnd"/>
      <w:r w:rsidRPr="00C76698">
        <w:rPr>
          <w:rFonts w:asciiTheme="minorHAnsi" w:hAnsiTheme="minorHAnsi"/>
          <w:sz w:val="22"/>
          <w:szCs w:val="22"/>
        </w:rPr>
        <w:t xml:space="preserve"> </w:t>
      </w:r>
    </w:p>
    <w:p w14:paraId="00757BC5" w14:textId="489A6609" w:rsidR="00AB6189" w:rsidRPr="00C76698" w:rsidRDefault="00AB6189" w:rsidP="00C76698">
      <w:pPr>
        <w:pStyle w:val="Affiliation"/>
        <w:spacing w:before="0" w:line="240" w:lineRule="auto"/>
        <w:rPr>
          <w:rFonts w:asciiTheme="minorHAnsi" w:hAnsiTheme="minorHAnsi"/>
          <w:color w:val="000000" w:themeColor="text1"/>
          <w:sz w:val="22"/>
          <w:szCs w:val="22"/>
        </w:rPr>
      </w:pPr>
      <w:r w:rsidRPr="00C76698">
        <w:rPr>
          <w:rFonts w:asciiTheme="minorHAnsi" w:hAnsiTheme="minorHAnsi"/>
          <w:color w:val="000000" w:themeColor="text1"/>
          <w:sz w:val="22"/>
          <w:szCs w:val="22"/>
          <w:vertAlign w:val="superscript"/>
        </w:rPr>
        <w:t>b</w:t>
      </w:r>
      <w:r w:rsidRPr="00C76698">
        <w:rPr>
          <w:rFonts w:asciiTheme="minorHAnsi" w:hAnsiTheme="minorHAnsi"/>
          <w:color w:val="000000" w:themeColor="text1"/>
          <w:sz w:val="22"/>
          <w:szCs w:val="22"/>
          <w:vertAlign w:val="superscript"/>
        </w:rPr>
        <w:t xml:space="preserve"> 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>School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 xml:space="preserve"> of Geography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 xml:space="preserve"> and Environmental Science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 xml:space="preserve">, University of 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>Southampton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>,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 xml:space="preserve"> Southampton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 xml:space="preserve">, </w:t>
      </w:r>
      <w:proofErr w:type="gramStart"/>
      <w:r w:rsidRPr="00C76698">
        <w:rPr>
          <w:rFonts w:asciiTheme="minorHAnsi" w:hAnsiTheme="minorHAnsi"/>
          <w:color w:val="000000" w:themeColor="text1"/>
          <w:sz w:val="22"/>
          <w:szCs w:val="22"/>
        </w:rPr>
        <w:t>UK</w:t>
      </w:r>
      <w:r w:rsidRPr="00C76698">
        <w:rPr>
          <w:rFonts w:asciiTheme="minorHAnsi" w:hAnsiTheme="minorHAnsi"/>
          <w:color w:val="000000" w:themeColor="text1"/>
          <w:sz w:val="22"/>
          <w:szCs w:val="22"/>
        </w:rPr>
        <w:t>;</w:t>
      </w:r>
      <w:proofErr w:type="gramEnd"/>
    </w:p>
    <w:p w14:paraId="3811C840" w14:textId="158A4031" w:rsidR="00AB6189" w:rsidRPr="00C76698" w:rsidRDefault="00590062" w:rsidP="00C76698">
      <w:pPr>
        <w:pStyle w:val="Correspondencedetails"/>
        <w:spacing w:before="0" w:after="240" w:line="240" w:lineRule="auto"/>
        <w:rPr>
          <w:rStyle w:val="bzpyqfadein"/>
          <w:sz w:val="22"/>
          <w:szCs w:val="22"/>
        </w:rPr>
      </w:pPr>
      <w:r w:rsidRPr="00C76698">
        <w:rPr>
          <w:sz w:val="22"/>
          <w:szCs w:val="22"/>
        </w:rPr>
        <w:t>*Corresponding author (evgeny.noi@</w:t>
      </w:r>
      <w:r w:rsidR="00C76698" w:rsidRPr="00C76698">
        <w:rPr>
          <w:sz w:val="22"/>
          <w:szCs w:val="22"/>
        </w:rPr>
        <w:t>bristol.ac.uk</w:t>
      </w:r>
      <w:r w:rsidRPr="00C76698">
        <w:rPr>
          <w:sz w:val="22"/>
          <w:szCs w:val="22"/>
        </w:rPr>
        <w:t>)</w:t>
      </w:r>
    </w:p>
    <w:p w14:paraId="3C984165" w14:textId="2DB94827" w:rsidR="00851455" w:rsidRDefault="00751000" w:rsidP="00751000">
      <w:pPr>
        <w:rPr>
          <w:rStyle w:val="bzpyqfadein"/>
        </w:rPr>
      </w:pPr>
      <w:r>
        <w:rPr>
          <w:rStyle w:val="bzpyqfadein"/>
        </w:rPr>
        <w:t xml:space="preserve">Fine-resolution built-up maps are essential for urban analysis, exposure assessment, and spatial planning, yet many widely used built-up products remain available only at coarse resolution. Building on work in remote-sensing downscaling, </w:t>
      </w:r>
      <w:proofErr w:type="spellStart"/>
      <w:r>
        <w:rPr>
          <w:rStyle w:val="bzpyqfadein"/>
        </w:rPr>
        <w:t>dasymetric</w:t>
      </w:r>
      <w:proofErr w:type="spellEnd"/>
      <w:r>
        <w:rPr>
          <w:rStyle w:val="bzpyqfadein"/>
        </w:rPr>
        <w:t xml:space="preserve"> redistribution, and super-resolution mapping, we ask two questions: </w:t>
      </w:r>
      <w:r>
        <w:rPr>
          <w:rStyle w:val="bzpyqfadein"/>
          <w:b/>
          <w:bCs/>
        </w:rPr>
        <w:t>(1) do Earth observation (EO) embeddings contain sufficient sub-kilometer information to reconstruct fine-scale urban built-up structure, and (2) does adding a binary settlement prior improve that reconstruction?</w:t>
      </w:r>
      <w:r>
        <w:rPr>
          <w:rStyle w:val="bzpyqfadein"/>
        </w:rPr>
        <w:t xml:space="preserve"> We address these questions in a prototype experiment for Accra, Ghana, by downscaling 2019 built-up surface from 1 km to 10 m</w:t>
      </w:r>
      <w:r>
        <w:rPr>
          <w:rStyle w:val="bzpyqfadein"/>
        </w:rPr>
        <w:t xml:space="preserve"> (Atkinson, 2013)</w:t>
      </w:r>
      <w:r>
        <w:rPr>
          <w:rStyle w:val="bzpyqfadein"/>
        </w:rPr>
        <w:t>.</w:t>
      </w:r>
    </w:p>
    <w:p w14:paraId="38F34FC8" w14:textId="7FC5811F" w:rsidR="00751000" w:rsidRDefault="00751000" w:rsidP="00751000">
      <w:pPr>
        <w:rPr>
          <w:rStyle w:val="bzpyqfadein"/>
        </w:rPr>
      </w:pPr>
      <w:r>
        <w:rPr>
          <w:rStyle w:val="bzpyqfadein"/>
        </w:rPr>
        <w:t>Our framework combines a coarse mass-preserving constraint with fine-scale EO information. We use annual 10 m Google Satellite Embedding V1 features</w:t>
      </w:r>
      <w:r>
        <w:rPr>
          <w:rStyle w:val="bzpyqfadein"/>
        </w:rPr>
        <w:t xml:space="preserve"> (</w:t>
      </w:r>
      <w:r w:rsidR="000D02AB">
        <w:rPr>
          <w:rStyle w:val="bzpyqfadein"/>
        </w:rPr>
        <w:t>Brown et al.</w:t>
      </w:r>
      <w:r>
        <w:rPr>
          <w:rStyle w:val="bzpyqfadein"/>
        </w:rPr>
        <w:t>, 2025)</w:t>
      </w:r>
      <w:r>
        <w:rPr>
          <w:rStyle w:val="bzpyqfadein"/>
        </w:rPr>
        <w:t>, reduced from 64 to 8 dimensions using PCA, together with the 10 m World Settlement Footprint (WSF) 2019 binary settlement</w:t>
      </w:r>
      <w:r w:rsidR="00843E2E">
        <w:rPr>
          <w:rStyle w:val="bzpyqfadein"/>
        </w:rPr>
        <w:t xml:space="preserve"> (</w:t>
      </w:r>
      <w:proofErr w:type="spellStart"/>
      <w:r w:rsidR="00843E2E">
        <w:t>Marconcini</w:t>
      </w:r>
      <w:proofErr w:type="spellEnd"/>
      <w:r w:rsidR="00843E2E">
        <w:t xml:space="preserve"> et al., 20</w:t>
      </w:r>
      <w:r w:rsidR="000C2824">
        <w:t>21</w:t>
      </w:r>
      <w:r w:rsidR="00843E2E">
        <w:rPr>
          <w:rStyle w:val="bzpyqfadein"/>
        </w:rPr>
        <w:t>)</w:t>
      </w:r>
      <w:r>
        <w:rPr>
          <w:rStyle w:val="bzpyqfadein"/>
        </w:rPr>
        <w:t xml:space="preserve"> mask and GHSL built-up surface</w:t>
      </w:r>
      <w:r>
        <w:rPr>
          <w:rStyle w:val="bzpyqfadein"/>
        </w:rPr>
        <w:t xml:space="preserve"> (</w:t>
      </w:r>
      <w:proofErr w:type="spellStart"/>
      <w:r>
        <w:rPr>
          <w:rStyle w:val="bzpyqfadein"/>
        </w:rPr>
        <w:t>Schiavina</w:t>
      </w:r>
      <w:proofErr w:type="spellEnd"/>
      <w:r>
        <w:rPr>
          <w:rStyle w:val="bzpyqfadein"/>
        </w:rPr>
        <w:t xml:space="preserve"> et al., 2023)</w:t>
      </w:r>
      <w:r>
        <w:rPr>
          <w:rStyle w:val="bzpyqfadein"/>
        </w:rPr>
        <w:t xml:space="preserve"> products as coarse and fine reference layers. The learned models are lightweight fully convolutional networks with positive outputs. Training is driven by a coarse aggregation loss that matches the sum of 10 m predictions to the GHSL total within each 1 km cell, augmented by total-variation regularization and, in the guided model, a penalty on allocations outside WSF support. Final predictions are renormalized within each coarse cell to preserve the adjusted GHSL built-up total exactly.</w:t>
      </w:r>
    </w:p>
    <w:p w14:paraId="65669FDC" w14:textId="6C303E1B" w:rsidR="00751000" w:rsidRDefault="00F82D30" w:rsidP="00751000">
      <w:pPr>
        <w:rPr>
          <w:rStyle w:val="bzpyqfadein"/>
        </w:rPr>
      </w:pPr>
      <w:r>
        <w:rPr>
          <w:rStyle w:val="bzpyqfadein"/>
        </w:rPr>
        <w:t xml:space="preserve">We compare three increasingly informative strategies: a support-only redistribution over settlement pixels, an </w:t>
      </w:r>
      <w:proofErr w:type="gramStart"/>
      <w:r>
        <w:rPr>
          <w:rStyle w:val="bzpyqfadein"/>
        </w:rPr>
        <w:t>embeddings</w:t>
      </w:r>
      <w:proofErr w:type="gramEnd"/>
      <w:r>
        <w:rPr>
          <w:rStyle w:val="bzpyqfadein"/>
        </w:rPr>
        <w:t xml:space="preserve">-only convolutional </w:t>
      </w:r>
      <w:proofErr w:type="spellStart"/>
      <w:r>
        <w:rPr>
          <w:rStyle w:val="bzpyqfadein"/>
        </w:rPr>
        <w:t>downscaler</w:t>
      </w:r>
      <w:proofErr w:type="spellEnd"/>
      <w:r>
        <w:rPr>
          <w:rStyle w:val="bzpyqfadein"/>
        </w:rPr>
        <w:t xml:space="preserve">, and a guided model that combines embeddings with WSF-derived predictors and the outside-WSF penalty. The comparison reveals a clear division of strengths. The support-only approach sharply reproduces settlement morphology but acts largely as a literal redistribution of the binary mask. The embeddings-only model recovers broader intra-urban gradients and coherent large-scale spatial structure, demonstrating that EO embeddings alone contain meaningful fine-scale urban signal. The guided model combines these advantages: before renormalization it achieves a </w:t>
      </w:r>
      <w:proofErr w:type="gramStart"/>
      <w:r>
        <w:rPr>
          <w:rStyle w:val="bzpyqfadein"/>
        </w:rPr>
        <w:t>coarse-cell</w:t>
      </w:r>
      <w:proofErr w:type="gramEnd"/>
      <w:r>
        <w:rPr>
          <w:rStyle w:val="bzpyqfadein"/>
        </w:rPr>
        <w:t xml:space="preserve"> mean absolute error of about </w:t>
      </w:r>
      <w:r>
        <w:rPr>
          <w:rStyle w:val="bzpyqfadein"/>
          <w:b/>
          <w:bCs/>
        </w:rPr>
        <w:t>5.4%</w:t>
      </w:r>
      <w:r>
        <w:rPr>
          <w:rStyle w:val="bzpyqfadein"/>
        </w:rPr>
        <w:t xml:space="preserve"> and RMSE of about </w:t>
      </w:r>
      <w:r>
        <w:rPr>
          <w:rStyle w:val="bzpyqfadein"/>
          <w:b/>
          <w:bCs/>
        </w:rPr>
        <w:t>6.8%</w:t>
      </w:r>
      <w:r>
        <w:rPr>
          <w:rStyle w:val="bzpyqfadein"/>
        </w:rPr>
        <w:t xml:space="preserve"> relative to the mean adjusted 1 km built-up total, and after renormalization </w:t>
      </w:r>
      <w:r>
        <w:rPr>
          <w:rStyle w:val="bzpyqfadein"/>
        </w:rPr>
        <w:lastRenderedPageBreak/>
        <w:t xml:space="preserve">allocates </w:t>
      </w:r>
      <w:r>
        <w:rPr>
          <w:rStyle w:val="bzpyqfadein"/>
          <w:b/>
          <w:bCs/>
        </w:rPr>
        <w:t>93.5%</w:t>
      </w:r>
      <w:r>
        <w:rPr>
          <w:rStyle w:val="bzpyqfadein"/>
        </w:rPr>
        <w:t xml:space="preserve"> of predicted built-up mass within WSF support. Comparison against a 10 m GHSL reference shows that the guided model recovers substantially sharper urban form than the embeddings-only baseline while preserving city-scale intensity patterns better than the support-only benchmark.</w:t>
      </w:r>
    </w:p>
    <w:p w14:paraId="17A4C6F2" w14:textId="2770F2CE" w:rsidR="00AB6189" w:rsidRDefault="00F82D30" w:rsidP="00751000">
      <w:pPr>
        <w:rPr>
          <w:rStyle w:val="bzpyqfadein"/>
        </w:rPr>
      </w:pPr>
      <w:r>
        <w:rPr>
          <w:rStyle w:val="bzpyqfadein"/>
        </w:rPr>
        <w:t>These results show that EO embeddings and binary settlement priors are complementary for fine-scale urban downscaling and provide a practical route toward higher-resolution built-up mapping where continuous fine-scale labels are limited.</w:t>
      </w:r>
    </w:p>
    <w:p w14:paraId="0DDF8CD9" w14:textId="4CD9A582" w:rsidR="00ED4021" w:rsidRDefault="00CB1967" w:rsidP="00751000">
      <w:pPr>
        <w:rPr>
          <w:rStyle w:val="bzpyqfadein"/>
          <w:b/>
          <w:bCs/>
        </w:rPr>
      </w:pPr>
      <w:r>
        <w:rPr>
          <w:b/>
          <w:bCs/>
          <w:noProof/>
        </w:rPr>
        <w:drawing>
          <wp:inline distT="0" distB="0" distL="0" distR="0" wp14:anchorId="54AF3A3A" wp14:editId="17445D3C">
            <wp:extent cx="5943600" cy="2785110"/>
            <wp:effectExtent l="0" t="0" r="0" b="0"/>
            <wp:docPr id="4360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9591" name="Picture 4360795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039A" w14:textId="2B184383" w:rsidR="00CB1967" w:rsidRDefault="00CB1967" w:rsidP="00751000">
      <w:pPr>
        <w:rPr>
          <w:rStyle w:val="bzpyqfadein"/>
          <w:b/>
          <w:bCs/>
        </w:rPr>
      </w:pPr>
      <w:r w:rsidRPr="00C76698">
        <w:rPr>
          <w:rStyle w:val="bzpyqfadein"/>
          <w:b/>
          <w:bCs/>
          <w:sz w:val="21"/>
          <w:szCs w:val="21"/>
        </w:rPr>
        <w:t xml:space="preserve">Figure 1: </w:t>
      </w:r>
      <w:r w:rsidR="00C76698" w:rsidRPr="00C76698">
        <w:rPr>
          <w:rStyle w:val="bzpyqfadein"/>
          <w:b/>
          <w:bCs/>
          <w:sz w:val="21"/>
          <w:szCs w:val="21"/>
        </w:rPr>
        <w:t>Comparison of three urban built-up downscaling baselines against a 10 m GHSL reference in Accra.</w:t>
      </w:r>
      <w:r>
        <w:rPr>
          <w:rStyle w:val="bzpyqfadein"/>
          <w:b/>
          <w:bCs/>
        </w:rPr>
        <w:t xml:space="preserve"> </w:t>
      </w:r>
    </w:p>
    <w:p w14:paraId="10964C73" w14:textId="77777777" w:rsidR="00C76698" w:rsidRDefault="00C76698" w:rsidP="00751000">
      <w:pPr>
        <w:rPr>
          <w:rStyle w:val="bzpyqfadein"/>
          <w:b/>
          <w:bCs/>
        </w:rPr>
      </w:pPr>
    </w:p>
    <w:p w14:paraId="4D2927B7" w14:textId="6BFAC189" w:rsidR="00751000" w:rsidRPr="00ED4021" w:rsidRDefault="00751000" w:rsidP="00751000">
      <w:pPr>
        <w:rPr>
          <w:rStyle w:val="bzpyqfadein"/>
          <w:b/>
          <w:bCs/>
        </w:rPr>
      </w:pPr>
      <w:r w:rsidRPr="00ED4021">
        <w:rPr>
          <w:rStyle w:val="bzpyqfadein"/>
          <w:b/>
          <w:bCs/>
        </w:rPr>
        <w:t>References</w:t>
      </w:r>
    </w:p>
    <w:p w14:paraId="003148E4" w14:textId="70C793C4" w:rsidR="00751000" w:rsidRPr="00C76698" w:rsidRDefault="00751000" w:rsidP="00751000">
      <w:pPr>
        <w:rPr>
          <w:sz w:val="22"/>
          <w:szCs w:val="22"/>
        </w:rPr>
      </w:pPr>
      <w:r w:rsidRPr="00C76698">
        <w:rPr>
          <w:sz w:val="22"/>
          <w:szCs w:val="22"/>
        </w:rPr>
        <w:t xml:space="preserve">Atkinson, P. M. (2013). Downscaling in remote sensing. </w:t>
      </w:r>
      <w:r w:rsidRPr="00C76698">
        <w:rPr>
          <w:i/>
          <w:iCs/>
          <w:sz w:val="22"/>
          <w:szCs w:val="22"/>
        </w:rPr>
        <w:t>International Journal of Applied Earth Observation and Geoinformation</w:t>
      </w:r>
      <w:r w:rsidRPr="00C76698">
        <w:rPr>
          <w:sz w:val="22"/>
          <w:szCs w:val="22"/>
        </w:rPr>
        <w:t xml:space="preserve">, </w:t>
      </w:r>
      <w:r w:rsidRPr="00C76698">
        <w:rPr>
          <w:i/>
          <w:iCs/>
          <w:sz w:val="22"/>
          <w:szCs w:val="22"/>
        </w:rPr>
        <w:t>22</w:t>
      </w:r>
      <w:r w:rsidRPr="00C76698">
        <w:rPr>
          <w:sz w:val="22"/>
          <w:szCs w:val="22"/>
        </w:rPr>
        <w:t>, 106-114.</w:t>
      </w:r>
    </w:p>
    <w:p w14:paraId="424F0ABE" w14:textId="2227524A" w:rsidR="000D02AB" w:rsidRPr="00C76698" w:rsidRDefault="000D02AB" w:rsidP="00751000">
      <w:pPr>
        <w:rPr>
          <w:b/>
          <w:bCs/>
          <w:sz w:val="22"/>
          <w:szCs w:val="22"/>
        </w:rPr>
      </w:pPr>
      <w:r w:rsidRPr="00C76698">
        <w:rPr>
          <w:sz w:val="22"/>
          <w:szCs w:val="22"/>
        </w:rPr>
        <w:t xml:space="preserve">Brown, C. F., Kazmierski, M. R., Pasquarella, V. J., Rucklidge, W. J., </w:t>
      </w:r>
      <w:proofErr w:type="spellStart"/>
      <w:r w:rsidRPr="00C76698">
        <w:rPr>
          <w:sz w:val="22"/>
          <w:szCs w:val="22"/>
        </w:rPr>
        <w:t>Samsikova</w:t>
      </w:r>
      <w:proofErr w:type="spellEnd"/>
      <w:r w:rsidRPr="00C76698">
        <w:rPr>
          <w:sz w:val="22"/>
          <w:szCs w:val="22"/>
        </w:rPr>
        <w:t xml:space="preserve">, M., Zhang, C., ... &amp; Kohli, P. (2025). </w:t>
      </w:r>
      <w:proofErr w:type="spellStart"/>
      <w:r w:rsidRPr="00C76698">
        <w:rPr>
          <w:sz w:val="22"/>
          <w:szCs w:val="22"/>
        </w:rPr>
        <w:t>Alphaearth</w:t>
      </w:r>
      <w:proofErr w:type="spellEnd"/>
      <w:r w:rsidRPr="00C76698">
        <w:rPr>
          <w:sz w:val="22"/>
          <w:szCs w:val="22"/>
        </w:rPr>
        <w:t xml:space="preserve"> foundations: An embedding field model for accurate and efficient global mapping from sparse label data. </w:t>
      </w:r>
      <w:proofErr w:type="spellStart"/>
      <w:r w:rsidRPr="00C76698">
        <w:rPr>
          <w:i/>
          <w:iCs/>
          <w:sz w:val="22"/>
          <w:szCs w:val="22"/>
        </w:rPr>
        <w:t>arXiv</w:t>
      </w:r>
      <w:proofErr w:type="spellEnd"/>
      <w:r w:rsidRPr="00C76698">
        <w:rPr>
          <w:i/>
          <w:iCs/>
          <w:sz w:val="22"/>
          <w:szCs w:val="22"/>
        </w:rPr>
        <w:t xml:space="preserve"> preprint arXiv:2507.22291</w:t>
      </w:r>
      <w:r w:rsidRPr="00C76698">
        <w:rPr>
          <w:sz w:val="22"/>
          <w:szCs w:val="22"/>
        </w:rPr>
        <w:t>.</w:t>
      </w:r>
    </w:p>
    <w:p w14:paraId="035F39C7" w14:textId="1D5E361F" w:rsidR="00843E2E" w:rsidRPr="00C76698" w:rsidRDefault="00843E2E" w:rsidP="00751000">
      <w:pPr>
        <w:rPr>
          <w:sz w:val="22"/>
          <w:szCs w:val="22"/>
        </w:rPr>
      </w:pPr>
      <w:proofErr w:type="spellStart"/>
      <w:r w:rsidRPr="00C76698">
        <w:rPr>
          <w:sz w:val="22"/>
          <w:szCs w:val="22"/>
        </w:rPr>
        <w:t>Marconcini</w:t>
      </w:r>
      <w:proofErr w:type="spellEnd"/>
      <w:r w:rsidRPr="00C76698">
        <w:rPr>
          <w:sz w:val="22"/>
          <w:szCs w:val="22"/>
        </w:rPr>
        <w:t>, M., Metz-</w:t>
      </w:r>
      <w:proofErr w:type="spellStart"/>
      <w:r w:rsidRPr="00C76698">
        <w:rPr>
          <w:sz w:val="22"/>
          <w:szCs w:val="22"/>
        </w:rPr>
        <w:t>Marconcini</w:t>
      </w:r>
      <w:proofErr w:type="spellEnd"/>
      <w:r w:rsidRPr="00C76698">
        <w:rPr>
          <w:sz w:val="22"/>
          <w:szCs w:val="22"/>
        </w:rPr>
        <w:t xml:space="preserve">, A., </w:t>
      </w:r>
      <w:proofErr w:type="spellStart"/>
      <w:r w:rsidRPr="00C76698">
        <w:rPr>
          <w:sz w:val="22"/>
          <w:szCs w:val="22"/>
        </w:rPr>
        <w:t>Üreyen</w:t>
      </w:r>
      <w:proofErr w:type="spellEnd"/>
      <w:r w:rsidRPr="00C76698">
        <w:rPr>
          <w:sz w:val="22"/>
          <w:szCs w:val="22"/>
        </w:rPr>
        <w:t xml:space="preserve">, S., Palacios-Lopez, D., Benz, S., Bachofer, F., &amp; Esch, T. (2021). </w:t>
      </w:r>
      <w:r w:rsidRPr="00C76698">
        <w:rPr>
          <w:i/>
          <w:iCs/>
          <w:sz w:val="22"/>
          <w:szCs w:val="22"/>
        </w:rPr>
        <w:t>World Settlement Footprint (WSF) 2019</w:t>
      </w:r>
      <w:r w:rsidRPr="00C76698">
        <w:rPr>
          <w:sz w:val="22"/>
          <w:szCs w:val="22"/>
        </w:rPr>
        <w:t xml:space="preserve"> [Data set]. German Aerospace Center (DLR). </w:t>
      </w:r>
      <w:hyperlink r:id="rId5" w:tgtFrame="_blank" w:history="1">
        <w:r w:rsidRPr="00C76698">
          <w:rPr>
            <w:rStyle w:val="Hyperlink"/>
            <w:sz w:val="22"/>
            <w:szCs w:val="22"/>
          </w:rPr>
          <w:t>https://geoservice.dlr.de/web/datasets/wsf_2019</w:t>
        </w:r>
      </w:hyperlink>
    </w:p>
    <w:p w14:paraId="01D46A18" w14:textId="58C05BC2" w:rsidR="00751000" w:rsidRPr="00C76698" w:rsidRDefault="00751000" w:rsidP="00751000">
      <w:pPr>
        <w:rPr>
          <w:sz w:val="22"/>
          <w:szCs w:val="22"/>
          <w:lang w:val="en-GB"/>
        </w:rPr>
      </w:pPr>
      <w:r w:rsidRPr="00C76698">
        <w:rPr>
          <w:sz w:val="22"/>
          <w:szCs w:val="22"/>
        </w:rPr>
        <w:t xml:space="preserve">Schiavina, M., Melchiorri, M., Pesaresi, M., Politis, P., Freire, S., </w:t>
      </w:r>
      <w:proofErr w:type="spellStart"/>
      <w:r w:rsidRPr="00C76698">
        <w:rPr>
          <w:sz w:val="22"/>
          <w:szCs w:val="22"/>
        </w:rPr>
        <w:t>Maffenini</w:t>
      </w:r>
      <w:proofErr w:type="spellEnd"/>
      <w:r w:rsidRPr="00C76698">
        <w:rPr>
          <w:sz w:val="22"/>
          <w:szCs w:val="22"/>
        </w:rPr>
        <w:t xml:space="preserve">, L., Florio, P., Ehrlich, D., </w:t>
      </w:r>
      <w:proofErr w:type="spellStart"/>
      <w:r w:rsidRPr="00C76698">
        <w:rPr>
          <w:sz w:val="22"/>
          <w:szCs w:val="22"/>
        </w:rPr>
        <w:t>Goch</w:t>
      </w:r>
      <w:proofErr w:type="spellEnd"/>
      <w:r w:rsidRPr="00C76698">
        <w:rPr>
          <w:sz w:val="22"/>
          <w:szCs w:val="22"/>
        </w:rPr>
        <w:t xml:space="preserve">, K., Tommasi, P., &amp; Kemper, T. (2023). </w:t>
      </w:r>
      <w:r w:rsidRPr="00C76698">
        <w:rPr>
          <w:i/>
          <w:iCs/>
          <w:sz w:val="22"/>
          <w:szCs w:val="22"/>
        </w:rPr>
        <w:t>GHSL Data Package 2023</w:t>
      </w:r>
      <w:r w:rsidRPr="00C76698">
        <w:rPr>
          <w:sz w:val="22"/>
          <w:szCs w:val="22"/>
        </w:rPr>
        <w:t xml:space="preserve"> (JRC133256). Publications Office of the European Union. </w:t>
      </w:r>
      <w:hyperlink r:id="rId6" w:tgtFrame="_blank" w:history="1">
        <w:r w:rsidRPr="00C76698">
          <w:rPr>
            <w:rStyle w:val="Hyperlink"/>
            <w:sz w:val="22"/>
            <w:szCs w:val="22"/>
          </w:rPr>
          <w:t>https://publications.jrc.ec.europa.eu/repository/handle/JRC133256</w:t>
        </w:r>
      </w:hyperlink>
    </w:p>
    <w:sectPr w:rsidR="00751000" w:rsidRPr="00C76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C4"/>
    <w:rsid w:val="0007313C"/>
    <w:rsid w:val="000C2824"/>
    <w:rsid w:val="000D02AB"/>
    <w:rsid w:val="001612BE"/>
    <w:rsid w:val="00284858"/>
    <w:rsid w:val="004D5DEB"/>
    <w:rsid w:val="00536293"/>
    <w:rsid w:val="00590062"/>
    <w:rsid w:val="006B08C4"/>
    <w:rsid w:val="00751000"/>
    <w:rsid w:val="00843E2E"/>
    <w:rsid w:val="00851455"/>
    <w:rsid w:val="00AB6189"/>
    <w:rsid w:val="00C76698"/>
    <w:rsid w:val="00CB1967"/>
    <w:rsid w:val="00ED4021"/>
    <w:rsid w:val="00EF6A52"/>
    <w:rsid w:val="00F8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76FF0"/>
  <w15:chartTrackingRefBased/>
  <w15:docId w15:val="{378D3DD8-E71F-D043-AFA5-64547CA0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zpyqfadein">
    <w:name w:val="bz_pyq_fadein"/>
    <w:basedOn w:val="DefaultParagraphFont"/>
    <w:rsid w:val="006B08C4"/>
  </w:style>
  <w:style w:type="character" w:styleId="Hyperlink">
    <w:name w:val="Hyperlink"/>
    <w:basedOn w:val="DefaultParagraphFont"/>
    <w:uiPriority w:val="99"/>
    <w:semiHidden/>
    <w:unhideWhenUsed/>
    <w:rsid w:val="00751000"/>
    <w:rPr>
      <w:color w:val="0000FF"/>
      <w:u w:val="single"/>
    </w:rPr>
  </w:style>
  <w:style w:type="paragraph" w:customStyle="1" w:styleId="Affiliation">
    <w:name w:val="Affiliation"/>
    <w:basedOn w:val="Normal"/>
    <w:uiPriority w:val="1"/>
    <w:qFormat/>
    <w:rsid w:val="00AB6189"/>
    <w:pPr>
      <w:spacing w:before="240" w:after="0" w:line="480" w:lineRule="auto"/>
    </w:pPr>
    <w:rPr>
      <w:rFonts w:ascii="Times New Roman" w:eastAsia="Times New Roman" w:hAnsi="Times New Roman" w:cs="Times New Roman"/>
      <w:i/>
      <w:iCs/>
      <w:kern w:val="0"/>
      <w:lang w:eastAsia="en-GB"/>
      <w14:ligatures w14:val="none"/>
    </w:rPr>
  </w:style>
  <w:style w:type="paragraph" w:customStyle="1" w:styleId="Correspondencedetails">
    <w:name w:val="Correspondence details"/>
    <w:basedOn w:val="Normal"/>
    <w:uiPriority w:val="1"/>
    <w:qFormat/>
    <w:rsid w:val="00590062"/>
    <w:pPr>
      <w:spacing w:before="240" w:after="0" w:line="48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ations.jrc.ec.europa.eu/repository/handle/JRC133256" TargetMode="External"/><Relationship Id="rId5" Type="http://schemas.openxmlformats.org/officeDocument/2006/relationships/hyperlink" Target="https://geoservice.dlr.de/web/datasets/wsf_2019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Noi</dc:creator>
  <cp:keywords/>
  <dc:description/>
  <cp:lastModifiedBy>Evgeny Noi</cp:lastModifiedBy>
  <cp:revision>3</cp:revision>
  <cp:lastPrinted>2026-03-31T20:06:00Z</cp:lastPrinted>
  <dcterms:created xsi:type="dcterms:W3CDTF">2026-03-31T20:06:00Z</dcterms:created>
  <dcterms:modified xsi:type="dcterms:W3CDTF">2026-03-31T20:08:00Z</dcterms:modified>
</cp:coreProperties>
</file>