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8C141" w14:textId="77777777" w:rsidR="002B4C34" w:rsidRDefault="00000000">
      <w:pPr>
        <w:spacing w:before="600" w:after="80"/>
        <w:jc w:val="center"/>
      </w:pPr>
      <w:r>
        <w:rPr>
          <w:b/>
          <w:bCs/>
          <w:color w:val="C8001A"/>
          <w:sz w:val="80"/>
          <w:szCs w:val="80"/>
        </w:rPr>
        <w:t>APEX KART</w:t>
      </w:r>
    </w:p>
    <w:p w14:paraId="292AC743" w14:textId="77777777" w:rsidR="002B4C34" w:rsidRDefault="00000000">
      <w:pPr>
        <w:spacing w:after="60"/>
        <w:jc w:val="center"/>
      </w:pPr>
      <w:r>
        <w:rPr>
          <w:color w:val="1A1A1A"/>
          <w:sz w:val="28"/>
          <w:szCs w:val="28"/>
        </w:rPr>
        <w:t>Circuit de karting professionnel</w:t>
      </w:r>
    </w:p>
    <w:p w14:paraId="692B1759" w14:textId="77777777" w:rsidR="002B4C34" w:rsidRDefault="00000000">
      <w:pPr>
        <w:spacing w:after="400"/>
        <w:jc w:val="center"/>
      </w:pPr>
      <w:r>
        <w:rPr>
          <w:color w:val="999999"/>
        </w:rPr>
        <w:t>apexkart.tn</w:t>
      </w:r>
    </w:p>
    <w:p w14:paraId="352BB282" w14:textId="77777777" w:rsidR="002B4C34" w:rsidRDefault="00000000">
      <w:pPr>
        <w:pBdr>
          <w:top w:val="single" w:sz="6" w:space="0" w:color="C8001A"/>
          <w:bottom w:val="single" w:sz="6" w:space="0" w:color="C8001A"/>
        </w:pBdr>
        <w:shd w:val="clear" w:color="auto" w:fill="FFF5F5"/>
        <w:spacing w:before="80" w:after="80"/>
        <w:jc w:val="center"/>
      </w:pPr>
      <w:r>
        <w:rPr>
          <w:b/>
          <w:bCs/>
          <w:color w:val="C8001A"/>
          <w:spacing w:val="80"/>
          <w:sz w:val="36"/>
          <w:szCs w:val="36"/>
        </w:rPr>
        <w:t>SYNOPSIS DE SITE WEB</w:t>
      </w:r>
    </w:p>
    <w:p w14:paraId="12FF7706" w14:textId="77777777" w:rsidR="002B4C34" w:rsidRDefault="002B4C34">
      <w:pPr>
        <w:pBdr>
          <w:bottom w:val="single" w:sz="2" w:space="1" w:color="DDDDDD"/>
        </w:pBdr>
        <w:spacing w:before="160" w:after="160"/>
      </w:pPr>
    </w:p>
    <w:p w14:paraId="6D85CDE9" w14:textId="77777777" w:rsidR="002B4C34" w:rsidRDefault="00000000">
      <w:pPr>
        <w:pStyle w:val="Titre1"/>
      </w:pPr>
      <w:r>
        <w:t>1. Présentation du projet</w:t>
      </w:r>
    </w:p>
    <w:p w14:paraId="41394E58" w14:textId="77777777" w:rsidR="002B4C34" w:rsidRDefault="00000000">
      <w:pPr>
        <w:spacing w:before="200" w:after="60"/>
      </w:pPr>
      <w:r>
        <w:rPr>
          <w:b/>
          <w:bCs/>
          <w:color w:val="C8001A"/>
          <w:spacing w:val="60"/>
          <w:sz w:val="18"/>
          <w:szCs w:val="18"/>
        </w:rPr>
        <w:t>CONTEXTE</w:t>
      </w:r>
    </w:p>
    <w:p w14:paraId="4E7F529F" w14:textId="77777777" w:rsidR="002B4C34" w:rsidRDefault="00000000">
      <w:pPr>
        <w:spacing w:before="80" w:after="120"/>
        <w:jc w:val="both"/>
      </w:pPr>
      <w:r>
        <w:t>Apex Kart est un circuit de karting professionnel fondé en 2015 par d'anciens pilotes de course. Implanté en Tunisie (apexkart.tn), le circuit propose 1 200 mètres d'asphalte équipés de 17 virages techniques, une flotte de 25 karts classés en quatre niveaux de performance, et une infrastructure conçue pour accueillir aussi bien le grand public que des pilotes expérimentés ou des groupes corporate.</w:t>
      </w:r>
    </w:p>
    <w:p w14:paraId="059170A3" w14:textId="77777777" w:rsidR="002B4C34" w:rsidRDefault="00000000">
      <w:pPr>
        <w:spacing w:before="80" w:after="120"/>
        <w:jc w:val="both"/>
      </w:pPr>
      <w:r>
        <w:t>Après plusieurs années d'exploitation, la direction souhaite doter Apex Kart d'un site web vitrine multipage qui serve à la fois de vitrine institutionnelle, d'outil de conversion commerciale et de plateforme d'engagement communautaire autour de la compétition.</w:t>
      </w:r>
    </w:p>
    <w:p w14:paraId="379ACCA5" w14:textId="77777777" w:rsidR="002B4C34" w:rsidRDefault="00000000">
      <w:pPr>
        <w:spacing w:before="200" w:after="60"/>
      </w:pPr>
      <w:r>
        <w:rPr>
          <w:b/>
          <w:bCs/>
          <w:color w:val="C8001A"/>
          <w:spacing w:val="60"/>
          <w:sz w:val="18"/>
          <w:szCs w:val="18"/>
        </w:rPr>
        <w:t>AMBITION</w:t>
      </w:r>
    </w:p>
    <w:p w14:paraId="48A9AEF5" w14:textId="5C2E625E" w:rsidR="002B4C34" w:rsidRDefault="00000000">
      <w:pPr>
        <w:spacing w:before="80" w:after="120"/>
        <w:jc w:val="both"/>
      </w:pPr>
      <w:r>
        <w:t xml:space="preserve">Le site doit incarner l'identité visuelle du circuit — noire, </w:t>
      </w:r>
      <w:r w:rsidR="00A436E6">
        <w:t>vert</w:t>
      </w:r>
      <w:r>
        <w:t>, tendue, adrénalinée — et traduire numériquement la promesse de la marque : faire vivre à chaque visiteur, même depuis un écran, la sensation de vitesse qui caractérise Apex Kart. Il doit également transformer l'intérêt suscité en réservation concrète, avec le minimum de friction possible.</w:t>
      </w:r>
    </w:p>
    <w:p w14:paraId="30A9BEC0" w14:textId="77777777" w:rsidR="002B4C34" w:rsidRDefault="002B4C34">
      <w:pPr>
        <w:pBdr>
          <w:bottom w:val="single" w:sz="2" w:space="1" w:color="DDDDDD"/>
        </w:pBdr>
        <w:spacing w:before="160" w:after="160"/>
      </w:pPr>
    </w:p>
    <w:p w14:paraId="7B07AC1B" w14:textId="77777777" w:rsidR="002B4C34" w:rsidRDefault="00000000">
      <w:pPr>
        <w:pStyle w:val="Titre1"/>
      </w:pPr>
      <w:r>
        <w:t>2. Publics cibles</w:t>
      </w:r>
    </w:p>
    <w:p w14:paraId="70627846" w14:textId="77777777" w:rsidR="002B4C34" w:rsidRDefault="00000000">
      <w:pPr>
        <w:spacing w:before="80" w:after="120"/>
        <w:jc w:val="both"/>
      </w:pPr>
      <w:r>
        <w:t>Le dispositif s'adresse à trois profils d'utilisateurs distincts, dont les attentes et les parcours diffèrent :</w:t>
      </w:r>
    </w:p>
    <w:p w14:paraId="0CAD0800" w14:textId="77777777" w:rsidR="002B4C34" w:rsidRDefault="00000000">
      <w:pPr>
        <w:pStyle w:val="Paragraphedeliste"/>
        <w:numPr>
          <w:ilvl w:val="0"/>
          <w:numId w:val="2"/>
        </w:numPr>
        <w:spacing w:before="60" w:after="60"/>
      </w:pPr>
      <w:r>
        <w:t>Le grand public loisir — familles, jeunes adultes, amateurs de sensations — qui cherche une sortie originale et veut rapidement comprendre les tarifs, les horaires et comment réserver.</w:t>
      </w:r>
    </w:p>
    <w:p w14:paraId="65189122" w14:textId="77777777" w:rsidR="002B4C34" w:rsidRDefault="00000000">
      <w:pPr>
        <w:pStyle w:val="Paragraphedeliste"/>
        <w:numPr>
          <w:ilvl w:val="0"/>
          <w:numId w:val="2"/>
        </w:numPr>
        <w:spacing w:before="60" w:after="60"/>
      </w:pPr>
      <w:r>
        <w:t>Les organisateurs d'événements — responsables RH, agences événementielles, particuliers préparant un anniversaire — qui ont besoin d'informations sur les formules groupe, les services sur-mesure et les modalités de contact.</w:t>
      </w:r>
    </w:p>
    <w:p w14:paraId="7A84BAD6" w14:textId="77777777" w:rsidR="002B4C34" w:rsidRDefault="00000000">
      <w:pPr>
        <w:pStyle w:val="Paragraphedeliste"/>
        <w:numPr>
          <w:ilvl w:val="0"/>
          <w:numId w:val="2"/>
        </w:numPr>
        <w:spacing w:before="60" w:after="60"/>
      </w:pPr>
      <w:r>
        <w:t>Les pilotes passionnés et habitués — compétiteurs réguliers, membres du championnat interne — qui recherchent les classements mis à jour, les caractéristiques techniques du circuit et une identité de marque à laquelle s'identifier.</w:t>
      </w:r>
    </w:p>
    <w:p w14:paraId="51009CC0" w14:textId="77777777" w:rsidR="002B4C34" w:rsidRDefault="002B4C34">
      <w:pPr>
        <w:pBdr>
          <w:bottom w:val="single" w:sz="2" w:space="1" w:color="DDDDDD"/>
        </w:pBdr>
        <w:spacing w:before="160" w:after="160"/>
      </w:pPr>
    </w:p>
    <w:p w14:paraId="1F8A5914" w14:textId="77777777" w:rsidR="002B4C34" w:rsidRDefault="00000000">
      <w:pPr>
        <w:pStyle w:val="Titre1"/>
      </w:pPr>
      <w:r>
        <w:lastRenderedPageBreak/>
        <w:t>3. Architecture et scénarios de navigation</w:t>
      </w:r>
    </w:p>
    <w:p w14:paraId="19881A40" w14:textId="77777777" w:rsidR="002B4C34" w:rsidRDefault="00000000">
      <w:pPr>
        <w:spacing w:before="80" w:after="120"/>
        <w:jc w:val="both"/>
      </w:pPr>
      <w:r>
        <w:t>Le site se compose de huit pages, organisées selon une logique de progression : découverte, conviction, conversion, engagement.</w:t>
      </w:r>
    </w:p>
    <w:p w14:paraId="1563D5C1" w14:textId="77777777" w:rsidR="002B4C34" w:rsidRDefault="00000000">
      <w:pPr>
        <w:pStyle w:val="Titre2"/>
        <w:pBdr>
          <w:bottom w:val="single" w:sz="4" w:space="4" w:color="C8001A"/>
        </w:pBdr>
      </w:pPr>
      <w:r>
        <w:t>Accueil — La promesse en un coup d'œil</w:t>
      </w:r>
    </w:p>
    <w:p w14:paraId="320C120C" w14:textId="77777777" w:rsidR="002B4C34" w:rsidRDefault="00000000">
      <w:pPr>
        <w:spacing w:before="80" w:after="120"/>
        <w:jc w:val="both"/>
      </w:pPr>
      <w:r>
        <w:t>La page d'accueil est le point d'entrée universel. Elle s'ouvre sur un héros plein écran — image ou vidéo d'un kart en pleine course — qui pose immédiatement l'ambiance. En quelques secondes, le visiteur comprend où il se trouve et ce qui l'attend. Une sélection de trois formules-phare (Enfants / Adultes / Groupe) avec leurs prix est présentée directement, sans détour. Un appel à l'action principal, « Réserver maintenant », est visible dès le premier écran. La page se conclut par une bande de réassurance soulignant les chiffres-clés du circuit.</w:t>
      </w:r>
    </w:p>
    <w:p w14:paraId="141D3466" w14:textId="77777777" w:rsidR="002B4C34" w:rsidRDefault="00000000">
      <w:pPr>
        <w:pStyle w:val="Titre2"/>
        <w:pBdr>
          <w:bottom w:val="single" w:sz="4" w:space="4" w:color="C8001A"/>
        </w:pBdr>
      </w:pPr>
      <w:r>
        <w:t>À Propos — La légitimité du circuit</w:t>
      </w:r>
    </w:p>
    <w:p w14:paraId="3F6FDEF5" w14:textId="77777777" w:rsidR="002B4C34" w:rsidRDefault="00000000">
      <w:pPr>
        <w:spacing w:before="80" w:after="120"/>
        <w:jc w:val="both"/>
      </w:pPr>
      <w:r>
        <w:t>Cette page raconte l'histoire humaine d'Apex Kart : ses fondateurs, leurs valeurs (passion, communauté, excellence), et les chiffres qui attestent du sérieux de l'installation. Elle ne s'adresse pas seulement aux curieux — elle construit la confiance auprès des décideurs qui s'apprêtent à réserver un événement d'entreprise ou un anniversaire. Le récit est complété par des indicateurs objectifs : 1 200 mètres de piste, 25 karts, 50 000 courses complétées, bilan sécurité 100%.</w:t>
      </w:r>
    </w:p>
    <w:p w14:paraId="41C935CB" w14:textId="77777777" w:rsidR="002B4C34" w:rsidRDefault="00000000">
      <w:pPr>
        <w:pStyle w:val="Titre2"/>
        <w:pBdr>
          <w:bottom w:val="single" w:sz="4" w:space="4" w:color="C8001A"/>
        </w:pBdr>
      </w:pPr>
      <w:r>
        <w:t>La Piste — L'expertise technique</w:t>
      </w:r>
    </w:p>
    <w:p w14:paraId="5F218FF3" w14:textId="77777777" w:rsidR="002B4C34" w:rsidRDefault="00000000">
      <w:pPr>
        <w:spacing w:before="80" w:after="120"/>
        <w:jc w:val="both"/>
      </w:pPr>
      <w:r>
        <w:t>Page dédiée aux passionnés et aux compétiteurs. Elle présente le plan du circuit, décrit les 17 virages (type, difficulté, conseil de trajectoire), expose la flotte de karts par catégorie (Mini 100cc, Standard 200cc, Performance 270cc, Compétition 270cc+) et rappelle les règles de sécurité en vigueur. Une vidéo de tour de référence filmée en caméra embarquée et une piste audio d'ambiance immergent le visiteur dans l'atmosphère du circuit avant même qu'il ne s'installe dans un kart.</w:t>
      </w:r>
    </w:p>
    <w:p w14:paraId="259C4A00" w14:textId="77777777" w:rsidR="002B4C34" w:rsidRDefault="00000000">
      <w:pPr>
        <w:pStyle w:val="Titre2"/>
        <w:pBdr>
          <w:bottom w:val="single" w:sz="4" w:space="4" w:color="C8001A"/>
        </w:pBdr>
      </w:pPr>
      <w:r>
        <w:t>Services — La grille tarifaire</w:t>
      </w:r>
    </w:p>
    <w:p w14:paraId="77CFAAFA" w14:textId="77777777" w:rsidR="002B4C34" w:rsidRDefault="00000000">
      <w:pPr>
        <w:spacing w:before="80" w:after="120"/>
        <w:jc w:val="both"/>
      </w:pPr>
      <w:r>
        <w:t>Page de conversion par excellence. Trois formules principales sont présentées en cartes visuelles comparatives : Session Enfants (25 €, 10 min), Session Adultes (40 €, 15 min) et Forfait Groupe (350 €, 2 h). Un tableau complémentaire détaille les options additionnelles : multi-passes, anniversaires, événements d'entreprise, location privée de piste, enregistrement vidéo embarqué. La formule adulte est mise en avant comme « la plus populaire ». Chaque carte conduit vers le formulaire de réservation.</w:t>
      </w:r>
    </w:p>
    <w:p w14:paraId="74DF35DF" w14:textId="77777777" w:rsidR="002B4C34" w:rsidRDefault="00000000">
      <w:pPr>
        <w:pStyle w:val="Titre2"/>
        <w:pBdr>
          <w:bottom w:val="single" w:sz="4" w:space="4" w:color="C8001A"/>
        </w:pBdr>
      </w:pPr>
      <w:r>
        <w:t>Classements — La dimension compétitive</w:t>
      </w:r>
    </w:p>
    <w:p w14:paraId="3222B25C" w14:textId="77777777" w:rsidR="002B4C34" w:rsidRDefault="00000000">
      <w:pPr>
        <w:spacing w:before="80" w:after="120"/>
        <w:jc w:val="both"/>
      </w:pPr>
      <w:r>
        <w:t>Cette page transforme Apex Kart en une véritable communauté de pilotes. Elle affiche le classement saisonnier des 18 pilotes enregistrés, un podium visuel des trois premiers, et le record absolu du circuit (01:02.347, établi par MARTIN Lucas). Les pilotes sont catégorisés (Débutant, Junior, Senior, Expert) selon leur niveau et leur nombre de sessions. Cette dimension compétitive crée un motif de retour récurrent pour les habitués et incite les nouveaux à s'inscrire en Race Day pour figurer au classement officiel.</w:t>
      </w:r>
    </w:p>
    <w:p w14:paraId="491E11D6" w14:textId="77777777" w:rsidR="00A55AA3" w:rsidRDefault="00A55AA3">
      <w:pPr>
        <w:spacing w:before="80" w:after="120"/>
        <w:jc w:val="both"/>
      </w:pPr>
    </w:p>
    <w:p w14:paraId="6D9ED365" w14:textId="77777777" w:rsidR="00A55AA3" w:rsidRDefault="00A55AA3">
      <w:pPr>
        <w:spacing w:before="80" w:after="120"/>
        <w:jc w:val="both"/>
      </w:pPr>
    </w:p>
    <w:p w14:paraId="7821411F" w14:textId="77777777" w:rsidR="002B4C34" w:rsidRDefault="00000000">
      <w:pPr>
        <w:pStyle w:val="Titre2"/>
        <w:pBdr>
          <w:bottom w:val="single" w:sz="4" w:space="4" w:color="C8001A"/>
        </w:pBdr>
      </w:pPr>
      <w:r>
        <w:lastRenderedPageBreak/>
        <w:t>Galerie — La preuve sociale par l'image</w:t>
      </w:r>
    </w:p>
    <w:p w14:paraId="2ECC29F7" w14:textId="77777777" w:rsidR="002B4C34" w:rsidRDefault="00000000">
      <w:pPr>
        <w:spacing w:before="80" w:after="120"/>
        <w:jc w:val="both"/>
      </w:pPr>
      <w:r>
        <w:t>La galerie est conçue pour donner envie. Elle propose un système de filtres par catégorie (Le Circuit, En Course, Les Karts, Événements, Podium) permettant à chaque visiteur de retrouver le type de contenu qui le concerne. Les photos sont consultables en mode lightbox. Des vidéos (tour de piste, événement corporate) et une piste audio d'ambiance complètent l'expérience sensorielle. Cette page est particulièrement stratégique pour les organisateurs d'événements qui évaluent le potentiel visuel du lieu.</w:t>
      </w:r>
    </w:p>
    <w:p w14:paraId="6972AB31" w14:textId="77777777" w:rsidR="002B4C34" w:rsidRDefault="00000000">
      <w:pPr>
        <w:pStyle w:val="Titre2"/>
        <w:pBdr>
          <w:bottom w:val="single" w:sz="4" w:space="4" w:color="C8001A"/>
        </w:pBdr>
      </w:pPr>
      <w:r>
        <w:t>Contact — L'accès et la relation</w:t>
      </w:r>
    </w:p>
    <w:p w14:paraId="6F1E550F" w14:textId="77777777" w:rsidR="002B4C34" w:rsidRDefault="00000000">
      <w:pPr>
        <w:spacing w:before="80" w:after="120"/>
        <w:jc w:val="both"/>
      </w:pPr>
      <w:r>
        <w:t>La page contact combine un formulaire de messagerie complet (avec choix de sujet : réservation, groupe, compétition, partenariat...) et les informations pratiques d'accès au circuit (adresse, horaires, accès voiture et transports en commun). Une section FAQ anticipe les questions les plus fréquentes. L'ensemble est conçu pour réduire la friction et maximiser le taux de prise de contact.</w:t>
      </w:r>
    </w:p>
    <w:p w14:paraId="79B20D9E" w14:textId="77777777" w:rsidR="002B4C34" w:rsidRDefault="00000000">
      <w:pPr>
        <w:pStyle w:val="Titre2"/>
        <w:pBdr>
          <w:bottom w:val="single" w:sz="4" w:space="4" w:color="C8001A"/>
        </w:pBdr>
      </w:pPr>
      <w:r>
        <w:t>Réservation — La conversion</w:t>
      </w:r>
    </w:p>
    <w:p w14:paraId="3EC15944" w14:textId="77777777" w:rsidR="002B4C34" w:rsidRDefault="00000000">
      <w:pPr>
        <w:spacing w:before="80" w:after="120"/>
        <w:jc w:val="both"/>
      </w:pPr>
      <w:r>
        <w:t>Page terminale du parcours de conversion. Le formulaire de réservation permet de choisir son type de session, de sélectionner une date et un créneau horaire, d'indiquer le nombre de participants, et d'ajouter des services optionnels (vidéo embarquée, photos professionnelles, coaching, restauration). Des encadrés informatifs accompagnent le formulaire : ce qu'il faut apporter, la politique d'annulation et les conditions d'âge. Aucun paiement en ligne n'est requis — la confirmation se fait sous 24 heures par l'équipe Apex Kart.</w:t>
      </w:r>
    </w:p>
    <w:p w14:paraId="1A8A4AB7" w14:textId="77777777" w:rsidR="002B4C34" w:rsidRDefault="002B4C34">
      <w:pPr>
        <w:pBdr>
          <w:bottom w:val="single" w:sz="2" w:space="1" w:color="DDDDDD"/>
        </w:pBdr>
        <w:spacing w:before="160" w:after="160"/>
      </w:pPr>
    </w:p>
    <w:p w14:paraId="46610D1F" w14:textId="77777777" w:rsidR="002B4C34" w:rsidRDefault="00000000">
      <w:pPr>
        <w:pStyle w:val="Titre1"/>
      </w:pPr>
      <w:r>
        <w:t>4. Style des interactions</w:t>
      </w:r>
    </w:p>
    <w:p w14:paraId="14413269" w14:textId="77777777" w:rsidR="002B4C34" w:rsidRDefault="00000000">
      <w:pPr>
        <w:spacing w:before="80" w:after="120"/>
        <w:jc w:val="both"/>
      </w:pPr>
      <w:r>
        <w:t>Le dispositif repose sur trois principes d'interaction qui traversent l'ensemble des pages :</w:t>
      </w:r>
    </w:p>
    <w:p w14:paraId="243798F3" w14:textId="77777777" w:rsidR="002B4C34" w:rsidRDefault="00000000">
      <w:pPr>
        <w:spacing w:before="200" w:after="60"/>
      </w:pPr>
      <w:r>
        <w:rPr>
          <w:b/>
          <w:bCs/>
          <w:color w:val="C8001A"/>
          <w:spacing w:val="60"/>
          <w:sz w:val="18"/>
          <w:szCs w:val="18"/>
        </w:rPr>
        <w:t>LA LINÉARITÉ GUIDÉE</w:t>
      </w:r>
    </w:p>
    <w:p w14:paraId="03F35B9A" w14:textId="77777777" w:rsidR="002B4C34" w:rsidRDefault="00000000">
      <w:pPr>
        <w:spacing w:before="80" w:after="120"/>
        <w:jc w:val="both"/>
      </w:pPr>
      <w:r>
        <w:t>Chaque page se conclut par une bande d'appel à l'action (CTA) qui oriente le visiteur vers l'étape suivante du parcours. Il n'est jamais laissé sans destination claire. La navigation principale, visible en permanence, propose toujours le bouton « Réserver » comme destination prioritaire, mis en évidence par sa couleur contrastée.</w:t>
      </w:r>
    </w:p>
    <w:p w14:paraId="2A0DD4B3" w14:textId="77777777" w:rsidR="002B4C34" w:rsidRDefault="00000000">
      <w:pPr>
        <w:spacing w:before="200" w:after="60"/>
      </w:pPr>
      <w:r>
        <w:rPr>
          <w:b/>
          <w:bCs/>
          <w:color w:val="C8001A"/>
          <w:spacing w:val="60"/>
          <w:sz w:val="18"/>
          <w:szCs w:val="18"/>
        </w:rPr>
        <w:t>L'IMMERSION SENSORIELLE</w:t>
      </w:r>
    </w:p>
    <w:p w14:paraId="6FA5A1E1" w14:textId="77777777" w:rsidR="002B4C34" w:rsidRDefault="00000000">
      <w:pPr>
        <w:spacing w:before="80" w:after="120"/>
        <w:jc w:val="both"/>
      </w:pPr>
      <w:r>
        <w:t>Au-delà du texte et des images statiques, le site mobilise la vidéo (tour de circuit en caméra embarquée) et l'audio (sons de moteurs, ambiance circuit) pour prolonger l'expérience physique du karting dans l'espace numérique. Ces éléments ne sont pas décoratifs — ils participent à la décision d'achat en rendant tangible ce que le visiteur n'a pas encore vécu.</w:t>
      </w:r>
    </w:p>
    <w:p w14:paraId="40402030" w14:textId="77777777" w:rsidR="002B4C34" w:rsidRDefault="00000000">
      <w:pPr>
        <w:spacing w:before="200" w:after="60"/>
      </w:pPr>
      <w:r>
        <w:rPr>
          <w:b/>
          <w:bCs/>
          <w:color w:val="C8001A"/>
          <w:spacing w:val="60"/>
          <w:sz w:val="18"/>
          <w:szCs w:val="18"/>
        </w:rPr>
        <w:t>LA COMMUNAUTÉ PAR LA COMPÉTITION</w:t>
      </w:r>
    </w:p>
    <w:p w14:paraId="771F9731" w14:textId="77777777" w:rsidR="002B4C34" w:rsidRDefault="00000000">
      <w:pPr>
        <w:spacing w:before="80" w:after="120"/>
        <w:jc w:val="both"/>
      </w:pPr>
      <w:r>
        <w:t>La page Classements introduit une mécanique d'engagement récurrent : le pilote qui s'est inscrit revient régulièrement pour consulter son rang, défier son propre record ou celui des autres. Chaque appel à l'action sur cette page est formulé comme un défi personnel (« Battez le record : 01:02.347 »), activant la dimension émotionnelle propre au sport automobile.</w:t>
      </w:r>
    </w:p>
    <w:p w14:paraId="11F83721" w14:textId="77777777" w:rsidR="002B4C34" w:rsidRDefault="002B4C34">
      <w:pPr>
        <w:pBdr>
          <w:bottom w:val="single" w:sz="2" w:space="1" w:color="DDDDDD"/>
        </w:pBdr>
        <w:spacing w:before="160" w:after="160"/>
      </w:pPr>
    </w:p>
    <w:p w14:paraId="7A679812" w14:textId="77777777" w:rsidR="002B4C34" w:rsidRDefault="00000000">
      <w:pPr>
        <w:pStyle w:val="Titre1"/>
      </w:pPr>
      <w:r>
        <w:lastRenderedPageBreak/>
        <w:t>5. Identité visuelle et ton</w:t>
      </w:r>
    </w:p>
    <w:p w14:paraId="7341D562" w14:textId="77777777" w:rsidR="002B4C34" w:rsidRDefault="00000000">
      <w:pPr>
        <w:spacing w:before="80" w:after="120"/>
        <w:jc w:val="both"/>
      </w:pPr>
      <w:r>
        <w:t>Le site adopte un registre visuel de sport automobile haute intensité : fonds noirs ou très sombres, typographie en capitales d'Impact ou Arial Bold, accents rouge vif (#C8001A) et vert néon (#00FF88) pour les éléments interactifs clés. Les chiffres sont mis en scène à grande échelle (format tableau de bord). Les images choisies privilégient le mouvement, le feu de course, les trajectoires serrées.</w:t>
      </w:r>
    </w:p>
    <w:p w14:paraId="3FA411B4" w14:textId="77777777" w:rsidR="002B4C34" w:rsidRDefault="00000000">
      <w:pPr>
        <w:spacing w:before="80" w:after="120"/>
        <w:jc w:val="both"/>
      </w:pPr>
      <w:r>
        <w:t>Le ton rédactionnel est direct, tendu, sans fioritures — à l'image d'un pilote en ligne de départ. Les titres interpellent (« Ressentez la vitesse », « Battez le record »), les descriptions sont factuelles et précises. Le tutoiement n'est pas utilisé ; le dispositif s'adresse au visiteur de manière impersonnelle mais engagée.</w:t>
      </w:r>
    </w:p>
    <w:p w14:paraId="1447FF09" w14:textId="77777777" w:rsidR="002B4C34" w:rsidRDefault="002B4C34">
      <w:pPr>
        <w:pBdr>
          <w:bottom w:val="single" w:sz="2" w:space="1" w:color="DDDDDD"/>
        </w:pBdr>
        <w:spacing w:before="160" w:after="160"/>
      </w:pPr>
    </w:p>
    <w:p w14:paraId="290FAB2D" w14:textId="77777777" w:rsidR="002B4C34" w:rsidRDefault="00000000">
      <w:pPr>
        <w:pStyle w:val="Titre1"/>
      </w:pPr>
      <w:r>
        <w:t>6. Objectifs mesurables</w:t>
      </w:r>
    </w:p>
    <w:p w14:paraId="5926ABF2" w14:textId="77777777" w:rsidR="002B4C34" w:rsidRDefault="00000000">
      <w:pPr>
        <w:pStyle w:val="Paragraphedeliste"/>
        <w:numPr>
          <w:ilvl w:val="0"/>
          <w:numId w:val="2"/>
        </w:numPr>
        <w:spacing w:before="60" w:after="60"/>
      </w:pPr>
      <w:r>
        <w:t>Augmenter le volume de réservations en ligne en réduisant les étapes entre la découverte du site et la soumission du formulaire.</w:t>
      </w:r>
    </w:p>
    <w:p w14:paraId="3B9F5182" w14:textId="77777777" w:rsidR="002B4C34" w:rsidRDefault="00000000">
      <w:pPr>
        <w:pStyle w:val="Paragraphedeliste"/>
        <w:numPr>
          <w:ilvl w:val="0"/>
          <w:numId w:val="2"/>
        </w:numPr>
        <w:spacing w:before="60" w:after="60"/>
      </w:pPr>
      <w:r>
        <w:t>Renforcer la notoriété du circuit auprès des organisateurs d'événements en mettant en valeur les formules groupe et corporate.</w:t>
      </w:r>
    </w:p>
    <w:p w14:paraId="6A06C5F6" w14:textId="77777777" w:rsidR="002B4C34" w:rsidRDefault="00000000">
      <w:pPr>
        <w:pStyle w:val="Paragraphedeliste"/>
        <w:numPr>
          <w:ilvl w:val="0"/>
          <w:numId w:val="2"/>
        </w:numPr>
        <w:spacing w:before="60" w:after="60"/>
      </w:pPr>
      <w:r>
        <w:t>Fidéliser les pilotes réguliers via la page Classements et l'identité de communauté compétitive.</w:t>
      </w:r>
    </w:p>
    <w:p w14:paraId="20E55120" w14:textId="77777777" w:rsidR="002B4C34" w:rsidRDefault="00000000">
      <w:pPr>
        <w:pStyle w:val="Paragraphedeliste"/>
        <w:numPr>
          <w:ilvl w:val="0"/>
          <w:numId w:val="2"/>
        </w:numPr>
        <w:spacing w:before="60" w:after="60"/>
      </w:pPr>
      <w:r>
        <w:t>Réduire la charge de travail administrative en centralisant les demandes via les formulaires de contact et de réservation.</w:t>
      </w:r>
    </w:p>
    <w:p w14:paraId="1865FB8A" w14:textId="77777777" w:rsidR="002B4C34" w:rsidRDefault="00000000">
      <w:pPr>
        <w:pStyle w:val="Paragraphedeliste"/>
        <w:numPr>
          <w:ilvl w:val="0"/>
          <w:numId w:val="2"/>
        </w:numPr>
        <w:spacing w:before="60" w:after="60"/>
      </w:pPr>
      <w:r>
        <w:t>Affirmer le positionnement premium d'Apex Kart face à la concurrence locale par la qualité perçue du dispositif numérique.</w:t>
      </w:r>
    </w:p>
    <w:p w14:paraId="1B6F987B" w14:textId="77777777" w:rsidR="002B4C34" w:rsidRDefault="002B4C34">
      <w:pPr>
        <w:pBdr>
          <w:bottom w:val="single" w:sz="2" w:space="1" w:color="DDDDDD"/>
        </w:pBdr>
        <w:spacing w:before="160" w:after="160"/>
      </w:pPr>
    </w:p>
    <w:p w14:paraId="233954C4" w14:textId="77777777" w:rsidR="002B4C34" w:rsidRDefault="00000000">
      <w:pPr>
        <w:spacing w:before="200" w:after="120"/>
        <w:jc w:val="center"/>
      </w:pPr>
      <w:r>
        <w:rPr>
          <w:b/>
          <w:bCs/>
          <w:color w:val="C8001A"/>
          <w:sz w:val="24"/>
          <w:szCs w:val="24"/>
        </w:rPr>
        <w:t>En résumé</w:t>
      </w:r>
    </w:p>
    <w:p w14:paraId="6975B1E0" w14:textId="77777777" w:rsidR="002B4C34" w:rsidRDefault="00000000">
      <w:pPr>
        <w:spacing w:before="60" w:after="60"/>
        <w:jc w:val="both"/>
      </w:pPr>
      <w:r>
        <w:rPr>
          <w:i/>
          <w:iCs/>
        </w:rPr>
        <w:t>Le site web Apex Kart n'est pas une simple vitrine — c'est un prolongement numérique de l'expérience de piste. Il doit capturer l'adrénaline du circuit dès la première seconde de navigation, convaincre rapidement, convertir avec fluidité, et fidéliser durablement en nourrissant le désir de revenir rouler, de battre un record, de grimper dans le classement. C'est un outil au service de la croissance du circuit et de sa communauté.</w:t>
      </w:r>
    </w:p>
    <w:sectPr w:rsidR="002B4C34">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B10D0" w14:textId="77777777" w:rsidR="00AC60A9" w:rsidRDefault="00AC60A9">
      <w:r>
        <w:separator/>
      </w:r>
    </w:p>
  </w:endnote>
  <w:endnote w:type="continuationSeparator" w:id="0">
    <w:p w14:paraId="795B08D0" w14:textId="77777777" w:rsidR="00AC60A9" w:rsidRDefault="00AC6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2300C" w14:textId="77777777" w:rsidR="002B4C34" w:rsidRDefault="00000000">
    <w:pPr>
      <w:pBdr>
        <w:top w:val="single" w:sz="2" w:space="4" w:color="DDDDDD"/>
      </w:pBdr>
      <w:spacing w:before="80"/>
      <w:jc w:val="right"/>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E6FEA">
      <w:rPr>
        <w:noProof/>
        <w:color w:val="999999"/>
        <w:sz w:val="18"/>
        <w:szCs w:val="18"/>
      </w:rPr>
      <w:t>1</w:t>
    </w:r>
    <w:r>
      <w:rPr>
        <w:color w:val="999999"/>
        <w:sz w:val="18"/>
        <w:szCs w:val="18"/>
      </w:rPr>
      <w:fldChar w:fldCharType="end"/>
    </w:r>
    <w:r>
      <w:rPr>
        <w:color w:val="999999"/>
        <w:sz w:val="18"/>
        <w:szCs w:val="18"/>
      </w:rPr>
      <w:t xml:space="preserve"> / </w:t>
    </w:r>
    <w:r>
      <w:rPr>
        <w:color w:val="999999"/>
        <w:sz w:val="18"/>
        <w:szCs w:val="18"/>
      </w:rPr>
      <w:fldChar w:fldCharType="begin"/>
    </w:r>
    <w:r>
      <w:rPr>
        <w:color w:val="999999"/>
        <w:sz w:val="18"/>
        <w:szCs w:val="18"/>
      </w:rPr>
      <w:instrText>NUMPAGES</w:instrText>
    </w:r>
    <w:r>
      <w:rPr>
        <w:color w:val="999999"/>
        <w:sz w:val="18"/>
        <w:szCs w:val="18"/>
      </w:rPr>
      <w:fldChar w:fldCharType="separate"/>
    </w:r>
    <w:r w:rsidR="004E6FEA">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0CE12" w14:textId="77777777" w:rsidR="00AC60A9" w:rsidRDefault="00AC60A9">
      <w:r>
        <w:separator/>
      </w:r>
    </w:p>
  </w:footnote>
  <w:footnote w:type="continuationSeparator" w:id="0">
    <w:p w14:paraId="6414918C" w14:textId="77777777" w:rsidR="00AC60A9" w:rsidRDefault="00AC6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82EAD" w14:textId="77777777" w:rsidR="002B4C34" w:rsidRDefault="00000000">
    <w:pPr>
      <w:pBdr>
        <w:bottom w:val="single" w:sz="4" w:space="4" w:color="C8001A"/>
      </w:pBdr>
      <w:spacing w:after="120"/>
    </w:pPr>
    <w:r>
      <w:rPr>
        <w:b/>
        <w:bCs/>
        <w:color w:val="C8001A"/>
        <w:sz w:val="18"/>
        <w:szCs w:val="18"/>
      </w:rPr>
      <w:t>APEX KART  |  Synopsis de site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5443C5"/>
    <w:multiLevelType w:val="hybridMultilevel"/>
    <w:tmpl w:val="45ECC018"/>
    <w:lvl w:ilvl="0" w:tplc="ED3825E0">
      <w:start w:val="1"/>
      <w:numFmt w:val="bullet"/>
      <w:lvlText w:val="●"/>
      <w:lvlJc w:val="left"/>
      <w:pPr>
        <w:ind w:left="720" w:hanging="360"/>
      </w:pPr>
    </w:lvl>
    <w:lvl w:ilvl="1" w:tplc="5BF08240">
      <w:start w:val="1"/>
      <w:numFmt w:val="bullet"/>
      <w:lvlText w:val="○"/>
      <w:lvlJc w:val="left"/>
      <w:pPr>
        <w:ind w:left="1440" w:hanging="360"/>
      </w:pPr>
    </w:lvl>
    <w:lvl w:ilvl="2" w:tplc="53C87A9C">
      <w:start w:val="1"/>
      <w:numFmt w:val="bullet"/>
      <w:lvlText w:val="■"/>
      <w:lvlJc w:val="left"/>
      <w:pPr>
        <w:ind w:left="2160" w:hanging="360"/>
      </w:pPr>
    </w:lvl>
    <w:lvl w:ilvl="3" w:tplc="52001B04">
      <w:start w:val="1"/>
      <w:numFmt w:val="bullet"/>
      <w:lvlText w:val="●"/>
      <w:lvlJc w:val="left"/>
      <w:pPr>
        <w:ind w:left="2880" w:hanging="360"/>
      </w:pPr>
    </w:lvl>
    <w:lvl w:ilvl="4" w:tplc="B798E178">
      <w:start w:val="1"/>
      <w:numFmt w:val="bullet"/>
      <w:lvlText w:val="○"/>
      <w:lvlJc w:val="left"/>
      <w:pPr>
        <w:ind w:left="3600" w:hanging="360"/>
      </w:pPr>
    </w:lvl>
    <w:lvl w:ilvl="5" w:tplc="363ACEA4">
      <w:start w:val="1"/>
      <w:numFmt w:val="bullet"/>
      <w:lvlText w:val="■"/>
      <w:lvlJc w:val="left"/>
      <w:pPr>
        <w:ind w:left="4320" w:hanging="360"/>
      </w:pPr>
    </w:lvl>
    <w:lvl w:ilvl="6" w:tplc="EC2E40D4">
      <w:start w:val="1"/>
      <w:numFmt w:val="bullet"/>
      <w:lvlText w:val="●"/>
      <w:lvlJc w:val="left"/>
      <w:pPr>
        <w:ind w:left="5040" w:hanging="360"/>
      </w:pPr>
    </w:lvl>
    <w:lvl w:ilvl="7" w:tplc="6D805B72">
      <w:start w:val="1"/>
      <w:numFmt w:val="bullet"/>
      <w:lvlText w:val="●"/>
      <w:lvlJc w:val="left"/>
      <w:pPr>
        <w:ind w:left="5760" w:hanging="360"/>
      </w:pPr>
    </w:lvl>
    <w:lvl w:ilvl="8" w:tplc="85520064">
      <w:start w:val="1"/>
      <w:numFmt w:val="bullet"/>
      <w:lvlText w:val="●"/>
      <w:lvlJc w:val="left"/>
      <w:pPr>
        <w:ind w:left="6480" w:hanging="360"/>
      </w:pPr>
    </w:lvl>
  </w:abstractNum>
  <w:abstractNum w:abstractNumId="1" w15:restartNumberingAfterBreak="0">
    <w:nsid w:val="337E2410"/>
    <w:multiLevelType w:val="hybridMultilevel"/>
    <w:tmpl w:val="8056DE64"/>
    <w:lvl w:ilvl="0" w:tplc="58F6582C">
      <w:start w:val="1"/>
      <w:numFmt w:val="bullet"/>
      <w:lvlText w:val="–"/>
      <w:lvlJc w:val="left"/>
      <w:pPr>
        <w:ind w:left="720" w:hanging="360"/>
      </w:pPr>
    </w:lvl>
    <w:lvl w:ilvl="1" w:tplc="F140AC6A">
      <w:numFmt w:val="decimal"/>
      <w:lvlText w:val=""/>
      <w:lvlJc w:val="left"/>
    </w:lvl>
    <w:lvl w:ilvl="2" w:tplc="090A056A">
      <w:numFmt w:val="decimal"/>
      <w:lvlText w:val=""/>
      <w:lvlJc w:val="left"/>
    </w:lvl>
    <w:lvl w:ilvl="3" w:tplc="0590CF12">
      <w:numFmt w:val="decimal"/>
      <w:lvlText w:val=""/>
      <w:lvlJc w:val="left"/>
    </w:lvl>
    <w:lvl w:ilvl="4" w:tplc="6F385A1C">
      <w:numFmt w:val="decimal"/>
      <w:lvlText w:val=""/>
      <w:lvlJc w:val="left"/>
    </w:lvl>
    <w:lvl w:ilvl="5" w:tplc="60865DB2">
      <w:numFmt w:val="decimal"/>
      <w:lvlText w:val=""/>
      <w:lvlJc w:val="left"/>
    </w:lvl>
    <w:lvl w:ilvl="6" w:tplc="CDB67E5C">
      <w:numFmt w:val="decimal"/>
      <w:lvlText w:val=""/>
      <w:lvlJc w:val="left"/>
    </w:lvl>
    <w:lvl w:ilvl="7" w:tplc="0EA4209A">
      <w:numFmt w:val="decimal"/>
      <w:lvlText w:val=""/>
      <w:lvlJc w:val="left"/>
    </w:lvl>
    <w:lvl w:ilvl="8" w:tplc="F8683208">
      <w:numFmt w:val="decimal"/>
      <w:lvlText w:val=""/>
      <w:lvlJc w:val="left"/>
    </w:lvl>
  </w:abstractNum>
  <w:num w:numId="1" w16cid:durableId="980815718">
    <w:abstractNumId w:val="0"/>
    <w:lvlOverride w:ilvl="0">
      <w:startOverride w:val="1"/>
    </w:lvlOverride>
  </w:num>
  <w:num w:numId="2" w16cid:durableId="1612129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C34"/>
    <w:rsid w:val="000263E0"/>
    <w:rsid w:val="000758FF"/>
    <w:rsid w:val="002B4C34"/>
    <w:rsid w:val="004E6FEA"/>
    <w:rsid w:val="00711E5D"/>
    <w:rsid w:val="00A436E6"/>
    <w:rsid w:val="00A55AA3"/>
    <w:rsid w:val="00AC60A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B66E"/>
  <w15:docId w15:val="{37162146-0ED5-429D-BDF6-F6303C4B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555555"/>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C8001A"/>
      <w:sz w:val="34"/>
      <w:szCs w:val="34"/>
    </w:rPr>
  </w:style>
  <w:style w:type="paragraph" w:styleId="Titre2">
    <w:name w:val="heading 2"/>
    <w:uiPriority w:val="9"/>
    <w:unhideWhenUsed/>
    <w:qFormat/>
    <w:pPr>
      <w:spacing w:before="260" w:after="120"/>
      <w:outlineLvl w:val="1"/>
    </w:pPr>
    <w:rPr>
      <w:b/>
      <w:bCs/>
      <w:color w:val="1A1A1A"/>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1449</Words>
  <Characters>7971</Characters>
  <Application>Microsoft Office Word</Application>
  <DocSecurity>0</DocSecurity>
  <Lines>66</Lines>
  <Paragraphs>18</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2026-04-01T16:04:00Z</dcterms:created>
  <dcterms:modified xsi:type="dcterms:W3CDTF">2026-04-01T16:49:00Z</dcterms:modified>
</cp:coreProperties>
</file>