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10.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t xml:space="preserve"/>
      </w:r>
    </w:p>
    <w:p>
      <w:pPr>
        <w:spacing w:after="0" w:before="0" w:line="360"/>
      </w:pPr>
      <w:r>
        <w:t xml:space="preserve"/>
      </w:r>
    </w:p>
    <w:p>
      <w:pPr>
        <w:spacing w:after="0" w:before="0" w:line="480"/>
        <w:jc w:val="center"/>
      </w:pPr>
      <w:r>
        <w:rPr>
          <w:rFonts w:ascii="Times New Roman" w:cs="Times New Roman" w:eastAsia="Times New Roman" w:hAnsi="Times New Roman"/>
          <w:b/>
          <w:bCs/>
          <w:caps w:val="false"/>
          <w:sz w:val="24"/>
          <w:szCs w:val="24"/>
        </w:rPr>
        <w:t xml:space="preserve">ANALISIS PELAKSANAAN ANGGARAN BELANJA</w:t>
      </w:r>
    </w:p>
    <w:p>
      <w:pPr>
        <w:spacing w:after="240" w:before="0" w:line="480"/>
        <w:jc w:val="center"/>
      </w:pPr>
      <w:r>
        <w:rPr>
          <w:rFonts w:ascii="Times New Roman" w:cs="Times New Roman" w:eastAsia="Times New Roman" w:hAnsi="Times New Roman"/>
          <w:b/>
          <w:bCs/>
          <w:caps w:val="false"/>
          <w:sz w:val="24"/>
          <w:szCs w:val="24"/>
        </w:rPr>
        <w:t xml:space="preserve">PADA RUMAH DETENSI IMIGRASI PONTIANAK</w:t>
      </w:r>
    </w:p>
    <w:p>
      <w:pPr>
        <w:spacing w:after="240" w:before="0" w:line="480"/>
        <w:jc w:val="center"/>
      </w:pPr>
      <w:r>
        <w:rPr>
          <w:rFonts w:ascii="Times New Roman" w:cs="Times New Roman" w:eastAsia="Times New Roman" w:hAnsi="Times New Roman"/>
          <w:b/>
          <w:bCs/>
          <w:caps w:val="false"/>
          <w:sz w:val="24"/>
          <w:szCs w:val="24"/>
        </w:rPr>
        <w:t xml:space="preserve">MAKALAH SEMINAR AKUNTANSI</w:t>
      </w:r>
    </w:p>
    <w:p>
      <w:pPr>
        <w:spacing w:after="240" w:before="0" w:line="480"/>
        <w:jc w:val="center"/>
      </w:pPr>
      <w:r>
        <w:rPr>
          <w:rFonts w:ascii="Times New Roman" w:cs="Times New Roman" w:eastAsia="Times New Roman" w:hAnsi="Times New Roman"/>
          <w:b w:val="false"/>
          <w:bCs w:val="false"/>
          <w:caps w:val="false"/>
          <w:sz w:val="24"/>
          <w:szCs w:val="24"/>
        </w:rPr>
        <w:t xml:space="preserve">Oleh</w:t>
      </w:r>
    </w:p>
    <w:p>
      <w:pPr>
        <w:spacing w:after="0" w:before="0" w:line="480"/>
        <w:jc w:val="center"/>
      </w:pPr>
      <w:r>
        <w:rPr>
          <w:rFonts w:ascii="Times New Roman" w:cs="Times New Roman" w:eastAsia="Times New Roman" w:hAnsi="Times New Roman"/>
          <w:b/>
          <w:bCs/>
          <w:caps w:val="false"/>
          <w:sz w:val="24"/>
          <w:szCs w:val="24"/>
        </w:rPr>
        <w:t xml:space="preserve">AJIE BARIANDONO</w:t>
      </w:r>
    </w:p>
    <w:p>
      <w:pPr>
        <w:spacing w:after="960" w:before="0" w:line="480"/>
        <w:jc w:val="center"/>
      </w:pPr>
      <w:r>
        <w:rPr>
          <w:rFonts w:ascii="Times New Roman" w:cs="Times New Roman" w:eastAsia="Times New Roman" w:hAnsi="Times New Roman"/>
          <w:b w:val="false"/>
          <w:bCs w:val="false"/>
          <w:caps w:val="false"/>
          <w:sz w:val="24"/>
          <w:szCs w:val="24"/>
        </w:rPr>
        <w:t xml:space="preserve">NIM. 2110426823</w:t>
      </w:r>
    </w:p>
    <w:p>
      <w:pPr>
        <w:spacing w:after="0" w:before="0" w:line="360"/>
      </w:pPr>
      <w:r>
        <w:t xml:space="preserve"/>
      </w:r>
    </w:p>
    <w:p>
      <w:pPr>
        <w:spacing w:after="0" w:before="0" w:line="360"/>
      </w:pPr>
      <w:r>
        <w:t xml:space="preserve"/>
      </w:r>
    </w:p>
    <w:p>
      <w:pPr>
        <w:spacing w:after="0" w:before="0" w:line="360"/>
      </w:pPr>
      <w:r>
        <w:t xml:space="preserve"/>
      </w:r>
    </w:p>
    <w:p>
      <w:pPr>
        <w:spacing w:after="0" w:before="0" w:line="480"/>
        <w:jc w:val="center"/>
      </w:pPr>
      <w:r>
        <w:rPr>
          <w:rFonts w:ascii="Times New Roman" w:cs="Times New Roman" w:eastAsia="Times New Roman" w:hAnsi="Times New Roman"/>
          <w:b/>
          <w:bCs/>
          <w:caps w:val="false"/>
          <w:sz w:val="24"/>
          <w:szCs w:val="24"/>
        </w:rPr>
        <w:t xml:space="preserve">FAKULTAS EKONOMI DAN BISNIS</w:t>
      </w:r>
    </w:p>
    <w:p>
      <w:pPr>
        <w:spacing w:after="0" w:before="0" w:line="480"/>
        <w:jc w:val="center"/>
      </w:pPr>
      <w:r>
        <w:rPr>
          <w:rFonts w:ascii="Times New Roman" w:cs="Times New Roman" w:eastAsia="Times New Roman" w:hAnsi="Times New Roman"/>
          <w:b/>
          <w:bCs/>
          <w:caps w:val="false"/>
          <w:sz w:val="24"/>
          <w:szCs w:val="24"/>
        </w:rPr>
        <w:t xml:space="preserve">UNIVERSITAS PANCA BHAKTI</w:t>
      </w:r>
    </w:p>
    <w:p>
      <w:pPr>
        <w:spacing w:after="0" w:before="0" w:line="480"/>
        <w:jc w:val="center"/>
      </w:pPr>
      <w:r>
        <w:rPr>
          <w:rFonts w:ascii="Times New Roman" w:cs="Times New Roman" w:eastAsia="Times New Roman" w:hAnsi="Times New Roman"/>
          <w:b/>
          <w:bCs/>
          <w:caps w:val="false"/>
          <w:sz w:val="24"/>
          <w:szCs w:val="24"/>
        </w:rPr>
        <w:t xml:space="preserve">PONTIANAK</w:t>
      </w:r>
    </w:p>
    <w:p>
      <w:pPr>
        <w:spacing w:after="0" w:before="0" w:line="480"/>
        <w:jc w:val="center"/>
      </w:pPr>
      <w:r>
        <w:rPr>
          <w:rFonts w:ascii="Times New Roman" w:cs="Times New Roman" w:eastAsia="Times New Roman" w:hAnsi="Times New Roman"/>
          <w:b/>
          <w:bCs/>
          <w:caps w:val="false"/>
          <w:sz w:val="24"/>
          <w:szCs w:val="24"/>
        </w:rPr>
        <w:t xml:space="preserve">2026</w:t>
      </w:r>
    </w:p>
    <w:p>
      <w:pPr>
        <w:sectPr>
          <w:pgSz w:w="11906" w:h="16838" w:orient="portrait"/>
          <w:pgMar w:top="2268" w:right="1701" w:bottom="1701" w:left="2268" w:header="708" w:footer="708" w:gutter="0"/>
          <w:pgNumType/>
          <w:docGrid w:linePitch="360"/>
        </w:sectPr>
      </w:pPr>
    </w:p>
    <w:p>
      <w:pPr>
        <w:spacing w:after="0" w:before="0" w:line="480"/>
        <w:jc w:val="center"/>
      </w:pPr>
      <w:r>
        <w:rPr>
          <w:rFonts w:ascii="Times New Roman" w:cs="Times New Roman" w:eastAsia="Times New Roman" w:hAnsi="Times New Roman"/>
          <w:b/>
          <w:bCs/>
          <w:caps w:val="false"/>
          <w:sz w:val="24"/>
          <w:szCs w:val="24"/>
        </w:rPr>
        <w:t xml:space="preserve">PERSETUJUAN MAKALAH SEMINAR</w:t>
      </w:r>
    </w:p>
    <w:p>
      <w:pPr>
        <w:spacing w:after="0" w:before="0" w:line="480"/>
        <w:jc w:val="center"/>
      </w:pPr>
      <w:r>
        <w:rPr>
          <w:rFonts w:ascii="Times New Roman" w:cs="Times New Roman" w:eastAsia="Times New Roman" w:hAnsi="Times New Roman"/>
          <w:b/>
          <w:bCs/>
          <w:caps w:val="false"/>
          <w:sz w:val="24"/>
          <w:szCs w:val="24"/>
        </w:rPr>
        <w:t xml:space="preserve">UNIVERSITAS PANCA BHAKTI</w:t>
      </w:r>
    </w:p>
    <w:p>
      <w:pPr>
        <w:spacing w:after="480" w:before="0" w:line="480"/>
        <w:jc w:val="center"/>
      </w:pPr>
      <w:r>
        <w:rPr>
          <w:rFonts w:ascii="Times New Roman" w:cs="Times New Roman" w:eastAsia="Times New Roman" w:hAnsi="Times New Roman"/>
          <w:b/>
          <w:bCs/>
          <w:caps w:val="false"/>
          <w:sz w:val="24"/>
          <w:szCs w:val="24"/>
        </w:rPr>
        <w:t xml:space="preserve">FAKULTAS EKONOMI DAN BISNIS</w:t>
      </w:r>
    </w:p>
    <w:p>
      <w:pPr>
        <w:spacing w:after="0" w:before="0" w:line="360"/>
      </w:pPr>
      <w:r>
        <w:t xml:space="preserve"/>
      </w:r>
    </w:p>
    <w:p>
      <w:pPr>
        <w:spacing w:after="240" w:before="0" w:line="480"/>
        <w:jc w:val="center"/>
      </w:pPr>
      <w:r>
        <w:rPr>
          <w:rFonts w:ascii="Times New Roman" w:cs="Times New Roman" w:eastAsia="Times New Roman" w:hAnsi="Times New Roman"/>
          <w:b/>
          <w:bCs/>
          <w:caps w:val="false"/>
          <w:sz w:val="24"/>
          <w:szCs w:val="24"/>
        </w:rPr>
        <w:t xml:space="preserve">LEMBAR KONSULTASI</w:t>
      </w:r>
    </w:p>
    <w:tbl>
      <w:tblPr>
        <w:tblW w:type="dxa" w:w="7937"/>
        <w:tblBorders>
          <w:top w:val="none" w:color="FFFFFF" w:sz="0"/>
          <w:left w:val="none" w:color="FFFFFF" w:sz="0"/>
          <w:bottom w:val="none" w:color="FFFFFF" w:sz="0"/>
          <w:right w:val="none" w:color="FFFFFF" w:sz="0"/>
          <w:insideH w:val="single" w:color="auto" w:sz="4"/>
          <w:insideV w:val="single" w:color="auto" w:sz="4"/>
        </w:tblBorders>
      </w:tblPr>
      <w:tblGrid>
        <w:gridCol w:w="2800"/>
        <w:gridCol w:w="200"/>
        <w:gridCol w:w="4937"/>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NAMA MAHASISWA</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AJIE BARIANDONO</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JUDUL PENELITIAN</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Analisis Pelaksanaan Anggaran Belanja Pada Rumah Detensi Imigrasi Pontianak</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TANGGAL SEMINAR</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7 Juni 2026</w:t>
            </w:r>
          </w:p>
        </w:tc>
      </w:tr>
    </w:tbl>
    <w:p>
      <w:pPr>
        <w:spacing w:after="0" w:before="0" w:line="36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00"/>
        <w:gridCol w:w="4866"/>
        <w:gridCol w:w="1800"/>
      </w:tblGrid>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TANGGAL</w:t>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KETERANGAN</w:t>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PARAF</w:t>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bl>
    <w:p>
      <w:pPr>
        <w:spacing w:after="0" w:before="0" w:line="360"/>
      </w:pPr>
      <w:r>
        <w:t xml:space="preserve"/>
      </w:r>
    </w:p>
    <w:p>
      <w:pPr>
        <w:spacing w:after="0" w:before="0" w:line="360"/>
      </w:pPr>
      <w:r>
        <w:t xml:space="preserve"/>
      </w:r>
    </w:p>
    <w:tbl>
      <w:tblPr>
        <w:tblW w:type="dxa" w:w="7937"/>
        <w:tblBorders>
          <w:top w:val="none" w:color="FFFFFF" w:sz="0"/>
          <w:left w:val="none" w:color="FFFFFF" w:sz="0"/>
          <w:bottom w:val="none" w:color="FFFFFF" w:sz="0"/>
          <w:right w:val="none" w:color="FFFFFF" w:sz="0"/>
          <w:insideH w:val="single" w:color="auto" w:sz="4"/>
          <w:insideV w:val="single" w:color="auto" w:sz="4"/>
        </w:tblBorders>
      </w:tblPr>
      <w:tblGrid>
        <w:gridCol w:w="3968"/>
        <w:gridCol w:w="3969"/>
      </w:tblGrid>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Mengetahui,</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Disetujui Oleh,</w:t>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Ketua Jurusan Akuntansi,</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Narasumber,</w:t>
            </w:r>
          </w:p>
        </w:tc>
      </w:tr>
      <w:tr>
        <w:tc>
          <w:tcPr>
            <w:tcW w:type="dxa" w:w="3968"/>
            <w:tcBorders>
              <w:top w:val="none" w:color="FFFFFF" w:sz="0"/>
              <w:left w:val="none" w:color="FFFFFF" w:sz="0"/>
              <w:bottom w:val="none" w:color="FFFFFF" w:sz="0"/>
              <w:right w:val="none" w:color="FFFFFF" w:sz="0"/>
            </w:tcBorders>
          </w:tcPr>
          <w:p>
            <w:pPr>
              <w:spacing w:after="0" w:before="0" w:line="360"/>
            </w:pPr>
            <w:r>
              <w:t xml:space="preserve"/>
            </w:r>
          </w:p>
          <w:p>
            <w:pPr>
              <w:spacing w:after="0" w:before="0" w:line="360"/>
            </w:pPr>
            <w:r>
              <w:t xml:space="preserve"/>
            </w:r>
          </w:p>
          <w:p>
            <w:pPr>
              <w:spacing w:after="0" w:before="0" w:line="360"/>
            </w:pPr>
            <w:r>
              <w:t xml:space="preserve"/>
            </w:r>
          </w:p>
        </w:tc>
        <w:tc>
          <w:tcPr>
            <w:tcW w:type="dxa" w:w="3969"/>
            <w:tcBorders>
              <w:top w:val="none" w:color="FFFFFF" w:sz="0"/>
              <w:left w:val="none" w:color="FFFFFF" w:sz="0"/>
              <w:bottom w:val="none" w:color="FFFFFF" w:sz="0"/>
              <w:right w:val="none" w:color="FFFFFF" w:sz="0"/>
            </w:tcBorders>
          </w:tcPr>
          <w:p>
            <w:pPr>
              <w:spacing w:after="0" w:before="0" w:line="360"/>
            </w:pPr>
            <w:r>
              <w:t xml:space="preserve"/>
            </w:r>
          </w:p>
          <w:p>
            <w:pPr>
              <w:spacing w:after="0" w:before="0" w:line="360"/>
            </w:pPr>
            <w:r>
              <w:t xml:space="preserve"/>
            </w:r>
          </w:p>
          <w:p>
            <w:pPr>
              <w:spacing w:after="0" w:before="0" w:line="360"/>
            </w:pPr>
            <w:r>
              <w:t xml:space="preserve"/>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b/>
                <w:bCs/>
                <w:sz w:val="24"/>
                <w:szCs w:val="24"/>
              </w:rPr>
              <w:t xml:space="preserve">Risal, S.E., M.Si., Ak.CA</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b/>
                <w:bCs/>
                <w:sz w:val="24"/>
                <w:szCs w:val="24"/>
              </w:rPr>
              <w:t xml:space="preserve">Endang Kristiawati, S.E., Ak., M.Si</w:t>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NIDN: 1104068701</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NIDN: 1123108201</w:t>
            </w:r>
          </w:p>
        </w:tc>
      </w:tr>
    </w:tbl>
    <w:p>
      <w:pPr>
        <w:sectPr>
          <w:footerReference w:type="default" r:id="rId7"/>
          <w:pgSz w:w="11906" w:h="16838" w:orient="portrait"/>
          <w:pgMar w:top="2268" w:right="1701" w:bottom="1701" w:left="2268" w:header="708" w:footer="708" w:gutter="0"/>
          <w:pgNumType w:start="2" w:fmt="lowerRoman"/>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KATA PENGANTAR</w:t>
      </w:r>
    </w:p>
    <w:p>
      <w:pPr>
        <w:spacing w:after="0" w:before="0" w:line="480"/>
        <w:ind w:firstLine="709"/>
        <w:jc w:val="both"/>
      </w:pPr>
      <w:r>
        <w:rPr>
          <w:rFonts w:ascii="Times New Roman" w:cs="Times New Roman" w:eastAsia="Times New Roman" w:hAnsi="Times New Roman"/>
          <w:sz w:val="24"/>
          <w:szCs w:val="24"/>
        </w:rPr>
        <w:t xml:space="preserve">Puji syukur peneliti panjatkan kehadirat Allah Yang Maha Esa atas limpahan rahmat dan karunia-Nya sehingga peneliti dapat menyelesaikan karya tulis dalam bentuk makalah seminar akuntansi untuk memenuhi sebagian persyaratan untuk menyelesaikan Seminar Mata Kuliah di Fakultas Ekonomi dan Bisnis Universitas Panca Bhakti Pontianak.</w:t>
      </w:r>
    </w:p>
    <w:p>
      <w:pPr>
        <w:spacing w:after="0" w:before="0" w:line="480"/>
        <w:ind w:firstLine="709"/>
        <w:jc w:val="both"/>
      </w:pPr>
      <w:r>
        <w:rPr>
          <w:rFonts w:ascii="Times New Roman" w:cs="Times New Roman" w:eastAsia="Times New Roman" w:hAnsi="Times New Roman"/>
          <w:sz w:val="24"/>
          <w:szCs w:val="24"/>
        </w:rPr>
        <w:t xml:space="preserve">Peneliti menyadari bahwa proses penulisan makalah seminar ini tidak akan dapat terlaksana tanpa dukungan, bantuan, dan bimbingan dari berbagai pihak. Oleh sebab itu, pada kesempatan yang baik ini, ucapan terima kasih dan penghargaan yang tinggi peneliti sampaikan kepada yang terhormat:</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Bapak Dr. Purwanto, SH, M.Hum., FCBArb selaku Rektor Universitas Panca Bhakti Pontianak.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Bapak Dr. Sartono, M.M. selaku Dekan Fakultas Ekonomi dan Bisnis Universitas Panca Bhakti Pontianak.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Bapak Risal S.E, M.Si, CA selaku ketua jurusan Akuntansi Universitas Panca Bhakti Pontianak.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Ibu Wilda Sari S.E., M.Ak. selaku Dosen Pembimbing Akademik.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Segenap dosen pengajar dan staf di Fakultas Ekonomi dan Bisnis Universitas Panca Bhakti.</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Kedua orang tua yang telah memberikan dukungan dan doa dalam penyusunan makalah seminar ini.</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Teman-teman yang telah membantu dalam penyusunan makalah seminar ini.</w:t>
      </w:r>
    </w:p>
    <w:p>
      <w:pPr>
        <w:spacing w:after="0" w:before="0" w:line="360"/>
      </w:pPr>
      <w:r>
        <w:t xml:space="preserve"/>
      </w:r>
    </w:p>
    <w:p>
      <w:pPr>
        <w:spacing w:after="0" w:before="0" w:line="480"/>
        <w:ind w:firstLine="709"/>
        <w:jc w:val="both"/>
      </w:pPr>
      <w:r>
        <w:rPr>
          <w:rFonts w:ascii="Times New Roman" w:cs="Times New Roman" w:eastAsia="Times New Roman" w:hAnsi="Times New Roman"/>
          <w:sz w:val="24"/>
          <w:szCs w:val="24"/>
        </w:rPr>
        <w:t xml:space="preserve">Kiranya jasa mulia yang diberikan kepada peneliti selama ini akan mendapat balasan yang setimpal dari Allah Yang Maha Kuasa. Harapan peneliti semoga makalah seminar ini dapat bermanfaat bagi kita semua.</w:t>
      </w:r>
    </w:p>
    <w:p>
      <w:pPr>
        <w:spacing w:after="0" w:before="0" w:line="360"/>
      </w:pPr>
      <w:r>
        <w:t xml:space="preserve"/>
      </w:r>
    </w:p>
    <w:p>
      <w:pPr>
        <w:spacing w:after="0" w:before="0" w:line="480"/>
        <w:jc w:val="right"/>
      </w:pPr>
      <w:r>
        <w:rPr>
          <w:rFonts w:ascii="Times New Roman" w:cs="Times New Roman" w:eastAsia="Times New Roman" w:hAnsi="Times New Roman"/>
          <w:sz w:val="24"/>
          <w:szCs w:val="24"/>
        </w:rPr>
        <w:t xml:space="preserve">Pontianak, 4 Juni 2026</w:t>
      </w:r>
    </w:p>
    <w:p>
      <w:pPr>
        <w:spacing w:after="0" w:before="0" w:line="480"/>
        <w:jc w:val="right"/>
      </w:pPr>
      <w:r>
        <w:rPr>
          <w:rFonts w:ascii="Times New Roman" w:cs="Times New Roman" w:eastAsia="Times New Roman" w:hAnsi="Times New Roman"/>
          <w:sz w:val="24"/>
          <w:szCs w:val="24"/>
        </w:rPr>
        <w:t xml:space="preserve">Peneliti,</w:t>
      </w:r>
    </w:p>
    <w:p>
      <w:pPr>
        <w:spacing w:after="0" w:before="0" w:line="360"/>
      </w:pPr>
      <w:r>
        <w:t xml:space="preserve"/>
      </w:r>
    </w:p>
    <w:p>
      <w:pPr>
        <w:spacing w:after="0" w:before="0" w:line="360"/>
      </w:pPr>
      <w:r>
        <w:t xml:space="preserve"/>
      </w:r>
    </w:p>
    <w:p>
      <w:pPr>
        <w:spacing w:after="0" w:before="0" w:line="360"/>
      </w:pPr>
      <w:r>
        <w:t xml:space="preserve"/>
      </w:r>
    </w:p>
    <w:p>
      <w:pPr>
        <w:spacing w:after="0" w:before="0" w:line="480"/>
        <w:jc w:val="right"/>
      </w:pPr>
      <w:r>
        <w:rPr>
          <w:rFonts w:ascii="Times New Roman" w:cs="Times New Roman" w:eastAsia="Times New Roman" w:hAnsi="Times New Roman"/>
          <w:b/>
          <w:bCs/>
          <w:sz w:val="24"/>
          <w:szCs w:val="24"/>
        </w:rPr>
        <w:t xml:space="preserve">AJIE BARIANDONO</w:t>
      </w:r>
    </w:p>
    <w:p>
      <w:pPr>
        <w:sectPr>
          <w:footerReference w:type="default" r:id="rId8"/>
          <w:pgSz w:w="11906" w:h="16838" w:orient="portrait"/>
          <w:pgMar w:top="2268" w:right="1701" w:bottom="1701" w:left="2268" w:header="708" w:footer="708" w:gutter="0"/>
          <w:pgNumType w:fmt="lowerRoman"/>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DAFTAR ISI</w:t>
      </w:r>
    </w:p>
    <w:p>
      <w:pPr>
        <w:spacing w:after="0" w:before="0" w:line="360"/>
      </w:pPr>
      <w:r>
        <w:t xml:space="preserve"/>
      </w:r>
    </w:p>
    <w:sdt>
      <w:sdtPr>
        <w:alias w:val="Daftar Isi"/>
      </w:sdtPr>
      <w:sdtContent>
        <w:p>
          <w:r>
            <w:fldChar w:fldCharType="begin" w:dirty="true"/>
            <w:instrText xml:space="preserve">TOC \h \o "1-2"</w:instrText>
            <w:fldChar w:fldCharType="separate"/>
          </w:r>
        </w:p>
        <w:p>
          <w:r>
            <w:fldChar w:fldCharType="end"/>
          </w:r>
        </w:p>
      </w:sdtContent>
    </w:sdt>
    <w:p>
      <w:pPr>
        <w:sectPr>
          <w:footerReference w:type="default" r:id="rId9"/>
          <w:pgSz w:w="11906" w:h="16838" w:orient="portrait"/>
          <w:pgMar w:top="2268" w:right="1701" w:bottom="1701" w:left="2268" w:header="708" w:footer="708" w:gutter="0"/>
          <w:pgNumType w:fmt="lowerRoman"/>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BAB I</w:t>
      </w:r>
      <w:r>
        <w:rPr>
          <w:rFonts w:ascii="Times New Roman" w:cs="Times New Roman" w:eastAsia="Times New Roman" w:hAnsi="Times New Roman"/>
          <w:b/>
          <w:bCs/>
          <w:sz w:val="24"/>
          <w:szCs w:val="24"/>
        </w:rPr>
        <w:br/>
        <w:t xml:space="preserve">PENDAHULUAN</w:t>
      </w:r>
    </w:p>
    <w:p>
      <w:pPr>
        <w:pStyle w:val="Heading2"/>
        <w:spacing w:after="160" w:before="240" w:line="480"/>
        <w:jc w:val="left"/>
      </w:pPr>
      <w:r>
        <w:rPr>
          <w:rFonts w:ascii="Times New Roman" w:cs="Times New Roman" w:eastAsia="Times New Roman" w:hAnsi="Times New Roman"/>
          <w:b/>
          <w:bCs/>
          <w:sz w:val="24"/>
          <w:szCs w:val="24"/>
        </w:rPr>
        <w:t xml:space="preserve">1.1 Latar Belakang</w:t>
      </w:r>
    </w:p>
    <w:p>
      <w:pPr>
        <w:spacing w:after="0" w:before="0" w:line="480"/>
        <w:ind w:firstLine="709"/>
        <w:jc w:val="both"/>
      </w:pPr>
      <w:r>
        <w:rPr>
          <w:rFonts w:ascii="Times New Roman" w:cs="Times New Roman" w:eastAsia="Times New Roman" w:hAnsi="Times New Roman"/>
          <w:sz w:val="24"/>
          <w:szCs w:val="24"/>
        </w:rPr>
        <w:t xml:space="preserve">Pengelolaan keuangan negara merupakan instrumen krusial dalam mewujudkan tujuan bernegara. Undang-Undang Nomor 17 Tahun 2003 tentang Keuangan Negara menegaskan bahwa keuangan negara harus dikelola secara tertib, taat pada peraturan perundang-undangan, efisien, ekonomis, efektif, transparan, dan bertanggung jawab dengan memperhatikan rasa keadilan dan kepatutan. </w:t>
      </w:r>
      <w:r>
        <w:rPr>
          <w:rFonts w:ascii="Times New Roman" w:cs="Times New Roman" w:eastAsia="Times New Roman" w:hAnsi="Times New Roman"/>
          <w:b/>
          <w:bCs/>
          <w:sz w:val="24"/>
          <w:szCs w:val="24"/>
        </w:rPr>
        <w:t xml:space="preserve">Ketujuh prinsip tersebut tidak bersifat opsional, melainkan merupakan standar minimum yang harus dipenuhi oleh setiap entitas pemerintah dalam mengelola sumber daya publik yang dipercayakan kepadanya</w:t>
      </w:r>
      <w:r>
        <w:rPr>
          <w:rFonts w:ascii="Times New Roman" w:cs="Times New Roman" w:eastAsia="Times New Roman" w:hAnsi="Times New Roman"/>
          <w:sz w:val="24"/>
          <w:szCs w:val="24"/>
        </w:rPr>
        <w:t xml:space="preserve"> (Undang-Undang Nomor 17 Tahun 2003).</w:t>
      </w:r>
    </w:p>
    <w:p>
      <w:pPr>
        <w:spacing w:after="0" w:before="0" w:line="480"/>
        <w:ind w:firstLine="709"/>
        <w:jc w:val="both"/>
      </w:pPr>
      <w:r>
        <w:rPr>
          <w:rFonts w:ascii="Times New Roman" w:cs="Times New Roman" w:eastAsia="Times New Roman" w:hAnsi="Times New Roman"/>
          <w:sz w:val="24"/>
          <w:szCs w:val="24"/>
        </w:rPr>
        <w:t xml:space="preserve">Instrumen utama dalam pengelolaan keuangan negara adalah Anggaran Pendapatan dan Belanja Negara (APBN). Sebagaimana diuraikan oleh Mardiasmo (2018, hlm. xx), APBN berfungsi tidak hanya sebagai rencana keuangan tahunan pemerintah, tetapi juga sebagai instrumen fiskal multifungsi yang mencakup fungsi perencanaan, pengendalian, koordinasi, distribusi, dan stabilisasi ekonomi nasional. Dalam posisinya sebagai instrumen fiskal, APBN mencerminkan prioritas dan komitmen pemerintah terhadap program-program pembangunan yang telah ditetapkan. Oleh karena itu, kualitas pelaksanaan APBN, mulai dari perencanaan, pencairan, hingga pertanggungjawaban, memiliki konsekuensi langsung terhadap capaian tujuan pembangunan nasional.</w:t>
      </w:r>
    </w:p>
    <w:p>
      <w:pPr>
        <w:spacing w:after="0" w:before="0" w:line="480"/>
        <w:ind w:firstLine="709"/>
        <w:jc w:val="both"/>
      </w:pPr>
      <w:r>
        <w:rPr>
          <w:rFonts w:ascii="Times New Roman" w:cs="Times New Roman" w:eastAsia="Times New Roman" w:hAnsi="Times New Roman"/>
          <w:sz w:val="24"/>
          <w:szCs w:val="24"/>
        </w:rPr>
        <w:t xml:space="preserve">Secara operasional, APBN dilaksanakan oleh K/L melalui mekanisme Daftar Isian Pelaksanaan Anggaran (DIPA). Tata cara pelaksanaan anggaran K/L diatur dalam Peraturan Pemerintah Nomor 45 Tahun 2013 jo. Peraturan Pemerintah Nomor 50 Tahun 2018, yang mengatur siklus mulai dari pencairan dana, penatausahaan, hingga pelaporan realisasi. Tata cara pelaksanaan anggaran ini diperjelas dan disempurnakan melalui Peraturan Menteri Keuangan Nomor 62 Tahun 2023 tentang Perencanaan Anggaran, Pelaksanaan Anggaran, serta Akuntansi dan Pelaporan Keuangan pada Kementerian Negara/Lembaga, yang mengatur tiga jenis belanja utama yakni Belanja Pegawai, Belanja Barang, dan Belanja Modal, dengan mekanisme khusus pada Belanja Modal yang mengacu pada Peraturan Presiden Nomor 16 Tahun 2018 sebagaimana telah diubah dengan Peraturan Presiden Nomor 12 Tahun 2021 tentang Pengadaan Barang/Jasa Pemerintah. Setiap satker yang menerima DIPA berkewajiban untuk menyusun Rencana Penarikan Dana (RPD) bulanan, yang tertuang dalam Halaman III DIPA, sebagai peta jalan pencairan anggaran sepanjang tahun. </w:t>
      </w:r>
      <w:r>
        <w:rPr>
          <w:rFonts w:ascii="Times New Roman" w:cs="Times New Roman" w:eastAsia="Times New Roman" w:hAnsi="Times New Roman"/>
          <w:b/>
          <w:bCs/>
          <w:sz w:val="24"/>
          <w:szCs w:val="24"/>
        </w:rPr>
        <w:t xml:space="preserve">RPD bulanan ini bukan sekadar formalitas administratif, melainkan merupakan instrumen perencanaan kas yang memungkinkan pemerintah mengalokasikan likuiditas secara tepat waktu dan tepat jumlah kepada seluruh satker di seluruh Indonesia.</w:t>
      </w:r>
    </w:p>
    <w:p>
      <w:pPr>
        <w:spacing w:after="0" w:before="0" w:line="480"/>
        <w:ind w:firstLine="709"/>
        <w:jc w:val="both"/>
      </w:pPr>
      <w:r>
        <w:rPr>
          <w:rFonts w:ascii="Times New Roman" w:cs="Times New Roman" w:eastAsia="Times New Roman" w:hAnsi="Times New Roman"/>
          <w:sz w:val="24"/>
          <w:szCs w:val="24"/>
        </w:rPr>
        <w:t xml:space="preserve">Rumah Detensi Imigrasi (Rudenim) Pontianak, sebagai Unit Pelaksana Teknis (UPT) di bawah Direktorat Jenderal Imigrasi, merupakan salah satu satker pengelola DIPA yang wajib menerapkan ketujuh prinsip pengelolaan keuangan negara tersebut. Berdasarkan Undang-Undang Nomor 6 Tahun 2011 tentang Keimigrasian dan Peraturan Menteri Hukum dan Hak Asasi Manusia Nomor M.HH-11.OT.01.01 Tahun 2009 tentang Organisasi dan Tata Kerja Rumah Detensi Imigrasi, Rudenim bertugas menampung sementara orang asing yang dikenai Tindakan Administratif Keimigrasian (TAK), seperti deportasi dan pengawasan keimigrasian. Rudenim Pontianak berkedudukan di Kalimantan Barat, provinsi yang berbatasan langsung dengan Malaysia, sehingga memiliki karakteristik dinamika kependudukan asing yang memengaruhi volume dan pola pengeluaran anggarannya secara nyata, khususnya pada kebutuhan fasilitas penampungan dan sarana pendukung operasional (Belanja Modal). Secara kelembagaan, pada TA 2023 dan 2024 satker ini berada di bawah Kementerian Hukum dan Hak Asasi Manusia (kode satker 664650), kemudian beralih ke Kementerian Imigrasi dan Pemasyarakatan (kode satker 692965) pada TA 2025 seiring pembentukan kementerian baru berdasarkan Peraturan Presiden Nomor 139 Tahun 2024.</w:t>
      </w:r>
    </w:p>
    <w:p>
      <w:pPr>
        <w:spacing w:after="0" w:before="0" w:line="480"/>
        <w:ind w:firstLine="709"/>
        <w:jc w:val="both"/>
      </w:pPr>
      <w:r>
        <w:rPr>
          <w:rFonts w:ascii="Times New Roman" w:cs="Times New Roman" w:eastAsia="Times New Roman" w:hAnsi="Times New Roman"/>
          <w:sz w:val="24"/>
          <w:szCs w:val="24"/>
        </w:rPr>
        <w:t xml:space="preserve">Untuk memastikan bahwa pelaksanaan APBN oleh seluruh K/L memenuhi standar kualitas yang ditetapkan, pemerintah mengembangkan Indikator Kinerja Pelaksanaan Anggaran (IKPA) sebagai instrumen evaluasi komprehensif. Berdasarkan Peraturan Menteri Keuangan Nomor 62 Tahun 2023 dan Peraturan Direktur Jenderal Perbendaharaan Nomor PER-5/PB/2024 sebagai petunjuk teknis terbaru, IKPA mengukur kinerja pelaksanaan anggaran K/L melalui tiga aspek utama, yaitu Kualitas Perencanaan, Kualitas Pelaksanaan, dan Kualitas Hasil, yang dijabarkan ke dalam tujuh indikator dengan bobot masing-masing sebagaimana disajikan pada Tabel 1.1.</w:t>
      </w:r>
    </w:p>
    <w:p>
      <w:pPr>
        <w:spacing w:after="80" w:before="240" w:line="480"/>
        <w:jc w:val="center"/>
      </w:pPr>
      <w:r>
        <w:rPr>
          <w:rFonts w:ascii="Times New Roman" w:cs="Times New Roman" w:eastAsia="Times New Roman" w:hAnsi="Times New Roman"/>
          <w:b/>
          <w:bCs/>
          <w:sz w:val="24"/>
          <w:szCs w:val="24"/>
        </w:rPr>
        <w:t xml:space="preserve">Tabel 1.1 Indikator dan Bobot Penilaian IKPA Berdasarkan PER-5/PB/2024</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5"/>
      </w:tblGrid>
      <w:tr>
        <w:tc>
          <w:tcPr>
            <w:tcW w:type="dxa" w:w="1984"/>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1984"/>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Aspek</w:t>
            </w:r>
          </w:p>
        </w:tc>
        <w:tc>
          <w:tcPr>
            <w:tcW w:type="dxa" w:w="1984"/>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Indikator</w:t>
            </w:r>
          </w:p>
        </w:tc>
        <w:tc>
          <w:tcPr>
            <w:tcW w:type="dxa" w:w="1985"/>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Bobot</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Perencanaan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Revisi DIPA</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Perencanaan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Deviasi Halaman III DIPA</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Penyerapan Anggaran</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30%</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Belanja Kontraktual</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Penyelesaian Tagihan</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Pengelolaan Uang Persediaan</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Hasil</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Capaian Output</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984"/>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Total</w:t>
            </w:r>
          </w:p>
        </w:tc>
        <w:tc>
          <w:tcPr>
            <w:tcW w:type="dxa" w:w="1984"/>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985"/>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w:t>
            </w:r>
          </w:p>
        </w:tc>
      </w:tr>
    </w:tbl>
    <w:p>
      <w:pPr>
        <w:spacing w:after="240" w:before="80" w:line="480"/>
        <w:jc w:val="left"/>
      </w:pPr>
      <w:r>
        <w:rPr>
          <w:rFonts w:ascii="Times New Roman" w:cs="Times New Roman" w:eastAsia="Times New Roman" w:hAnsi="Times New Roman"/>
          <w:i/>
          <w:iCs/>
          <w:sz w:val="22"/>
          <w:szCs w:val="22"/>
        </w:rPr>
        <w:t xml:space="preserve">Sumber: Peraturan Direktur Jenderal Perbendaharaan Nomor PER-5/PB/2024</w:t>
      </w:r>
    </w:p>
    <w:p>
      <w:pPr>
        <w:spacing w:after="0" w:before="0" w:line="480"/>
        <w:ind w:firstLine="709"/>
        <w:jc w:val="both"/>
      </w:pPr>
      <w:r>
        <w:rPr>
          <w:rFonts w:ascii="Times New Roman" w:cs="Times New Roman" w:eastAsia="Times New Roman" w:hAnsi="Times New Roman"/>
          <w:sz w:val="24"/>
          <w:szCs w:val="24"/>
        </w:rPr>
        <w:t xml:space="preserve">Kategorisasi nilai IKPA yang menjadi rujukan bagi KPPN dan Kanwil DJPb dalam pembinaan satker (PER-5/PB/2024) adalah sebagai berikut:</w:t>
      </w:r>
    </w:p>
    <w:p>
      <w:pPr>
        <w:spacing w:after="80" w:before="240" w:line="480"/>
        <w:jc w:val="center"/>
      </w:pPr>
      <w:r>
        <w:rPr>
          <w:rFonts w:ascii="Times New Roman" w:cs="Times New Roman" w:eastAsia="Times New Roman" w:hAnsi="Times New Roman"/>
          <w:b/>
          <w:bCs/>
          <w:sz w:val="24"/>
          <w:szCs w:val="24"/>
        </w:rPr>
        <w:t xml:space="preserve">Tabel 1.2 Kategorisasi Nilai IKPA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9"/>
      </w:tblGrid>
      <w:tr>
        <w:tc>
          <w:tcPr>
            <w:tcW w:type="dxa" w:w="3968"/>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Kategori</w:t>
            </w:r>
          </w:p>
        </w:tc>
        <w:tc>
          <w:tcPr>
            <w:tcW w:type="dxa" w:w="3969"/>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Nilai IKPA</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Sangat Baik</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95</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Baik</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89 – 94</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Cukup</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70 – 88</w:t>
            </w:r>
          </w:p>
        </w:tc>
      </w:tr>
      <w:tr>
        <w:tc>
          <w:tcPr>
            <w:tcW w:type="dxa" w:w="3968"/>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Kurang</w:t>
            </w:r>
          </w:p>
        </w:tc>
        <w:tc>
          <w:tcPr>
            <w:tcW w:type="dxa" w:w="3969"/>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&lt; 70</w:t>
            </w:r>
          </w:p>
        </w:tc>
      </w:tr>
    </w:tbl>
    <w:p>
      <w:pPr>
        <w:spacing w:after="240" w:before="80" w:line="480"/>
        <w:jc w:val="left"/>
      </w:pPr>
      <w:r>
        <w:rPr>
          <w:rFonts w:ascii="Times New Roman" w:cs="Times New Roman" w:eastAsia="Times New Roman" w:hAnsi="Times New Roman"/>
          <w:i/>
          <w:iCs/>
          <w:sz w:val="22"/>
          <w:szCs w:val="22"/>
        </w:rPr>
        <w:t xml:space="preserve">Sumber: PER-5/PB/2024</w:t>
      </w:r>
    </w:p>
    <w:p>
      <w:pPr>
        <w:spacing w:after="0" w:before="0" w:line="480"/>
        <w:ind w:firstLine="709"/>
        <w:jc w:val="both"/>
      </w:pPr>
      <w:r>
        <w:rPr>
          <w:rFonts w:ascii="Times New Roman" w:cs="Times New Roman" w:eastAsia="Times New Roman" w:hAnsi="Times New Roman"/>
          <w:sz w:val="24"/>
          <w:szCs w:val="24"/>
        </w:rPr>
        <w:t xml:space="preserve">Lebih dari sekadar instrumen penilaian, IKPA berfungsi sebagai mekanisme akuntabilitas yang mendorong satker untuk meningkatkan kualitas perencanaan dan pelaksanaan anggaran secara berkelanjutan, selaras dengan prinsip-prinsip pengelolaan keuangan negara yang diamanatkan oleh Undang-Undang Nomor 17 Tahun 2003.</w:t>
      </w:r>
    </w:p>
    <w:p>
      <w:pPr>
        <w:spacing w:after="0" w:before="0" w:line="480"/>
        <w:ind w:firstLine="709"/>
        <w:jc w:val="both"/>
      </w:pPr>
      <w:r>
        <w:rPr>
          <w:rFonts w:ascii="Times New Roman" w:cs="Times New Roman" w:eastAsia="Times New Roman" w:hAnsi="Times New Roman"/>
          <w:sz w:val="24"/>
          <w:szCs w:val="24"/>
        </w:rPr>
        <w:t xml:space="preserve">Di antara tujuh indikator IKPA, Deviasi Halaman III DIPA mengukur selisih antara Rencana Penarikan Dana (RPD) bulanan yang telah disusun dalam Halaman III DIPA dengan realisasi anggaran aktual pada bulan bersangkutan. Deviasi ini berdampak tidak hanya pada tingkat satker, tetapi juga pada manajemen kas Bendahara Umum Negara (BUN) secara makro, karena ketidakakuratan RPD dapat menciptakan penumpukan dana tidak terpakai atau kekurangan dana mendadak yang mengganggu kontinuitas pelaksanaan program pemerintah. </w:t>
      </w:r>
      <w:r>
        <w:rPr>
          <w:rFonts w:ascii="Times New Roman" w:cs="Times New Roman" w:eastAsia="Times New Roman" w:hAnsi="Times New Roman"/>
          <w:b/>
          <w:bCs/>
          <w:sz w:val="24"/>
          <w:szCs w:val="24"/>
        </w:rPr>
        <w:t xml:space="preserve">Salah satu pola yang secara persisten menjadi permasalahan di berbagai satker K/L adalah deviasi antara rencana dan realisasi penarikan dana, dan permasalahan ini terutama mengemuka pada Belanja Modal karena karakteristiknya yang kontraktual dan melibatkan multi-pihak dalam proses pengadaan barang/jasa pemerintah.</w:t>
      </w:r>
    </w:p>
    <w:p>
      <w:pPr>
        <w:spacing w:after="0" w:before="0" w:line="480"/>
        <w:ind w:firstLine="709"/>
        <w:jc w:val="both"/>
      </w:pPr>
      <w:r>
        <w:rPr>
          <w:rFonts w:ascii="Times New Roman" w:cs="Times New Roman" w:eastAsia="Times New Roman" w:hAnsi="Times New Roman"/>
          <w:sz w:val="24"/>
          <w:szCs w:val="24"/>
        </w:rPr>
        <w:t xml:space="preserve">Fakta empiris di lapangan mengonfirmasi bahwa deviasi Halaman III DIPA merupakan persoalan yang belum berhasil ditangani secara tuntas oleh mayoritas satker. Data yang diterbitkan oleh Direktorat Jenderal Perbendaharaan (2025) menunjukkan bahwa indikator deviasi Halaman III DIPA secara konsisten menjadi capaian terendah di antara indikator-indikator IKPA pada berbagai satker kementerian/lembaga. Pola ini berlangsung berulang dari tahun ke tahun, mengindikasikan bahwa akar permasalahannya bersifat struktural dan tidak dapat diselesaikan hanya melalui penyesuaian teknis semata.</w:t>
      </w:r>
    </w:p>
    <w:p>
      <w:pPr>
        <w:spacing w:after="0" w:before="0" w:line="480"/>
        <w:ind w:firstLine="709"/>
        <w:jc w:val="both"/>
      </w:pPr>
      <w:r>
        <w:rPr>
          <w:rFonts w:ascii="Times New Roman" w:cs="Times New Roman" w:eastAsia="Times New Roman" w:hAnsi="Times New Roman"/>
          <w:sz w:val="24"/>
          <w:szCs w:val="24"/>
        </w:rPr>
        <w:t xml:space="preserve">Temuan serupa juga diperoleh di wilayah lain di Indonesia. Sholawatunnisa dan Supriyanto (2025) dalam kajian mereka terhadap satker-satker di Kanwil DJPb Nusa Tenggara Barat menemukan pola yang identik: indikator Deviasi Halaman III DIPA secara konsisten menempati posisi terbawah dibandingkan indikator IKPA lainnya. Konsistensi pola ini di berbagai wilayah yang berbeda mengindikasikan bahwa problematika deviasi RPD merupakan fenomena sistemik lintas K/L dan lintas wilayah, bukan permasalahan lokal yang berdiri sendiri. Lebih lanjut, Hanafi dan Wulandari (2023) mengidentifikasi bahwa satker-satker yang bergerak di bidang penegakan hukum cenderung menunjukkan kelemahan yang lebih menonjol pada indikator Deviasi Halaman III DIPA dibandingkan satker di bidang lain, sebuah temuan yang memiliki relevansi langsung dengan karakteristik Rudenim sebagai satker penegakan keimigrasian.</w:t>
      </w:r>
    </w:p>
    <w:p>
      <w:pPr>
        <w:spacing w:after="0" w:before="0" w:line="480"/>
        <w:ind w:firstLine="709"/>
        <w:jc w:val="both"/>
      </w:pPr>
      <w:r>
        <w:rPr>
          <w:rFonts w:ascii="Times New Roman" w:cs="Times New Roman" w:eastAsia="Times New Roman" w:hAnsi="Times New Roman"/>
          <w:b/>
          <w:bCs/>
          <w:sz w:val="24"/>
          <w:szCs w:val="24"/>
        </w:rPr>
        <w:t xml:space="preserve">Komposisi Belanja Modal pada Rudenim Pontianak meningkat secara tajam mencapai 65,92% dari total pagu DIPA pada Tahun Anggaran 2025 (lihat Tabel 1.3), menjadikan Belanja Modal sebagai komponen dominan dan paling material dalam pelaksanaan anggaran satker pada periode tersebut.</w:t>
      </w:r>
      <w:r>
        <w:rPr>
          <w:rFonts w:ascii="Times New Roman" w:cs="Times New Roman" w:eastAsia="Times New Roman" w:hAnsi="Times New Roman"/>
          <w:sz w:val="24"/>
          <w:szCs w:val="24"/>
        </w:rPr>
        <w:t xml:space="preserve"> Pergeseran komposisi ini menuntut kapasitas perencanaan dan pelaksanaan yang berbeda dibanding Belanja Pegawai dan Belanja Barang, karena Belanja Modal melibatkan proses pengadaan kontraktual, pekerjaan fisik multi-termin, dan koordinasi dengan penyedia barang/jasa eksternal.</w:t>
      </w:r>
    </w:p>
    <w:p>
      <w:pPr>
        <w:spacing w:after="0" w:before="0" w:line="480"/>
        <w:ind w:firstLine="709"/>
        <w:jc w:val="both"/>
      </w:pPr>
      <w:r>
        <w:rPr>
          <w:rFonts w:ascii="Times New Roman" w:cs="Times New Roman" w:eastAsia="Times New Roman" w:hAnsi="Times New Roman"/>
          <w:sz w:val="24"/>
          <w:szCs w:val="24"/>
        </w:rPr>
        <w:t xml:space="preserve">Fenomena deviasi tersebut nyata terjadi pada objek penelitian ini. Sebagaimana disajikan pada Tabel 1.3, rata-rata deviasi Belanja Modal Rudenim Pontianak mencapai 20,16% pada TA 2023 dan meningkat menjadi 28,77% pada TA 2024, sehingga nilai indikator Deviasi Halaman III DIPA satker turun ke kategori Cukup (88,31). </w:t>
      </w:r>
      <w:r>
        <w:rPr>
          <w:rFonts w:ascii="Times New Roman" w:cs="Times New Roman" w:eastAsia="Times New Roman" w:hAnsi="Times New Roman"/>
          <w:b/>
          <w:bCs/>
          <w:sz w:val="24"/>
          <w:szCs w:val="24"/>
        </w:rPr>
        <w:t xml:space="preserve">Kondisi ini mengalami perbaikan yang substansial pada TA 2025 dengan rata-rata deviasi 5,41%, namun justru perbaikan drastis tersebut memperkuat relevansi pertanyaan penelitian: faktor apa yang menyebabkan deviasi tinggi pada periode sebelumnya dan mekanisme apa yang mengubahnya — pertanyaan yang belum dapat dijawab secara memadai melalui data agregat semata dan memerlukan eksplorasi kualitatif.</w:t>
      </w:r>
    </w:p>
    <w:p>
      <w:pPr>
        <w:spacing w:after="80" w:before="240" w:line="480"/>
        <w:jc w:val="center"/>
      </w:pPr>
      <w:r>
        <w:rPr>
          <w:rFonts w:ascii="Times New Roman" w:cs="Times New Roman" w:eastAsia="Times New Roman" w:hAnsi="Times New Roman"/>
          <w:b/>
          <w:bCs/>
          <w:sz w:val="24"/>
          <w:szCs w:val="24"/>
        </w:rPr>
        <w:t xml:space="preserve">Tabel 1.3 Deviasi Halaman III DIPA Belanja Modal Rudenim Pontianak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7"/>
      </w:tblGrid>
      <w:tr>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Proporsi Pagu Belanja Modal (%) (a)</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Realisasi Belanja Modal (Rp)</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Rata-rata Deviasi Bulanan (%) (b)</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Nilai Indikator Deviasi Hal. III (c)</w:t>
            </w:r>
          </w:p>
        </w:tc>
        <w:tc>
          <w:tcPr>
            <w:tcW w:type="dxa" w:w="132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Kategori</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11,50</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362.282.510</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20,16</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89,80</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Baik</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27,87</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3.372.224.900</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28,77</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88,31</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Cukup</w:t>
            </w:r>
          </w:p>
        </w:tc>
      </w:tr>
      <w:tr>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65,92</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6.567.577.362</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5,41</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c>
          <w:tcPr>
            <w:tcW w:type="dxa" w:w="132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Sangat Baik</w:t>
            </w:r>
          </w:p>
        </w:tc>
      </w:tr>
    </w:tbl>
    <w:p>
      <w:pPr>
        <w:spacing w:after="0" w:before="0" w:line="480"/>
        <w:ind w:firstLine="709"/>
        <w:jc w:val="both"/>
      </w:pPr>
      <w:r>
        <w:rPr>
          <w:rFonts w:ascii="Times New Roman" w:cs="Times New Roman" w:eastAsia="Times New Roman" w:hAnsi="Times New Roman"/>
          <w:sz w:val="24"/>
          <w:szCs w:val="24"/>
        </w:rPr>
        <w:t xml:space="preserve">(a) Rata-rata proporsi pagu Belanja Modal terhadap total pagu DIPA. (b) Rata-rata deviasi bulanan |RPD − Realisasi|/RPD Belanja Modal, sesuai basis perhitungan PER-5/PB/2024 Pasal 7. (c) Nilai akhir tahun, seluruh jenis belanja.</w:t>
      </w:r>
    </w:p>
    <w:p>
      <w:pPr>
        <w:spacing w:after="240" w:before="80" w:line="480"/>
        <w:jc w:val="left"/>
      </w:pPr>
      <w:r>
        <w:rPr>
          <w:rFonts w:ascii="Times New Roman" w:cs="Times New Roman" w:eastAsia="Times New Roman" w:hAnsi="Times New Roman"/>
          <w:i/>
          <w:iCs/>
          <w:sz w:val="22"/>
          <w:szCs w:val="22"/>
        </w:rPr>
        <w:t xml:space="preserve">Sumber: OM-SPAN/MEBE (Monitoring and Evaluation of Budget Execution), diolah peneliti (2026).</w:t>
      </w:r>
    </w:p>
    <w:p>
      <w:pPr>
        <w:spacing w:after="0" w:before="0" w:line="480"/>
        <w:ind w:firstLine="709"/>
        <w:jc w:val="both"/>
      </w:pPr>
      <w:r>
        <w:rPr>
          <w:rFonts w:ascii="Times New Roman" w:cs="Times New Roman" w:eastAsia="Times New Roman" w:hAnsi="Times New Roman"/>
          <w:sz w:val="24"/>
          <w:szCs w:val="24"/>
        </w:rPr>
        <w:t xml:space="preserve">Pola deviasi tersebut terkonsentrasi pada bulan-bulan kritis tertentu sebagaimana disajikan pada Tabel 1.4. Pada TA 2024, rencana penarikan dana Belanja Modal sebesar Rp700 juta pada bulan Maret, Rp1,79 miliar pada bulan Agustus, dan Rp194,5 juta pada bulan September </w:t>
      </w:r>
      <w:r>
        <w:rPr>
          <w:rFonts w:ascii="Times New Roman" w:cs="Times New Roman" w:eastAsia="Times New Roman" w:hAnsi="Times New Roman"/>
          <w:b/>
          <w:bCs/>
          <w:sz w:val="24"/>
          <w:szCs w:val="24"/>
        </w:rPr>
        <w:t xml:space="preserve">tidak terealisasi sepenuhnya</w:t>
      </w:r>
      <w:r>
        <w:rPr>
          <w:rFonts w:ascii="Times New Roman" w:cs="Times New Roman" w:eastAsia="Times New Roman" w:hAnsi="Times New Roman"/>
          <w:sz w:val="24"/>
          <w:szCs w:val="24"/>
        </w:rPr>
        <w:t xml:space="preserve"> pada bulan bersangkutan (deviasi 100%), yang mengindikasikan adanya pergeseran jadwal pengadaan dan pembayaran ke bulan berikutnya.</w:t>
      </w:r>
    </w:p>
    <w:p>
      <w:pPr>
        <w:spacing w:after="80" w:before="240" w:line="480"/>
        <w:jc w:val="center"/>
      </w:pPr>
      <w:r>
        <w:rPr>
          <w:rFonts w:ascii="Times New Roman" w:cs="Times New Roman" w:eastAsia="Times New Roman" w:hAnsi="Times New Roman"/>
          <w:b/>
          <w:bCs/>
          <w:sz w:val="24"/>
          <w:szCs w:val="24"/>
        </w:rPr>
        <w:t xml:space="preserve">Tabel 1.4 Bulan Kritis Deviasi Belanja Modal Rudenim Pontianak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587"/>
        <w:gridCol w:w="1587"/>
        <w:gridCol w:w="1587"/>
        <w:gridCol w:w="1587"/>
        <w:gridCol w:w="1589"/>
      </w:tblGrid>
      <w:tr>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Bulan</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RPD (Rp)</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Realisasi (Rp)</w:t>
            </w:r>
          </w:p>
        </w:tc>
        <w:tc>
          <w:tcPr>
            <w:tcW w:type="dxa" w:w="1589"/>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Deviasi (%)</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222.000.000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November</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274.778.000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17.250.000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93,72</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700.000.000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1.792.439.999</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September</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194.511.000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Juni</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50.000.000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35.587.371</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28,83</w:t>
            </w:r>
          </w:p>
        </w:tc>
      </w:tr>
      <w:tr>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697.466.021</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560.399.255</w:t>
            </w:r>
          </w:p>
        </w:tc>
        <w:tc>
          <w:tcPr>
            <w:tcW w:type="dxa" w:w="1589"/>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19,65</w:t>
            </w:r>
          </w:p>
        </w:tc>
      </w:tr>
    </w:tbl>
    <w:p>
      <w:pPr>
        <w:spacing w:after="240" w:before="80" w:line="480"/>
        <w:jc w:val="left"/>
      </w:pPr>
      <w:r>
        <w:rPr>
          <w:rFonts w:ascii="Times New Roman" w:cs="Times New Roman" w:eastAsia="Times New Roman" w:hAnsi="Times New Roman"/>
          <w:i/>
          <w:iCs/>
          <w:sz w:val="22"/>
          <w:szCs w:val="22"/>
        </w:rPr>
        <w:t xml:space="preserve">Sumber: OM-SPAN/MEBE (Monitoring and Evaluation of Budget Execution), diolah peneliti (2026).</w:t>
      </w:r>
    </w:p>
    <w:p>
      <w:pPr>
        <w:spacing w:after="80" w:before="240" w:line="480"/>
        <w:jc w:val="center"/>
      </w:pPr>
      <w:r>
        <w:rPr>
          <w:rFonts w:ascii="Times New Roman" w:cs="Times New Roman" w:eastAsia="Times New Roman" w:hAnsi="Times New Roman"/>
          <w:b/>
          <w:bCs/>
          <w:sz w:val="24"/>
          <w:szCs w:val="24"/>
        </w:rPr>
        <w:t xml:space="preserve">Tabel 1.5 Contoh Paket Belanja Modal yang Mengalami Pergeseran Realisasi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992"/>
        <w:gridCol w:w="992"/>
        <w:gridCol w:w="992"/>
        <w:gridCol w:w="992"/>
        <w:gridCol w:w="992"/>
        <w:gridCol w:w="992"/>
        <w:gridCol w:w="992"/>
        <w:gridCol w:w="993"/>
      </w:tblGrid>
      <w:tr>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Nama Paket</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Pagu (Rp)</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Bulan RPD</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SP2D Aktual</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Geser (Bln)</w:t>
            </w:r>
          </w:p>
        </w:tc>
        <w:tc>
          <w:tcPr>
            <w:tcW w:type="dxa" w:w="993"/>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Penyebab Utama Pergeseran</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2023</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Pengadaan Perangkat Pengolah Data dan Komunikasi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223.980.000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April</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Masalah administrasi pembayaran tagihan</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2023</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Jasa Pekerjaan Konstruksi Fisik Renovasi Gedung</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191.216.000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November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Desember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Pekerjaan fisik belum selesai sehingga BAST mundur</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2024</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Pembelian Rumah Negara Tipe D (Termin 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2.477.920.000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April</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Perencanaan RPD awal tidak realistis (diplot sebelum siap)</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2024</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Pembelian Rumah Negara Tipe D (Termin II)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2.477.920.000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September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Kondisi fisik objek belum siap serah terima</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2024</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Pengadaan Peralatan dan Fasilitas Perkantoran</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199.274.900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September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Oktober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Keterlambatan kesiapan penyedia untuk TTD kontrak</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2025</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Biaya Pengelolaan Gedung dan Bangunan (Swakelola B53)</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294.944.000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Juni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Juni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Estimasi volume/biaya swakelola terlalu tinggi (shortfall)</w:t>
            </w:r>
          </w:p>
        </w:tc>
      </w:tr>
      <w:tr>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2025</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Jasa Konsultan Manajemen Konstruksi</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505.462.000</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November</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w:t>
            </w:r>
          </w:p>
        </w:tc>
        <w:tc>
          <w:tcPr>
            <w:tcW w:type="dxa" w:w="993"/>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Output/deliverable belum lengkap sehingga termin tertahan</w:t>
            </w:r>
          </w:p>
        </w:tc>
      </w:tr>
    </w:tbl>
    <w:p>
      <w:pPr>
        <w:spacing w:after="240" w:before="80" w:line="480"/>
        <w:jc w:val="left"/>
      </w:pPr>
      <w:r>
        <w:rPr>
          <w:rFonts w:ascii="Times New Roman" w:cs="Times New Roman" w:eastAsia="Times New Roman" w:hAnsi="Times New Roman"/>
          <w:i/>
          <w:iCs/>
          <w:sz w:val="22"/>
          <w:szCs w:val="22"/>
        </w:rPr>
        <w:t xml:space="preserve">Sumber: OM-SPAN/SAKTI, diolah peneliti (2026).</w:t>
      </w:r>
    </w:p>
    <w:p>
      <w:pPr>
        <w:spacing w:after="0" w:before="0" w:line="480"/>
        <w:ind w:firstLine="709"/>
        <w:jc w:val="both"/>
      </w:pPr>
      <w:r>
        <w:rPr>
          <w:rFonts w:ascii="Times New Roman" w:cs="Times New Roman" w:eastAsia="Times New Roman" w:hAnsi="Times New Roman"/>
          <w:sz w:val="24"/>
          <w:szCs w:val="24"/>
        </w:rPr>
        <w:t xml:space="preserve">Di samping dominasi Belanja Modal, Rudenim Pontianak juga menghadapi fluktuasi Belanja Barang akibat ketidakpastian jumlah deteni di wilayah perbatasan, yang turut memengaruhi akurasi penyusunan RPD. </w:t>
      </w:r>
      <w:r>
        <w:rPr>
          <w:rFonts w:ascii="Times New Roman" w:cs="Times New Roman" w:eastAsia="Times New Roman" w:hAnsi="Times New Roman"/>
          <w:b/>
          <w:bCs/>
          <w:sz w:val="24"/>
          <w:szCs w:val="24"/>
        </w:rPr>
        <w:t xml:space="preserve">Untuk memahami dinamika relasi keagenan di balik deviasi tersebut, penelitian ini memanfaatkan </w:t>
      </w:r>
      <w:r>
        <w:rPr>
          <w:rFonts w:ascii="Times New Roman" w:cs="Times New Roman" w:eastAsia="Times New Roman" w:hAnsi="Times New Roman"/>
          <w:b/>
          <w:bCs/>
          <w:i/>
          <w:iCs/>
          <w:sz w:val="24"/>
          <w:szCs w:val="24"/>
        </w:rPr>
        <w:t xml:space="preserve">Agency Theory</w:t>
      </w:r>
      <w:r>
        <w:rPr>
          <w:rFonts w:ascii="Times New Roman" w:cs="Times New Roman" w:eastAsia="Times New Roman" w:hAnsi="Times New Roman"/>
          <w:b/>
          <w:bCs/>
          <w:sz w:val="24"/>
          <w:szCs w:val="24"/>
        </w:rPr>
        <w:t xml:space="preserve"> sebagai lensa analitis sebagaimana diuraikan pada BAB II.</w:t>
      </w:r>
      <w:r>
        <w:rPr>
          <w:rFonts w:ascii="Times New Roman" w:cs="Times New Roman" w:eastAsia="Times New Roman" w:hAnsi="Times New Roman"/>
          <w:sz w:val="24"/>
          <w:szCs w:val="24"/>
        </w:rPr>
        <w:t xml:space="preserve"> Berdasarkan uraian di atas, dapat diidentifikasi tiga indikasi masalah yang melatarbelakangi penelitian ini. Pertama, terjadinya deviasi antara rencana dan penyerapan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tahun 2023–2025. Kedua, perlunya menelaah penyebab terjadinya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tersebut. Ketiga, perlunya menganalisis dampak dari terjadinya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bagi pengelolaan anggaran satker. Penelitian ini berfokus pada pelaksanaan anggaran belanja Rudenim Pontianak periode Tahun Anggaran 2023–2025, dengan penekanan khusus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Kerangka evaluasi merujuk pada PMK 62/2023 sebagai regulasi omnibus pelaksanaan anggaran dan PER-5/PB/2024 sebagai petunjuk teknis penilaian IKPA.</w:t>
      </w:r>
    </w:p>
    <w:p>
      <w:pPr>
        <w:pStyle w:val="Heading2"/>
        <w:spacing w:after="160" w:before="240" w:line="480"/>
        <w:jc w:val="left"/>
      </w:pPr>
      <w:r>
        <w:rPr>
          <w:rFonts w:ascii="Times New Roman" w:cs="Times New Roman" w:eastAsia="Times New Roman" w:hAnsi="Times New Roman"/>
          <w:b/>
          <w:bCs/>
          <w:sz w:val="24"/>
          <w:szCs w:val="24"/>
        </w:rPr>
        <w:t xml:space="preserve">1.2 Rumusan Masalah</w:t>
      </w:r>
    </w:p>
    <w:p>
      <w:pPr>
        <w:spacing w:after="0" w:before="0" w:line="480"/>
        <w:ind w:firstLine="709"/>
        <w:jc w:val="both"/>
      </w:pPr>
      <w:r>
        <w:rPr>
          <w:rFonts w:ascii="Times New Roman" w:cs="Times New Roman" w:eastAsia="Times New Roman" w:hAnsi="Times New Roman"/>
          <w:sz w:val="24"/>
          <w:szCs w:val="24"/>
        </w:rPr>
        <w:t xml:space="preserve">Berdasarkan latar belakang dan indikasi masalah yang telah diuraikan, penelitian ini merumuskan tiga pertanyaan penelitian sebagai berikut:</w:t>
      </w:r>
    </w:p>
    <w:p>
      <w:pPr>
        <w:pStyle w:val="ListParagraph"/>
        <w:numPr>
          <w:ilvl w:val="0"/>
          <w:numId w:val="3"/>
        </w:numPr>
        <w:spacing w:after="0" w:before="0" w:line="480"/>
        <w:ind w:left="720" w:hanging="360"/>
        <w:jc w:val="both"/>
      </w:pPr>
      <w:r>
        <w:rPr>
          <w:rFonts w:ascii="Times New Roman" w:cs="Times New Roman" w:eastAsia="Times New Roman" w:hAnsi="Times New Roman"/>
          <w:sz w:val="24"/>
          <w:szCs w:val="24"/>
        </w:rPr>
        <w:t xml:space="preserve">Bagaimana implementasi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 2023–2025?</w:t>
      </w:r>
    </w:p>
    <w:p>
      <w:pPr>
        <w:pStyle w:val="ListParagraph"/>
        <w:numPr>
          <w:ilvl w:val="0"/>
          <w:numId w:val="3"/>
        </w:numPr>
        <w:spacing w:after="0" w:before="0" w:line="480"/>
        <w:ind w:left="720" w:hanging="360"/>
        <w:jc w:val="both"/>
      </w:pPr>
      <w:r>
        <w:rPr>
          <w:rFonts w:ascii="Times New Roman" w:cs="Times New Roman" w:eastAsia="Times New Roman" w:hAnsi="Times New Roman"/>
          <w:sz w:val="24"/>
          <w:szCs w:val="24"/>
        </w:rPr>
        <w:t xml:space="preserve">Apa faktor-faktor penyebab terjadinya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 2023–2025?</w:t>
      </w:r>
    </w:p>
    <w:p>
      <w:pPr>
        <w:pStyle w:val="ListParagraph"/>
        <w:numPr>
          <w:ilvl w:val="0"/>
          <w:numId w:val="3"/>
        </w:numPr>
        <w:spacing w:after="0" w:before="0" w:line="480"/>
        <w:ind w:left="720" w:hanging="360"/>
        <w:jc w:val="both"/>
      </w:pPr>
      <w:r>
        <w:rPr>
          <w:rFonts w:ascii="Times New Roman" w:cs="Times New Roman" w:eastAsia="Times New Roman" w:hAnsi="Times New Roman"/>
          <w:sz w:val="24"/>
          <w:szCs w:val="24"/>
        </w:rPr>
        <w:t xml:space="preserve">Apa dampak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terhadap kinerja pengelolaan anggaran pada Rumah Detensi Imigrasi Pontianak?</w:t>
      </w:r>
    </w:p>
    <w:p>
      <w:pPr>
        <w:pStyle w:val="Heading2"/>
        <w:spacing w:after="160" w:before="240" w:line="480"/>
        <w:jc w:val="left"/>
      </w:pPr>
      <w:r>
        <w:rPr>
          <w:rFonts w:ascii="Times New Roman" w:cs="Times New Roman" w:eastAsia="Times New Roman" w:hAnsi="Times New Roman"/>
          <w:b/>
          <w:bCs/>
          <w:sz w:val="24"/>
          <w:szCs w:val="24"/>
        </w:rPr>
        <w:t xml:space="preserve">1.3 Tujuan Penelitian</w:t>
      </w:r>
    </w:p>
    <w:p>
      <w:pPr>
        <w:spacing w:after="0" w:before="0" w:line="480"/>
        <w:ind w:firstLine="709"/>
        <w:jc w:val="both"/>
      </w:pPr>
      <w:r>
        <w:rPr>
          <w:rFonts w:ascii="Times New Roman" w:cs="Times New Roman" w:eastAsia="Times New Roman" w:hAnsi="Times New Roman"/>
          <w:sz w:val="24"/>
          <w:szCs w:val="24"/>
        </w:rPr>
        <w:t xml:space="preserve">Berdasarkan rumusan masalah di atas, tujuan penelitian ini adalah:</w:t>
      </w:r>
    </w:p>
    <w:p>
      <w:pPr>
        <w:pStyle w:val="ListParagraph"/>
        <w:numPr>
          <w:ilvl w:val="0"/>
          <w:numId w:val="4"/>
        </w:numPr>
        <w:spacing w:after="0" w:before="0" w:line="480"/>
        <w:ind w:left="720" w:hanging="360"/>
        <w:jc w:val="both"/>
      </w:pPr>
      <w:r>
        <w:rPr>
          <w:rFonts w:ascii="Times New Roman" w:cs="Times New Roman" w:eastAsia="Times New Roman" w:hAnsi="Times New Roman"/>
          <w:sz w:val="24"/>
          <w:szCs w:val="24"/>
        </w:rPr>
        <w:t xml:space="preserve">Mendeskripsikan implementasi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 2023–2025.</w:t>
      </w:r>
    </w:p>
    <w:p>
      <w:pPr>
        <w:pStyle w:val="ListParagraph"/>
        <w:numPr>
          <w:ilvl w:val="0"/>
          <w:numId w:val="4"/>
        </w:numPr>
        <w:spacing w:after="0" w:before="0" w:line="480"/>
        <w:ind w:left="720" w:hanging="360"/>
        <w:jc w:val="both"/>
      </w:pPr>
      <w:r>
        <w:rPr>
          <w:rFonts w:ascii="Times New Roman" w:cs="Times New Roman" w:eastAsia="Times New Roman" w:hAnsi="Times New Roman"/>
          <w:sz w:val="24"/>
          <w:szCs w:val="24"/>
        </w:rPr>
        <w:t xml:space="preserve">Menganalisis faktor-faktor penyebab terjadinya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 2023–2025.</w:t>
      </w:r>
    </w:p>
    <w:p>
      <w:pPr>
        <w:pStyle w:val="ListParagraph"/>
        <w:numPr>
          <w:ilvl w:val="0"/>
          <w:numId w:val="4"/>
        </w:numPr>
        <w:spacing w:after="0" w:before="0" w:line="480"/>
        <w:ind w:left="720" w:hanging="360"/>
        <w:jc w:val="both"/>
      </w:pPr>
      <w:r>
        <w:rPr>
          <w:rFonts w:ascii="Times New Roman" w:cs="Times New Roman" w:eastAsia="Times New Roman" w:hAnsi="Times New Roman"/>
          <w:sz w:val="24"/>
          <w:szCs w:val="24"/>
        </w:rPr>
        <w:t xml:space="preserve">Mengevaluasi dampak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terhadap kinerja pengelolaan anggaran pada Rumah Detensi Imigrasi Pontianak.</w:t>
      </w:r>
    </w:p>
    <w:p>
      <w:pPr>
        <w:pStyle w:val="Heading2"/>
        <w:spacing w:after="160" w:before="240" w:line="480"/>
        <w:jc w:val="left"/>
      </w:pPr>
      <w:r>
        <w:rPr>
          <w:rFonts w:ascii="Times New Roman" w:cs="Times New Roman" w:eastAsia="Times New Roman" w:hAnsi="Times New Roman"/>
          <w:b/>
          <w:bCs/>
          <w:sz w:val="24"/>
          <w:szCs w:val="24"/>
        </w:rPr>
        <w:t xml:space="preserve">1.4 Manfaat Penelitian</w:t>
      </w:r>
    </w:p>
    <w:p>
      <w:pPr>
        <w:pStyle w:val="Heading3"/>
        <w:spacing w:after="160" w:before="240" w:line="480"/>
        <w:jc w:val="left"/>
      </w:pPr>
      <w:r>
        <w:rPr>
          <w:rFonts w:ascii="Times New Roman" w:cs="Times New Roman" w:eastAsia="Times New Roman" w:hAnsi="Times New Roman"/>
          <w:b/>
          <w:bCs/>
          <w:sz w:val="24"/>
          <w:szCs w:val="24"/>
        </w:rPr>
        <w:t xml:space="preserve">1.4.1 Manfaat Teoritis</w:t>
      </w:r>
    </w:p>
    <w:p>
      <w:pPr>
        <w:spacing w:after="0" w:before="0" w:line="480"/>
        <w:ind w:firstLine="709"/>
        <w:jc w:val="both"/>
      </w:pPr>
      <w:r>
        <w:rPr>
          <w:rFonts w:ascii="Times New Roman" w:cs="Times New Roman" w:eastAsia="Times New Roman" w:hAnsi="Times New Roman"/>
          <w:sz w:val="24"/>
          <w:szCs w:val="24"/>
        </w:rPr>
        <w:t xml:space="preserve">Penelitian ini diharapkan memberikan kontribusi pada pengembangan literatur Akuntansi Sektor Publik dan Akuntansi Pemerintahan, khususnya pada subbidang pelaksanaan anggaran belanja modal dan evaluasi kinerja melalui IKPA. Secara konseptual, penelitian ini memperkaya elaborasi penerapan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(Jensen &amp; Meckling, 1976; Lane, 2003) yang dilengkapi dengan kerangka regulasi PMK 62/2023 dan mekanisme pengadaan barang/jasa pemerintah berdasarkan Perpres 16/2018 jo. Perpres 12/2021 dalam konteks satker UPT dengan dominasi Belanja Modal. Konteks ini belum dieksplorasi secara memadai dalam penelitian-penelitian terdahulu yang umumnya berfokus pada IKPA agregat tanpa membedakan per jenis belanja. Selain itu, penelitian ini dapat menjadi rujukan metodologis dan substantif bagi penelitian lanjutan pada satker sejenis, seperti Rumah Tahanan Negara (Rutan), Lembaga Pemasyarakatan (Lapas), atau UPT penegakan hukum lainnya yang memiliki karakteristik dominasi Belanja Modal serupa.</w:t>
      </w:r>
    </w:p>
    <w:p>
      <w:pPr>
        <w:pStyle w:val="Heading3"/>
        <w:spacing w:after="160" w:before="240" w:line="480"/>
        <w:jc w:val="left"/>
      </w:pPr>
      <w:r>
        <w:rPr>
          <w:rFonts w:ascii="Times New Roman" w:cs="Times New Roman" w:eastAsia="Times New Roman" w:hAnsi="Times New Roman"/>
          <w:b/>
          <w:bCs/>
          <w:sz w:val="24"/>
          <w:szCs w:val="24"/>
        </w:rPr>
        <w:t xml:space="preserve">1.4.2 Manfaat Praktis</w:t>
      </w:r>
    </w:p>
    <w:p>
      <w:pPr>
        <w:spacing w:after="0" w:before="0" w:line="480"/>
        <w:ind w:firstLine="709"/>
        <w:jc w:val="both"/>
      </w:pPr>
      <w:r>
        <w:rPr>
          <w:rFonts w:ascii="Times New Roman" w:cs="Times New Roman" w:eastAsia="Times New Roman" w:hAnsi="Times New Roman"/>
          <w:sz w:val="24"/>
          <w:szCs w:val="24"/>
        </w:rPr>
        <w:t xml:space="preserve">Dari sisi praktis, penelitian ini memberikan manfaat bagi berbagai pemangku kepentingan. Bagi Rudenim Pontianak selaku objek penelitian, hasil kajian ini diharapkan menghasilkan rekomendasi konkret untuk meningkatkan kualitas perencanaan dan pelaksanaan anggaran Belanja Modal, memperkuat koordinasi antara Pejabat Pembuat Komitmen (PPK) dengan penyedia barang/jasa, serta menyempurnakan manajemen pengadaan agar lebih selaras dengan siklus kas aktual. Bagi Direktorat Jenderal Imigrasi, penelitian ini dapat menjadi masukan kebijakan dalam pembinaan tata kelola pelaksanaan anggaran Belanja Modal pada UPT detensi imigrasi se-Indonesia. Bagi KPPN Pontianak dan Kanwil DJPb, hasil penelitian ini menyediakan referensi dalam pembinaan satker yang memiliki dominasi Belanja Modal, sehingga pendekatan pembinaan dapat lebih kontekstual dan tepat sasaran. Bagi Direktorat Jenderal Perbendaharaan secara kelembagaan, temuan penelitian ini dapat menjadi bahan pertimbangan dalam penyempurnaan formula IKPA agar lebih mengakomodasi karakteristik pelaksanaan anggaran Belanja Modal yang bersifat kontraktual dan multi-termin.</w:t>
      </w:r>
    </w:p>
    <w:p>
      <w:pPr>
        <w:sectPr>
          <w:headerReference w:type="default" r:id="rId10"/>
          <w:headerReference w:type="first" r:id="rId11"/>
          <w:footerReference w:type="default" r:id="rId12"/>
          <w:footerReference w:type="first" r:id="rId13"/>
          <w:pgSz w:w="11906" w:h="16838" w:orient="portrait"/>
          <w:pgMar w:top="2268" w:right="1701" w:bottom="1701" w:left="2268" w:header="708" w:footer="708" w:gutter="0"/>
          <w:pgNumType w:start="1" w:fmt="decimal"/>
          <w:titlePg/>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BAB II</w:t>
      </w:r>
      <w:r>
        <w:rPr>
          <w:rFonts w:ascii="Times New Roman" w:cs="Times New Roman" w:eastAsia="Times New Roman" w:hAnsi="Times New Roman"/>
          <w:b/>
          <w:bCs/>
          <w:sz w:val="24"/>
          <w:szCs w:val="24"/>
        </w:rPr>
        <w:br/>
        <w:t xml:space="preserve">TINJAUAN PUSTAKA</w:t>
      </w:r>
    </w:p>
    <w:p>
      <w:pPr>
        <w:spacing w:after="0" w:before="0" w:line="480"/>
        <w:ind w:firstLine="709"/>
        <w:jc w:val="both"/>
      </w:pPr>
      <w:r>
        <w:rPr>
          <w:rFonts w:ascii="Times New Roman" w:cs="Times New Roman" w:eastAsia="Times New Roman" w:hAnsi="Times New Roman"/>
          <w:sz w:val="24"/>
          <w:szCs w:val="24"/>
        </w:rPr>
        <w:t xml:space="preserve">Berdasarkan latar belakang dan rumusan masalah yang telah diuraikan pada BAB I, bab ini menyajikan landasan teoretis dan empiris yang menopang penelitian mengenai pelaksanaan anggaran belanja, khususnya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Pembahasan disusun secara berjenjang. Sub-bab 2.1 Landasan Teori menguraikan lima pokok bahasan yang saling melengkapi, yaitu pelaksanaan anggaran belanja negara,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beserta mekanisme pengadaan barang/jasa, konsep deviasi pelaksanaan anggaran,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sebagai lensa analitis, serta Indikator Kinerja Pelaksanaan Anggaran (IKPA) sebagai instrumen evaluasi. Sub-bab 2.2 memetakan ringkasan penelitian terdahulu yang relevan, Sub-bab 2.3 merumuskan proposisi penelitian, dan Sub-bab 2.4 menyajikan kerangka penelitian yang mengintegrasikan keseluruhan landasan tersebut ke dalam alur analisis yang menjawab ketiga rumusan masalah.</w:t>
      </w:r>
    </w:p>
    <w:p>
      <w:pPr>
        <w:pStyle w:val="Heading2"/>
        <w:spacing w:after="160" w:before="240" w:line="480"/>
        <w:jc w:val="left"/>
      </w:pPr>
      <w:r>
        <w:rPr>
          <w:rFonts w:ascii="Times New Roman" w:cs="Times New Roman" w:eastAsia="Times New Roman" w:hAnsi="Times New Roman"/>
          <w:b/>
          <w:bCs/>
          <w:sz w:val="24"/>
          <w:szCs w:val="24"/>
        </w:rPr>
        <w:t xml:space="preserve">2.1 Landasan Teori</w:t>
      </w:r>
    </w:p>
    <w:p>
      <w:pPr>
        <w:pStyle w:val="Heading3"/>
        <w:spacing w:after="160" w:before="240" w:line="480"/>
        <w:jc w:val="left"/>
      </w:pPr>
      <w:r>
        <w:rPr>
          <w:rFonts w:ascii="Times New Roman" w:cs="Times New Roman" w:eastAsia="Times New Roman" w:hAnsi="Times New Roman"/>
          <w:b/>
          <w:bCs/>
          <w:sz w:val="24"/>
          <w:szCs w:val="24"/>
        </w:rPr>
        <w:t xml:space="preserve">2.1.1 Pelaksanaan Anggaran Belanja Negara</w:t>
      </w:r>
    </w:p>
    <w:p>
      <w:pPr>
        <w:spacing w:after="0" w:before="0" w:line="480"/>
        <w:ind w:firstLine="709"/>
        <w:jc w:val="both"/>
      </w:pPr>
      <w:r>
        <w:rPr>
          <w:rFonts w:ascii="Times New Roman" w:cs="Times New Roman" w:eastAsia="Times New Roman" w:hAnsi="Times New Roman"/>
          <w:sz w:val="24"/>
          <w:szCs w:val="24"/>
        </w:rPr>
        <w:t xml:space="preserve">Pelaksanaan anggaran belanja negara merupakan tahap operasional dari siklus pengelolaan keuangan negara yang menerjemahkan rencana keuangan tahunan ke dalam realisasi belanja yang konkret. Undang-Undang Nomor 17 Tahun 2003 tentang Keuangan Negara dan Undang-Undang Nomor 1 Tahun 2004 tentang Perbendaharaan Negara menempatkan Anggaran Pendapatan dan Belanja Negara (APBN) sebagai instrumen kebijakan fiskal yang pelaksanaannya harus tertib, taat pada peraturan perundang-undangan, efisien, ekonomis, efektif, transparan, dan bertanggung jawab dengan memperhatikan rasa keadilan dan kepatutan. Ketujuh prinsip tersebut tidak bersifat opsional, melainkan merupakan standar minimum yang harus dipenuhi oleh setiap entitas pemerintah dalam mengelola sumber daya publik yang dipercayakan kepadanya (Undang-Undang Nomor 17 Tahun 2003).</w:t>
      </w:r>
    </w:p>
    <w:p>
      <w:pPr>
        <w:spacing w:after="0" w:before="0" w:line="480"/>
        <w:ind w:firstLine="709"/>
        <w:jc w:val="both"/>
      </w:pPr>
      <w:r>
        <w:rPr>
          <w:rFonts w:ascii="Times New Roman" w:cs="Times New Roman" w:eastAsia="Times New Roman" w:hAnsi="Times New Roman"/>
          <w:sz w:val="24"/>
          <w:szCs w:val="24"/>
        </w:rPr>
        <w:t xml:space="preserve">Mardiasmo (2018) menegaskan bahwa dalam kerangka penganggaran berbasis kinerja, kualitas pelaksanaan anggaran tidak hanya diukur dari besarnya serapan, melainkan juga dari ketepatan antara rencana dan realisasi sebagai cerminan akuntabilitas atas penggunaan sumber daya publik. Secara operasional, APBN dilaksanakan oleh kementerian dan lembaga melalui Daftar Isian Pelaksanaan Anggaran (DIPA). Tata cara pelaksanaannya diatur dalam Peraturan Pemerintah Nomor 45 Tahun 2013 sebagaimana diubah dengan Peraturan Pemerintah Nomor 50 Tahun 2018, dan disempurnakan secara menyeluruh melalui Peraturan Menteri Keuangan Nomor 62 Tahun 2023 sebagai regulasi </w:t>
      </w:r>
      <w:r>
        <w:rPr>
          <w:rFonts w:ascii="Times New Roman" w:cs="Times New Roman" w:eastAsia="Times New Roman" w:hAnsi="Times New Roman"/>
          <w:i/>
          <w:iCs/>
          <w:sz w:val="24"/>
          <w:szCs w:val="24"/>
        </w:rPr>
        <w:t xml:space="preserve">omnibus</w:t>
      </w:r>
      <w:r>
        <w:rPr>
          <w:rFonts w:ascii="Times New Roman" w:cs="Times New Roman" w:eastAsia="Times New Roman" w:hAnsi="Times New Roman"/>
          <w:sz w:val="24"/>
          <w:szCs w:val="24"/>
        </w:rPr>
        <w:t xml:space="preserve"> yang menyatukan pengaturan perencanaan, pelaksanaan, serta akuntansi dan pelaporan keuangan.</w:t>
      </w:r>
    </w:p>
    <w:p>
      <w:pPr>
        <w:spacing w:after="0" w:before="0" w:line="480"/>
        <w:ind w:firstLine="709"/>
        <w:jc w:val="both"/>
      </w:pPr>
      <w:r>
        <w:rPr>
          <w:rFonts w:ascii="Times New Roman" w:cs="Times New Roman" w:eastAsia="Times New Roman" w:hAnsi="Times New Roman"/>
          <w:sz w:val="24"/>
          <w:szCs w:val="24"/>
        </w:rPr>
        <w:t xml:space="preserve">Mekanisme pelaksanaan anggaran mengikuti alur baku, yaitu penyusunan Rencana Penarikan Dana (RPD) bulanan pada Halaman III DIPA sebagai proyeksi kebutuhan kas, pembuatan komitmen oleh Pejabat Pembuat Komitmen (PPK), pengajuan Surat Permintaan Pembayaran (SPP), penerbitan Surat Perintah Membayar (SPM) oleh Pejabat Penandatangan SPM (PPSPM), serta penerbitan Surat Perintah Pencairan Dana (SP2D) oleh Kantor Pelayanan Perbendaharaan Negara (KPPN) selaku kuasa Bendahara Umum Negara. Setiap tahapan memiliki persyaratan administratif dan batas waktu, sehingga kegagalan pada satu tahap dapat menyebabkan pergeseran realisasi yang berkontribusi pada deviasi anggaran (PMK Nomor 62 Tahun 2023).</w:t>
      </w:r>
    </w:p>
    <w:p>
      <w:pPr>
        <w:spacing w:after="0" w:before="0" w:line="480"/>
        <w:ind w:firstLine="709"/>
        <w:jc w:val="both"/>
      </w:pPr>
      <w:r>
        <w:rPr>
          <w:rFonts w:ascii="Times New Roman" w:cs="Times New Roman" w:eastAsia="Times New Roman" w:hAnsi="Times New Roman"/>
          <w:sz w:val="24"/>
          <w:szCs w:val="24"/>
        </w:rPr>
        <w:t xml:space="preserve">Dalam hierarki pelaksanaan APBN, kementerian dan lembaga berkedudukan sebagai Pengguna Anggaran yang menerima DIPA dari Menteri Keuangan, kemudian mendistribusikan kewenangan pelaksanaannya kepada satuan kerja. Satuan kerja merupakan unit pelaksana teknis yang secara langsung mengelola kegiatan dan anggaran, dipimpin oleh Kuasa Pengguna Anggaran (KPA) yang bertanggung jawab atas efisiensi dan efektivitas penggunaan anggaran. Kewajiban satuan kerja mencakup penyusunan RPD bulanan yang akurat, pelaksanaan kegiatan sesuai rencana, penatausahaan keuangan melalui sistem informasi terintegrasi, serta pelaporan secara periodik. Kemampuan satuan kerja memenuhi kewajiban tersebut, khususnya akurasi RPD, sangat dipengaruhi oleh kapasitas sumber daya manusia, kompleksitas operasional, dan stabilitas lingkungan eksternal.</w:t>
      </w:r>
    </w:p>
    <w:p>
      <w:pPr>
        <w:spacing w:after="0" w:before="0" w:line="480"/>
        <w:ind w:firstLine="709"/>
        <w:jc w:val="both"/>
      </w:pPr>
      <w:r>
        <w:rPr>
          <w:rFonts w:ascii="Times New Roman" w:cs="Times New Roman" w:eastAsia="Times New Roman" w:hAnsi="Times New Roman"/>
          <w:sz w:val="24"/>
          <w:szCs w:val="24"/>
        </w:rPr>
        <w:t xml:space="preserve">Karakteristik tersebut menjadi semakin menonjol pada satuan kerja bidang penegakan hukum, yaitu unit pelaksana teknis yang menjalankan fungsi penegakan hukum, keamanan, dan ketertiban, termasuk satuan kerja di bawah Direktorat Jenderal Imigrasi. Satuan kerja jenis ini memiliki ciri khas berupa tugas pokok yang bersifat mandatori dan tidak dapat ditunda, volume pekerjaan yang bergantung pada faktor eksternal yang sulit dikendalikan, serta kebutuhan anggaran operasional yang variabel dan sulit diprediksi pada awal tahun. Rumah Detensi Imigrasi (Rudenim) Pontianak, sebagai objek penelitian ini, merupakan satuan kerja yang menjalankan penampungan sementara warga negara asing yang dikenai Tindakan Administratif Keimigrasian, dan berkedudukan di wilayah perbatasan Kalimantan Barat–Malaysia yang menghadirkan dinamika mobilitas orang asing yang tinggi. Kondisi operasional yang dinamis ini menempatkan akurasi perencanaan dan pelaksanaan anggaran, terutama pada belanja yang bersifat kontraktual, sebagai tantangan struktural yang relevan untuk dikaji.</w:t>
      </w:r>
    </w:p>
    <w:p>
      <w:pPr>
        <w:pStyle w:val="Heading3"/>
        <w:spacing w:after="160" w:before="240" w:line="480"/>
        <w:jc w:val="left"/>
      </w:pPr>
      <w:r>
        <w:rPr>
          <w:rFonts w:ascii="Times New Roman" w:cs="Times New Roman" w:eastAsia="Times New Roman" w:hAnsi="Times New Roman"/>
          <w:b/>
          <w:bCs/>
          <w:sz w:val="24"/>
          <w:szCs w:val="24"/>
        </w:rPr>
        <w:t xml:space="preserve">2.1.2 Belanja Modal: Konsep, Mekanisme, dan Pengadaan Barang/Jasa</w:t>
      </w:r>
    </w:p>
    <w:p>
      <w:pPr>
        <w:spacing w:after="0" w:before="0" w:line="480"/>
        <w:ind w:firstLine="709"/>
        <w:jc w:val="both"/>
      </w:pP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merupakan pengeluaran anggaran untuk perolehan aset tetap dan/atau aset lainnya yang memberi manfaat lebih dari satu periode akuntansi. Dalam bagan akun standar pemerintah pusat yang diatur melalui Peraturan Menteri Keuangan mengenai Bagan Akun Standar, Belanja Modal diklasifikasikan ke dalam kode akun 53, yang dibagi lagi menjadi Belanja Modal Tanah (531), Peralatan dan Mesin (532), Gedung dan Bangunan (533), Jalan, Irigasi, dan Jaringan (534), serta Aset Tetap Lainnya (535). Karakteristik fundamental Belanja Modal yang membedakannya dari Belanja Pegawai (kode 51) dan Belanja Barang (kode 52) adalah sifatnya yang kontraktual, melibatkan pihak ketiga sebagai penyedia barang/jasa, dan umumnya direalisasikan dalam termin pembayaran yang mengikuti progres fisik pekerjaan. Sifat tersebut yang menjadikan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lebih kompleks dan lebih rentan terhadap pergeseran realisasi dibandingkan jenis belanja lainnya.</w:t>
      </w:r>
    </w:p>
    <w:p>
      <w:pPr>
        <w:spacing w:after="0" w:before="0" w:line="480"/>
        <w:ind w:firstLine="709"/>
        <w:jc w:val="both"/>
      </w:pPr>
      <w:r>
        <w:rPr>
          <w:rFonts w:ascii="Times New Roman" w:cs="Times New Roman" w:eastAsia="Times New Roman" w:hAnsi="Times New Roman"/>
          <w:sz w:val="24"/>
          <w:szCs w:val="24"/>
        </w:rPr>
        <w:t xml:space="preserve">Peraturan Menteri Keuangan Nomor 62 Tahun 2023 mengatur mekanisme pelaksanaan anggaran secara komprehensif, mulai dari perencanaan melalui Rencana Kerja dan Anggaran Kementerian/Lembaga (RKA-K/L), penyusunan dokumen pelaksanaan berupa DIPA, Petunjuk Operasional Kegiatan (POK), dan RPD Halaman III, hingga pelaksanaan operasional yang mencakup pembuatan komitmen, Berita Acara Serah Terima (BAST), SPP, SPM, dan SP2D. Untuk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mekanisme tersebut diperkaya dengan tahapan pemilihan penyedia yang mengikuti Peraturan Presiden Nomor 16 Tahun 2018 sebagaimana telah diubah dengan Peraturan Presiden Nomor 12 Tahun 2021 tentang Pengadaan Barang/Jasa Pemerintah. Dengan demikian,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berada pada irisan dua kerangka regulasi sekaligus, yakni regulasi pelaksanaan anggaran dan regulasi pengadaan barang/jasa.</w:t>
      </w:r>
    </w:p>
    <w:p>
      <w:pPr>
        <w:spacing w:after="0" w:before="0" w:line="480"/>
        <w:ind w:firstLine="709"/>
        <w:jc w:val="both"/>
      </w:pPr>
      <w:r>
        <w:rPr>
          <w:rFonts w:ascii="Times New Roman" w:cs="Times New Roman" w:eastAsia="Times New Roman" w:hAnsi="Times New Roman"/>
          <w:sz w:val="24"/>
          <w:szCs w:val="24"/>
        </w:rPr>
        <w:t xml:space="preserve">Peraturan Presiden Nomor 16 Tahun 2018 jo. Peraturan Presiden Nomor 12 Tahun 2021 mengatur metode pemilihan penyedia yang </w:t>
      </w:r>
      <w:r>
        <w:rPr>
          <w:rFonts w:ascii="Times New Roman" w:cs="Times New Roman" w:eastAsia="Times New Roman" w:hAnsi="Times New Roman"/>
          <w:b/>
          <w:bCs/>
          <w:sz w:val="24"/>
          <w:szCs w:val="24"/>
        </w:rPr>
        <w:t xml:space="preserve">digunakan</w:t>
      </w:r>
      <w:r>
        <w:rPr>
          <w:rFonts w:ascii="Times New Roman" w:cs="Times New Roman" w:eastAsia="Times New Roman" w:hAnsi="Times New Roman"/>
          <w:sz w:val="24"/>
          <w:szCs w:val="24"/>
        </w:rPr>
        <w:t xml:space="preserve"> untuk merealisasikan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antara lain Tender, Seleksi, Pengadaan Langsung, Penunjukan Langsung, dan </w:t>
      </w:r>
      <w:r>
        <w:rPr>
          <w:rFonts w:ascii="Times New Roman" w:cs="Times New Roman" w:eastAsia="Times New Roman" w:hAnsi="Times New Roman"/>
          <w:i/>
          <w:iCs/>
          <w:sz w:val="24"/>
          <w:szCs w:val="24"/>
        </w:rPr>
        <w:t xml:space="preserve">E-purchasing</w:t>
      </w:r>
      <w:r>
        <w:rPr>
          <w:rFonts w:ascii="Times New Roman" w:cs="Times New Roman" w:eastAsia="Times New Roman" w:hAnsi="Times New Roman"/>
          <w:sz w:val="24"/>
          <w:szCs w:val="24"/>
        </w:rPr>
        <w:t xml:space="preserve"> melalui katalog elektronik. Pemilihan metode bergantung pada nilai paket dan karakteristik pekerjaan; sebagai gambaran, paket dengan nilai relatif besar pada umumnya ditenderkan sesuai ketentuan Pasal 70 Peraturan Presiden Nomor 16 Tahun 2018, sedangkan paket bernilai kecil dapat dilakukan melalui pengadaan langsung atau </w:t>
      </w:r>
      <w:r>
        <w:rPr>
          <w:rFonts w:ascii="Times New Roman" w:cs="Times New Roman" w:eastAsia="Times New Roman" w:hAnsi="Times New Roman"/>
          <w:i/>
          <w:iCs/>
          <w:sz w:val="24"/>
          <w:szCs w:val="24"/>
        </w:rPr>
        <w:t xml:space="preserve">e-purchasing</w:t>
      </w:r>
      <w:r>
        <w:rPr>
          <w:rFonts w:ascii="Times New Roman" w:cs="Times New Roman" w:eastAsia="Times New Roman" w:hAnsi="Times New Roman"/>
          <w:sz w:val="24"/>
          <w:szCs w:val="24"/>
        </w:rPr>
        <w:t xml:space="preserve">. Setiap kontrak yang dihasilkan ditandatangani oleh Pejabat Pembuat Komitmen (PPK) dan mengatur termin pembayaran, jadwal pelaksanaan, serta ketentuan Berita Acara Serah Terima (BAST). Tahapan pemilihan penyedia ini menambah panjang rantai aktivitas yang harus diselesaikan sebelum dana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dapat direalisasikan.</w:t>
      </w:r>
    </w:p>
    <w:p>
      <w:pPr>
        <w:spacing w:after="0" w:before="0" w:line="480"/>
        <w:ind w:firstLine="709"/>
        <w:jc w:val="both"/>
      </w:pPr>
      <w:r>
        <w:rPr>
          <w:rFonts w:ascii="Times New Roman" w:cs="Times New Roman" w:eastAsia="Times New Roman" w:hAnsi="Times New Roman"/>
          <w:sz w:val="24"/>
          <w:szCs w:val="24"/>
        </w:rPr>
        <w:t xml:space="preserve">Pembayaran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umumnya dilakukan melalui mekanisme Pembayaran Langsung (LS) karena nilainya berada di atas batas penggunaan Uang Persediaan sebagaimana diatur dalam Peraturan Pemerintah Nomor 50 Tahun 2018. PPK mengajukan Surat Permintaan Pembayaran (SPP) setelah BAST diterbitkan; Pejabat Penandatangan SPM (PPSPM) menguji dan menerbitkan Surat Perintah Membayar (SPM); selanjutnya KPPN menerbitkan Surat Perintah Pencairan Dana (SP2D) yang menjadi dasar transfer dana ke rekening penyedia. Rangkaian dokumen ini melekat pada setiap termin pembayaran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sehingga keterlambatan pada salah satu mata rantai, misalnya kelengkapan dokumen tagihan atau hasil verifikasi, akan langsung menggeser waktu realisasi dari rencana yang tertuang pada Halaman III DIPA.</w:t>
      </w:r>
    </w:p>
    <w:p>
      <w:pPr>
        <w:spacing w:after="0" w:before="0" w:line="480"/>
        <w:ind w:firstLine="709"/>
        <w:jc w:val="both"/>
      </w:pPr>
      <w:r>
        <w:rPr>
          <w:rFonts w:ascii="Times New Roman" w:cs="Times New Roman" w:eastAsia="Times New Roman" w:hAnsi="Times New Roman"/>
          <w:sz w:val="24"/>
          <w:szCs w:val="24"/>
        </w:rPr>
        <w:t xml:space="preserve">Karakteristik kontraktual dan multi-pihak menjadikan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rentan terhadap deviasi pelaksanaan. Sumber-sumber deviasi yang khas meliputi keterlambatan progres fisik akibat kondisi penyedia atau cuaca, tertundanya BAST karena pekerjaan belum mencapai spesifikasi, tidak lengkapnya dokumen tagihan,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pada verifikasi PPSPM, serta pergeseran termin pembayaran. Oleh karena itu,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memerlukan kapasitas perencanaan yang lebih matang dan koordinasi yang lebih intensif antara unit teknis, unit pengadaan, dan unit keuangan satuan kerja dibandingkan dengan Belanja Pegawai dan Belanja Barang.</w:t>
      </w:r>
    </w:p>
    <w:p>
      <w:pPr>
        <w:pStyle w:val="Heading3"/>
        <w:spacing w:after="160" w:before="240" w:line="480"/>
        <w:jc w:val="left"/>
      </w:pPr>
      <w:r>
        <w:rPr>
          <w:rFonts w:ascii="Times New Roman" w:cs="Times New Roman" w:eastAsia="Times New Roman" w:hAnsi="Times New Roman"/>
          <w:b/>
          <w:bCs/>
          <w:sz w:val="24"/>
          <w:szCs w:val="24"/>
        </w:rPr>
        <w:t xml:space="preserve">2.1.3 Deviasi Pelaksanaan Anggaran: Konsep, Penyebab, dan Dampak</w:t>
      </w:r>
    </w:p>
    <w:p>
      <w:pPr>
        <w:spacing w:after="0" w:before="0" w:line="480"/>
        <w:ind w:firstLine="709"/>
        <w:jc w:val="both"/>
      </w:pPr>
      <w:r>
        <w:rPr>
          <w:rFonts w:ascii="Times New Roman" w:cs="Times New Roman" w:eastAsia="Times New Roman" w:hAnsi="Times New Roman"/>
          <w:sz w:val="24"/>
          <w:szCs w:val="24"/>
        </w:rPr>
        <w:t xml:space="preserve">Deviasi anggaran (</w:t>
      </w:r>
      <w:r>
        <w:rPr>
          <w:rFonts w:ascii="Times New Roman" w:cs="Times New Roman" w:eastAsia="Times New Roman" w:hAnsi="Times New Roman"/>
          <w:i/>
          <w:iCs/>
          <w:sz w:val="24"/>
          <w:szCs w:val="24"/>
        </w:rPr>
        <w:t xml:space="preserve">budget deviation</w:t>
      </w:r>
      <w:r>
        <w:rPr>
          <w:rFonts w:ascii="Times New Roman" w:cs="Times New Roman" w:eastAsia="Times New Roman" w:hAnsi="Times New Roman"/>
          <w:sz w:val="24"/>
          <w:szCs w:val="24"/>
        </w:rPr>
        <w:t xml:space="preserve"> atau </w:t>
      </w:r>
      <w:r>
        <w:rPr>
          <w:rFonts w:ascii="Times New Roman" w:cs="Times New Roman" w:eastAsia="Times New Roman" w:hAnsi="Times New Roman"/>
          <w:i/>
          <w:iCs/>
          <w:sz w:val="24"/>
          <w:szCs w:val="24"/>
        </w:rPr>
        <w:t xml:space="preserve">budget variance</w:t>
      </w:r>
      <w:r>
        <w:rPr>
          <w:rFonts w:ascii="Times New Roman" w:cs="Times New Roman" w:eastAsia="Times New Roman" w:hAnsi="Times New Roman"/>
          <w:sz w:val="24"/>
          <w:szCs w:val="24"/>
        </w:rPr>
        <w:t xml:space="preserve">) dalam literatur akuntansi sektor publik merujuk pada simpangan antara nilai yang direncanakan dengan nilai yang direalisasikan dari suatu pos anggaran pada periode tertentu. Dalam konteks pelaksanaan anggaran, deviasi secara spesifik mengacu pada ketidaksesuaian antara RPD bulanan yang tercantum pada Halaman III DIPA dengan realisasi anggaran yang sesungguhnya terjadi pada bulan bersangkutan. Namun demikian, formulasi resmi penilaian IKPA berdasarkan PER-5/PB/2024 menggunakan nilai mutlak (absolut) dalam menghitung deviasi bulanan per jenis belanja. Formula deviasi bulanan tersebut secara eksplisit dirumuskan sebagai berikut: Deviasi Bulanan = (|RPD Bulanan - Realisasi Anggaran| / RPD Bulanan) × 100%. Melalui penggunaan nilai mutlak tersebut, formula IKPA tidak membedakan arah deviasi; baik terjadi </w:t>
      </w:r>
      <w:r>
        <w:rPr>
          <w:rFonts w:ascii="Times New Roman" w:cs="Times New Roman" w:eastAsia="Times New Roman" w:hAnsi="Times New Roman"/>
          <w:i/>
          <w:iCs/>
          <w:sz w:val="24"/>
          <w:szCs w:val="24"/>
        </w:rPr>
        <w:t xml:space="preserve">overrun</w:t>
      </w:r>
      <w:r>
        <w:rPr>
          <w:rFonts w:ascii="Times New Roman" w:cs="Times New Roman" w:eastAsia="Times New Roman" w:hAnsi="Times New Roman"/>
          <w:sz w:val="24"/>
          <w:szCs w:val="24"/>
        </w:rPr>
        <w:t xml:space="preserve"> maupun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penyimpangan tersebut tetap dihitung sebagai deviasi yang akan mengurangi nilai IKPA satker secara simetris. Pada belanja yang bersifat kontraktual seperti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deviasi positif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atau penyerapan di bawah rencana awal) </w:t>
      </w:r>
      <w:r>
        <w:rPr>
          <w:rFonts w:ascii="Times New Roman" w:cs="Times New Roman" w:eastAsia="Times New Roman" w:hAnsi="Times New Roman"/>
          <w:b/>
          <w:bCs/>
          <w:sz w:val="24"/>
          <w:szCs w:val="24"/>
        </w:rPr>
        <w:t xml:space="preserve">lebih kerap terjadi</w:t>
      </w:r>
      <w:r>
        <w:rPr>
          <w:rFonts w:ascii="Times New Roman" w:cs="Times New Roman" w:eastAsia="Times New Roman" w:hAnsi="Times New Roman"/>
          <w:sz w:val="24"/>
          <w:szCs w:val="24"/>
        </w:rPr>
        <w:t xml:space="preserve"> karena pergeseran jadwal pengadaan, kontrak, dan pembayaran termin yang bergantung pada kesiapan pihak ketiga.</w:t>
      </w:r>
    </w:p>
    <w:p>
      <w:pPr>
        <w:spacing w:after="0" w:before="0" w:line="480"/>
        <w:ind w:firstLine="709"/>
        <w:jc w:val="both"/>
      </w:pPr>
      <w:r>
        <w:rPr>
          <w:rFonts w:ascii="Times New Roman" w:cs="Times New Roman" w:eastAsia="Times New Roman" w:hAnsi="Times New Roman"/>
          <w:sz w:val="24"/>
          <w:szCs w:val="24"/>
        </w:rPr>
        <w:t xml:space="preserve">Literatur mengenai penyebab deviasi anggaran sektor publik mengidentifikasi beragam faktor yang, untuk keperluan penelitian ini, dikelompokkan ke dalam lima kategori yang relevan dengan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Pertama, faktor perencanaan. Ratnasari (2022) menemukan bahwa kualitas perencanaan yang rendah, berupa ketidakakuratan estimasi kebutuhan kas dan kelemahan dalam menyusun RPD, merupakan prediktor utama deviasi.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akurasi perencanaan menjadi lebih sulit karena asumsi waktu pengadaan kerap terlalu optimistik. Kedua, faktor sumber daya manusia dan kapasitas pengadaan. Keterbatasan jumlah pejabat pengadaan bersertifikat, tingginya beban kerja staf inti, serta pergantian personel yang menyebabkan hilangnya </w:t>
      </w:r>
      <w:r>
        <w:rPr>
          <w:rFonts w:ascii="Times New Roman" w:cs="Times New Roman" w:eastAsia="Times New Roman" w:hAnsi="Times New Roman"/>
          <w:i/>
          <w:iCs/>
          <w:sz w:val="24"/>
          <w:szCs w:val="24"/>
        </w:rPr>
        <w:t xml:space="preserve">institutional knowledge</w:t>
      </w:r>
      <w:r>
        <w:rPr>
          <w:rFonts w:ascii="Times New Roman" w:cs="Times New Roman" w:eastAsia="Times New Roman" w:hAnsi="Times New Roman"/>
          <w:sz w:val="24"/>
          <w:szCs w:val="24"/>
        </w:rPr>
        <w:t xml:space="preserve"> berkontribusi signifikan terhadap deviasi, terlebih karena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menuntut kompetensi teknis dalam menyusun spesifikasi, harga perkiraan sendiri, dan dokumen kontrak. Manangin et al. (2023) menegaskan bahwa kompetensi pengelola keuangan dan pejabat pengadaan merupakan faktor penentu kualitas pelaksanaan anggaran.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ketersediaan pejabat pengadaan bersertifikat dan PPK yang memahami regulasi pengadaan barang/jasa pemerintah (Perpres 16/2018 jo. Perpres 12/2021) menjadi prasyarat mutlak agar proses pemilihan penyedia, negosiasi, dan penandatanganan kontrak dapat berjalan tepat waktu sesuai jadwal RPD.</w:t>
      </w:r>
    </w:p>
    <w:p>
      <w:pPr>
        <w:spacing w:after="0" w:before="0" w:line="480"/>
        <w:ind w:firstLine="709"/>
        <w:jc w:val="both"/>
      </w:pPr>
      <w:r>
        <w:rPr>
          <w:rFonts w:ascii="Times New Roman" w:cs="Times New Roman" w:eastAsia="Times New Roman" w:hAnsi="Times New Roman"/>
          <w:sz w:val="24"/>
          <w:szCs w:val="24"/>
        </w:rPr>
        <w:t xml:space="preserve">Ketiga, faktor administratif dan regulasi. Proses administratif yang panjang dalam mekanisme SPP-SPM-SP2D, pemblokiran anggaran, serta persyaratan dokumen pendukung yang tidak terpenuhi tepat waktu </w:t>
      </w:r>
      <w:r>
        <w:rPr>
          <w:rFonts w:ascii="Times New Roman" w:cs="Times New Roman" w:eastAsia="Times New Roman" w:hAnsi="Times New Roman"/>
          <w:b/>
          <w:bCs/>
          <w:sz w:val="24"/>
          <w:szCs w:val="24"/>
        </w:rPr>
        <w:t xml:space="preserve">berpotensi menggeser</w:t>
      </w:r>
      <w:r>
        <w:rPr>
          <w:rFonts w:ascii="Times New Roman" w:cs="Times New Roman" w:eastAsia="Times New Roman" w:hAnsi="Times New Roman"/>
          <w:sz w:val="24"/>
          <w:szCs w:val="24"/>
        </w:rPr>
        <w:t xml:space="preserve"> realisasi dari bulan yang direncanakan; hambatan ini terutama dirasakan pada kegiatan kontraktual bernilai besar yang pencairannya bergantung pada kesiapan dokumen pihak ketiga (PP Nomor 50 Tahun 2018; PMK Nomor 62 Tahun 2023). Keempat, faktor operasional dan pihak ketiga. Manangin et al. (2023) menekankan bahwa keterlambatan penyedia, perubahan prioritas kebijakan, dan fluktuasi permintaan layanan publik merupakan sumber deviasi yang bersifat struktural;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ketergantungan pada progres fisik penyedia dan kondisi lapangan menjadikan jadwal termin pembayaran </w:t>
      </w:r>
      <w:r>
        <w:rPr>
          <w:rFonts w:ascii="Times New Roman" w:cs="Times New Roman" w:eastAsia="Times New Roman" w:hAnsi="Times New Roman"/>
          <w:b/>
          <w:bCs/>
          <w:sz w:val="24"/>
          <w:szCs w:val="24"/>
        </w:rPr>
        <w:t xml:space="preserve">rentan mengalami pergeseran</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sangat bergantung pada kinerja penyedia barang/jasa. Keterlambatan progres fisik akibat kondisi cuaca, keterbatasan material, masalah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atau kapasitas finansial kontraktor yang tidak memadai merupakan faktor-faktor yang seringkali di luar kendali satker (Sholawatunnisa &amp; Supriyanto, 2025). Pada satker UPT seperti Rudenim Pontianak yang berlokasi di kawasan semi-perkotaan, keterbatasan penyedia lokal yang memenuhi kualifikasi turut mempersulit proses pemilihan penyedia. Kelima, faktor teknis dan sistem informasi. Kendala pada sistem informasi pengelolaan keuangan negara, seperti SPAN dan SAKTI, dapat menimbulkan keterlambatan input data, kesalahan entri, dan ketidaksinkronan antarsistem. Sholawatunnisa dan Supriyanto (2025), melalui pemodelan SARIMA, menemukan bahwa pola deviasi anggaran memiliki komponen musiman yang dapat diidentifikasi, yang mengindikasikan adanya faktor struktural berulang yang dapat diantisipasi melalui perencanaan yang lebih adaptif.</w:t>
      </w:r>
    </w:p>
    <w:p>
      <w:pPr>
        <w:spacing w:after="0" w:before="0" w:line="480"/>
        <w:ind w:firstLine="709"/>
        <w:jc w:val="both"/>
      </w:pPr>
      <w:r>
        <w:rPr>
          <w:rFonts w:ascii="Times New Roman" w:cs="Times New Roman" w:eastAsia="Times New Roman" w:hAnsi="Times New Roman"/>
          <w:sz w:val="24"/>
          <w:szCs w:val="24"/>
        </w:rPr>
        <w:t xml:space="preserve">Dampak deviasi pelaksanaan anggaran dapat ditelaah pada tiga tingkatan yang saling berkaitan. Pada tingkat satuan kerja (mikro), deviasi yang tinggi menurunkan nilai IKPA, khususnya indikator Deviasi Halaman III DIPA, yang berimplikasi pada penilaian kinerja yang kurang baik, intensifikasi pembinaan oleh KPPN, serta potensi pembatasan akses pencairan dana pada periode berikutnya (PER-5/PB/2024). Pada tingkat KPPN dan DJPb (meso), akumulasi deviasi menyulitkan peramalan kebutuhan kas dan menciptakan inefisiensi alokasi kas antarsatuan kerja. Pada tingkat fiskal nasional (makro), deviasi yang sistemik dapat mendistorsi pencapaian target fiskal dan melemahkan efektivitas kebijakan fiskal. Hanafi dan Wulandari (2023) menemukan bahwa satuan kerja rumpun penegakan hukum secara konsisten lebih lemah pada indikator deviasi, sehingga karakteristik strukturalnya perlu diakomodasi dalam desain kebijakan evaluasi kinerja anggaran. Temuan ini memberikan pijakan empiris bahwa Rudenim, sebagai satuan kerja penegakan keimigrasian, </w:t>
      </w:r>
      <w:r>
        <w:rPr>
          <w:rFonts w:ascii="Times New Roman" w:cs="Times New Roman" w:eastAsia="Times New Roman" w:hAnsi="Times New Roman"/>
          <w:b/>
          <w:bCs/>
          <w:sz w:val="24"/>
          <w:szCs w:val="24"/>
        </w:rPr>
        <w:t xml:space="preserve">diduga berisiko lebih tinggi</w:t>
      </w:r>
      <w:r>
        <w:rPr>
          <w:rFonts w:ascii="Times New Roman" w:cs="Times New Roman" w:eastAsia="Times New Roman" w:hAnsi="Times New Roman"/>
          <w:sz w:val="24"/>
          <w:szCs w:val="24"/>
        </w:rPr>
        <w:t xml:space="preserve"> mengalami deviasi, termasuk pada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pStyle w:val="Heading3"/>
        <w:spacing w:after="160" w:before="240" w:line="480"/>
        <w:jc w:val="left"/>
      </w:pPr>
      <w:r>
        <w:rPr>
          <w:rFonts w:ascii="Times New Roman" w:cs="Times New Roman" w:eastAsia="Times New Roman" w:hAnsi="Times New Roman"/>
          <w:b/>
          <w:bCs/>
          <w:sz w:val="24"/>
          <w:szCs w:val="24"/>
        </w:rPr>
        <w:t xml:space="preserve">2.1.4 </w:t>
      </w:r>
      <w:r>
        <w:rPr>
          <w:rFonts w:ascii="Times New Roman" w:cs="Times New Roman" w:eastAsia="Times New Roman" w:hAnsi="Times New Roman"/>
          <w:b/>
          <w:bCs/>
          <w:i/>
          <w:iCs/>
          <w:sz w:val="24"/>
          <w:szCs w:val="24"/>
        </w:rPr>
        <w:t xml:space="preserve">Agency Theory</w:t>
      </w:r>
      <w:r>
        <w:rPr>
          <w:rFonts w:ascii="Times New Roman" w:cs="Times New Roman" w:eastAsia="Times New Roman" w:hAnsi="Times New Roman"/>
          <w:b/>
          <w:bCs/>
          <w:sz w:val="24"/>
          <w:szCs w:val="24"/>
        </w:rPr>
        <w:t xml:space="preserve"> sebagai Lensa Analitis</w:t>
      </w:r>
    </w:p>
    <w:p>
      <w:pPr>
        <w:spacing w:after="0" w:before="0" w:line="480"/>
        <w:ind w:firstLine="709"/>
        <w:jc w:val="both"/>
      </w:pP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merupakan teori fundamental yang menjelaskan hubungan kontrakual antara </w:t>
      </w:r>
      <w:r>
        <w:rPr>
          <w:rFonts w:ascii="Times New Roman" w:cs="Times New Roman" w:eastAsia="Times New Roman" w:hAnsi="Times New Roman"/>
          <w:i/>
          <w:iCs/>
          <w:sz w:val="24"/>
          <w:szCs w:val="24"/>
        </w:rPr>
        <w:t xml:space="preserve">principal</w:t>
      </w:r>
      <w:r>
        <w:rPr>
          <w:rFonts w:ascii="Times New Roman" w:cs="Times New Roman" w:eastAsia="Times New Roman" w:hAnsi="Times New Roman"/>
          <w:sz w:val="24"/>
          <w:szCs w:val="24"/>
        </w:rPr>
        <w:t xml:space="preserve"> (prinsipal) sebagai pihak yang mendelegasikan wewenang dan </w:t>
      </w:r>
      <w:r>
        <w:rPr>
          <w:rFonts w:ascii="Times New Roman" w:cs="Times New Roman" w:eastAsia="Times New Roman" w:hAnsi="Times New Roman"/>
          <w:i/>
          <w:iCs/>
          <w:sz w:val="24"/>
          <w:szCs w:val="24"/>
        </w:rPr>
        <w:t xml:space="preserve">agent</w:t>
      </w:r>
      <w:r>
        <w:rPr>
          <w:rFonts w:ascii="Times New Roman" w:cs="Times New Roman" w:eastAsia="Times New Roman" w:hAnsi="Times New Roman"/>
          <w:sz w:val="24"/>
          <w:szCs w:val="24"/>
        </w:rPr>
        <w:t xml:space="preserve"> (agen) sebagai pihak yang menjalankannya. Jensen dan Meckling (1976) mendefinisikan hubungan keagenan sebagai kontrak di mana prinsipal melibatkan agen untuk melaksanakan pekerjaan atas namanya, disertai pendelegasian sebagian otoritas pengambilan keputusan. Permasalahan inti muncul akibat </w:t>
      </w:r>
      <w:r>
        <w:rPr>
          <w:rFonts w:ascii="Times New Roman" w:cs="Times New Roman" w:eastAsia="Times New Roman" w:hAnsi="Times New Roman"/>
          <w:i/>
          <w:iCs/>
          <w:sz w:val="24"/>
          <w:szCs w:val="24"/>
        </w:rPr>
        <w:t xml:space="preserve">asimetri informasi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asymmetric information</w:t>
      </w:r>
      <w:r>
        <w:rPr>
          <w:rFonts w:ascii="Times New Roman" w:cs="Times New Roman" w:eastAsia="Times New Roman" w:hAnsi="Times New Roman"/>
          <w:sz w:val="24"/>
          <w:szCs w:val="24"/>
        </w:rPr>
        <w:t xml:space="preserve">), yaitu kondisi ketika agen memiliki akses informasi yang lebih lengkap dibandingkan prinsipal, yang berpotensi menimbulkan </w:t>
      </w:r>
      <w:r>
        <w:rPr>
          <w:rFonts w:ascii="Times New Roman" w:cs="Times New Roman" w:eastAsia="Times New Roman" w:hAnsi="Times New Roman"/>
          <w:i/>
          <w:iCs/>
          <w:sz w:val="24"/>
          <w:szCs w:val="24"/>
        </w:rPr>
        <w:t xml:space="preserve">adverse selection</w:t>
      </w:r>
      <w:r>
        <w:rPr>
          <w:rFonts w:ascii="Times New Roman" w:cs="Times New Roman" w:eastAsia="Times New Roman" w:hAnsi="Times New Roman"/>
          <w:sz w:val="24"/>
          <w:szCs w:val="24"/>
        </w:rPr>
        <w:t xml:space="preserve"> sebelum kontrak dan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setelah kontrak berjalan, sehingga prinsipal menanggung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berupa biaya pengawasan, penjaminan, dan kerugian sisa (Jensen &amp; Meckling, 1976).</w:t>
      </w:r>
    </w:p>
    <w:p>
      <w:pPr>
        <w:spacing w:after="0" w:before="0" w:line="480"/>
        <w:ind w:firstLine="709"/>
        <w:jc w:val="both"/>
      </w:pPr>
      <w:r>
        <w:rPr>
          <w:rFonts w:ascii="Times New Roman" w:cs="Times New Roman" w:eastAsia="Times New Roman" w:hAnsi="Times New Roman"/>
          <w:sz w:val="24"/>
          <w:szCs w:val="24"/>
        </w:rPr>
        <w:t xml:space="preserve">Meskipun dikembangkan dalam konteks korporasi,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telah diadaptasi untuk menjelaskan tata kelola sektor publik. Lane (2003) menegaskan bahwa hubungan keagenan pada sektor publik bersifat berlapis (</w:t>
      </w:r>
      <w:r>
        <w:rPr>
          <w:rFonts w:ascii="Times New Roman" w:cs="Times New Roman" w:eastAsia="Times New Roman" w:hAnsi="Times New Roman"/>
          <w:i/>
          <w:iCs/>
          <w:sz w:val="24"/>
          <w:szCs w:val="24"/>
        </w:rPr>
        <w:t xml:space="preserve">multilevel agency chain</w:t>
      </w:r>
      <w:r>
        <w:rPr>
          <w:rFonts w:ascii="Times New Roman" w:cs="Times New Roman" w:eastAsia="Times New Roman" w:hAnsi="Times New Roman"/>
          <w:sz w:val="24"/>
          <w:szCs w:val="24"/>
        </w:rPr>
        <w:t xml:space="preserve">), melibatkan banyak aktor dengan kepentingan yang beragam. Dalam pengelolaan keuangan negara di Indonesia, rakyat selaku prinsipal utama mendelegasikan wewenang kepada Dewan Perwakilan Rakyat dan pemerintah; Kementerian Keuangan melalui Direktorat Jenderal Perbendaharaan bertindak selaku Bendahara Umum Negara yang mengawasi pelaksanaan anggaran oleh satuan kerja. Dalam kerangka ini, Rudenim Pontianak berkedudukan sebagai agen yang bertanggung jawab kepada prinsipal berlapis tersebut.</w:t>
      </w:r>
    </w:p>
    <w:p>
      <w:pPr>
        <w:spacing w:after="0" w:before="0" w:line="480"/>
        <w:ind w:firstLine="709"/>
        <w:jc w:val="both"/>
      </w:pPr>
      <w:r>
        <w:rPr>
          <w:rFonts w:ascii="Times New Roman" w:cs="Times New Roman" w:eastAsia="Times New Roman" w:hAnsi="Times New Roman"/>
          <w:sz w:val="24"/>
          <w:szCs w:val="24"/>
        </w:rPr>
        <w:t xml:space="preserve">Dari perspektif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deviasi antara RPD dan realisasi dapat ditafsirkan sebagai sinyal adanya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baik berupa keterbatasan kapasitas agen maupun asimetri informasi mengenai kondisi operasional di lapangan. Pada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relasi keagenan menjadi lebih kompleks karena melibatkan pihak ketiga (penyedia barang/jasa) sebagai agen tambahan yang kinerjanya turut menentukan ketepatan realisasi. IKPA, dalam perspektif ini, berfungsi sebagai mekanisme </w:t>
      </w:r>
      <w:r>
        <w:rPr>
          <w:rFonts w:ascii="Times New Roman" w:cs="Times New Roman" w:eastAsia="Times New Roman" w:hAnsi="Times New Roman"/>
          <w:i/>
          <w:iCs/>
          <w:sz w:val="24"/>
          <w:szCs w:val="24"/>
        </w:rPr>
        <w:t xml:space="preserve">monitoring and control</w:t>
      </w:r>
      <w:r>
        <w:rPr>
          <w:rFonts w:ascii="Times New Roman" w:cs="Times New Roman" w:eastAsia="Times New Roman" w:hAnsi="Times New Roman"/>
          <w:sz w:val="24"/>
          <w:szCs w:val="24"/>
        </w:rPr>
        <w:t xml:space="preserve"> yang dirancang untuk memitigasi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dengan mendorong akurasi perencanaan dan transparansi pelaporan (Manangin et al., 2023; Ratnasari, 2022).</w:t>
      </w:r>
    </w:p>
    <w:p>
      <w:pPr>
        <w:pStyle w:val="Heading3"/>
        <w:spacing w:after="160" w:before="240" w:line="480"/>
        <w:jc w:val="left"/>
      </w:pPr>
      <w:r>
        <w:rPr>
          <w:rFonts w:ascii="Times New Roman" w:cs="Times New Roman" w:eastAsia="Times New Roman" w:hAnsi="Times New Roman"/>
          <w:b/>
          <w:bCs/>
          <w:sz w:val="24"/>
          <w:szCs w:val="24"/>
        </w:rPr>
        <w:t xml:space="preserve">2.1.5 Indikator Kinerja Pelaksanaan Anggaran (IKPA)</w:t>
      </w:r>
    </w:p>
    <w:p>
      <w:pPr>
        <w:spacing w:after="0" w:before="0" w:line="480"/>
        <w:ind w:firstLine="709"/>
        <w:jc w:val="both"/>
      </w:pPr>
      <w:r>
        <w:rPr>
          <w:rFonts w:ascii="Times New Roman" w:cs="Times New Roman" w:eastAsia="Times New Roman" w:hAnsi="Times New Roman"/>
          <w:sz w:val="24"/>
          <w:szCs w:val="24"/>
        </w:rPr>
        <w:t xml:space="preserve">Indikator Kinerja Pelaksanaan Anggaran (IKPA) merupakan instrumen evaluasi yang dikembangkan oleh Direktorat Jenderal Perbendaharaan untuk mengukur kualitas pelaksanaan anggaran kementerian dan lembaga. Berdasarkan Peraturan Direktur Jenderal Perbendaharaan Nomor PER-5/PB/2024, IKPA didefinisikan sebagai ukuran evaluasi kinerja pelaksanaan anggaran yang memuat indikator-indikator yang relevan, terukur, dan akuntabel sebagai alat kendali kualitas pelaksanaan anggaran. Keberadaan IKPA merupakan implementasi amanat Undang-Undang Nomor 1 Tahun 2004 tentang Perbendaharaan Negara dan Peraturan Pemerintah Nomor 50 Tahun 2018, dengan pengaturan teknis lebih lanjut dalam Peraturan Menteri Keuangan Nomor 62 Tahun 2023.</w:t>
      </w:r>
    </w:p>
    <w:p>
      <w:pPr>
        <w:spacing w:after="0" w:before="0" w:line="480"/>
        <w:ind w:firstLine="709"/>
        <w:jc w:val="both"/>
      </w:pPr>
      <w:r>
        <w:rPr>
          <w:rFonts w:ascii="Times New Roman" w:cs="Times New Roman" w:eastAsia="Times New Roman" w:hAnsi="Times New Roman"/>
          <w:sz w:val="24"/>
          <w:szCs w:val="24"/>
        </w:rPr>
        <w:t xml:space="preserve">Penilaian IKPA mencakup tiga aspek, yaitu kualitas perencanaan, kualitas pelaksanaan, dan kualitas hasil, yang dioperasionalkan melalui tujuh indikator dengan bobot masing-masing: Revisi DIPA (5%), Deviasi Halaman III DIPA (15%), Penyerapan Anggaran (30%), Belanja Kontraktual (15%), Penyelesaian Tagihan (15%), Pengelolaan Uang Persediaan (5%), dan Capaian Output (15%) (PER-5/PB/2024). Indikator Deviasi Halaman III DIPA memiliki signifikansi khusus dalam penelitian ini karena mengukur akurasi perencanaan realisasi dana atas ketiga jenis belanja, termasuk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deviasi dihitung sebagai persentase simpangan antara RPD dan realisasi aktual dengan formula: Deviasi = (|Realisasi - RPD| / RPD) × 100%, sesuai Peraturan Dirjen Perbendaharaan Nomor PER-5/PB/2024. Semakin besar simpangan, semakin rendah nilai indikatornya.</w:t>
      </w:r>
    </w:p>
    <w:p>
      <w:pPr>
        <w:spacing w:after="0" w:before="0" w:line="480"/>
        <w:ind w:firstLine="709"/>
        <w:jc w:val="both"/>
      </w:pPr>
      <w:r>
        <w:rPr>
          <w:rFonts w:ascii="Times New Roman" w:cs="Times New Roman" w:eastAsia="Times New Roman" w:hAnsi="Times New Roman"/>
          <w:sz w:val="24"/>
          <w:szCs w:val="24"/>
        </w:rPr>
        <w:t xml:space="preserve">Nugroho et al. (2023) menemukan bahwa akurasi RPD berkorelasi positif dan signifikan dengan nilai IKPA total, dan satuan kerja yang konsisten menjaga deviasi rendah cenderung menunjukkan kinerja pelaksanaan anggaran yang lebih baik secara keseluruhan. Sholawatunnisa dan Supriyanto (2025) menunjukkan bahwa Deviasi Halaman III DIPA secara konsisten menjadi indikator dengan nilai terendah dalam profil IKPA satuan kerja, sehingga membutuhkan perhatian khusus, terutama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termin realisasinya paling sering bergeser.</w:t>
      </w:r>
    </w:p>
    <w:p>
      <w:pPr>
        <w:pStyle w:val="Heading2"/>
        <w:spacing w:after="160" w:before="240" w:line="480"/>
        <w:jc w:val="left"/>
      </w:pPr>
      <w:r>
        <w:rPr>
          <w:rFonts w:ascii="Times New Roman" w:cs="Times New Roman" w:eastAsia="Times New Roman" w:hAnsi="Times New Roman"/>
          <w:b/>
          <w:bCs/>
          <w:sz w:val="24"/>
          <w:szCs w:val="24"/>
        </w:rPr>
        <w:t xml:space="preserve">2.2 Ringkasan Penelitian Terdahulu</w:t>
      </w:r>
    </w:p>
    <w:p>
      <w:pPr>
        <w:spacing w:after="0" w:before="0" w:line="480"/>
        <w:ind w:firstLine="709"/>
        <w:jc w:val="both"/>
      </w:pPr>
      <w:r>
        <w:rPr>
          <w:rFonts w:ascii="Times New Roman" w:cs="Times New Roman" w:eastAsia="Times New Roman" w:hAnsi="Times New Roman"/>
          <w:sz w:val="24"/>
          <w:szCs w:val="24"/>
        </w:rPr>
        <w:t xml:space="preserve">Kajian terhadap pelaksanaan anggaran dan deviasi realisasi telah menarik perhatian sejumlah peneliti seiring menguatnya dorongan penganggaran berbasis kinerja di Indonesia. Bagian ini meringkas lima penelitian terdahulu yang relevan beserta kontribusinya, dengan penekanan pada keterkaitannya terhadap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Ratnasari (2022) mengkaji faktor-faktor penyebab deviasi antara RPD dengan realisasi belanja satuan kerja melalui pendekatan kualitatif, dan menemukan bahwa kualitas sumber daya manusia pengelola keuangan, kematangan perencanaan, serta revisi DIPA yang tidak terarah merupakan penyebab utama deviasi. Temuan ini relevan bagi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menuntut pejabat pengadaan bersertifikat dan estimasi harga yang akurat dalam menyusun rencana penarikan dana.</w:t>
      </w:r>
    </w:p>
    <w:p>
      <w:pPr>
        <w:spacing w:after="0" w:before="0" w:line="480"/>
        <w:ind w:firstLine="709"/>
        <w:jc w:val="both"/>
      </w:pPr>
      <w:r>
        <w:rPr>
          <w:rFonts w:ascii="Times New Roman" w:cs="Times New Roman" w:eastAsia="Times New Roman" w:hAnsi="Times New Roman"/>
          <w:sz w:val="24"/>
          <w:szCs w:val="24"/>
        </w:rPr>
        <w:t xml:space="preserve">Manangin et al. (2023) meneliti faktor-faktor yang memengaruhi nilai IKPA satuan kerja di wilayah KPPN Manado menggunakan pendekatan kuantitatif melalui survei dan analisis regresi, dan mengidentifikasi kompetensi sumber daya manusia, pemahaman regulasi penganggaran, serta komitmen pimpinan sebagai determinan utama. Faktor komitmen pimpinan dan kompetensi tersebut berpengaruh langsung terhadap efektivitas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sarat pengambilan keputusan kontraktual.</w:t>
      </w:r>
    </w:p>
    <w:p>
      <w:pPr>
        <w:spacing w:after="0" w:before="0" w:line="480"/>
        <w:ind w:firstLine="709"/>
        <w:jc w:val="both"/>
      </w:pPr>
      <w:r>
        <w:rPr>
          <w:rFonts w:ascii="Times New Roman" w:cs="Times New Roman" w:eastAsia="Times New Roman" w:hAnsi="Times New Roman"/>
          <w:sz w:val="24"/>
          <w:szCs w:val="24"/>
        </w:rPr>
        <w:t xml:space="preserve">Hanafi dan Wulandari (2023) melakukan analisis pengelompokan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sz w:val="24"/>
          <w:szCs w:val="24"/>
        </w:rPr>
        <w:t xml:space="preserve">) terhadap profil IKPA satuan kerja menggunakan metode </w:t>
      </w:r>
      <w:r>
        <w:rPr>
          <w:rFonts w:ascii="Times New Roman" w:cs="Times New Roman" w:eastAsia="Times New Roman" w:hAnsi="Times New Roman"/>
          <w:i/>
          <w:iCs/>
          <w:sz w:val="24"/>
          <w:szCs w:val="24"/>
        </w:rPr>
        <w:t xml:space="preserve">Fuzzy C-Means</w:t>
      </w:r>
      <w:r>
        <w:rPr>
          <w:rFonts w:ascii="Times New Roman" w:cs="Times New Roman" w:eastAsia="Times New Roman" w:hAnsi="Times New Roman"/>
          <w:sz w:val="24"/>
          <w:szCs w:val="24"/>
        </w:rPr>
        <w:t xml:space="preserve"> terhadap data ratusan satuan kerja, dan menemukan bahwa satuan kerja rumpun penegakan hukum secara konsisten membentuk kluster dengan nilai rendah pada indikator deviasi. Temuan ini memberikan pijakan empiris bahwa Rudenim, sebagai satuan kerja penegakan keimigrasian, berisiko tinggi mengalami deviasi, termasuk pada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Nugroho et al. (2023) mengkaji hubungan antara akurasi RPD dengan nilai IKPA total melalui studi kasus pada 20 satuan kerja di Jawa Tengah dengan pendekatan kuantitatif-kualitatif, dan menemukan korelasi positif yang signifikan. Akurasi RPD untuk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bersifat kontraktual lebih sulit dicapai dibandingkan Belanja Pegawai dan Belanja Barang, sehingga temuan ini memotivasi penelaahan yang lebih mendalam pada belanja kontraktual.</w:t>
      </w:r>
    </w:p>
    <w:p>
      <w:pPr>
        <w:spacing w:after="0" w:before="0" w:line="480"/>
        <w:ind w:firstLine="709"/>
        <w:jc w:val="both"/>
      </w:pPr>
      <w:r>
        <w:rPr>
          <w:rFonts w:ascii="Times New Roman" w:cs="Times New Roman" w:eastAsia="Times New Roman" w:hAnsi="Times New Roman"/>
          <w:sz w:val="24"/>
          <w:szCs w:val="24"/>
        </w:rPr>
        <w:t xml:space="preserve">Sholawatunnisa dan Supriyanto (2025) mengembangkan sistem peringatan dini (</w:t>
      </w:r>
      <w:r>
        <w:rPr>
          <w:rFonts w:ascii="Times New Roman" w:cs="Times New Roman" w:eastAsia="Times New Roman" w:hAnsi="Times New Roman"/>
          <w:i/>
          <w:iCs/>
          <w:sz w:val="24"/>
          <w:szCs w:val="24"/>
        </w:rPr>
        <w:t xml:space="preserve">early warning system</w:t>
      </w:r>
      <w:r>
        <w:rPr>
          <w:rFonts w:ascii="Times New Roman" w:cs="Times New Roman" w:eastAsia="Times New Roman" w:hAnsi="Times New Roman"/>
          <w:sz w:val="24"/>
          <w:szCs w:val="24"/>
        </w:rPr>
        <w:t xml:space="preserve">) deviasi anggaran menggunakan model SARIMA pada data deret waktu realisasi anggaran di lingkup Kanwil DJPb Nusa Tenggara Barat, dan menemukan bahwa deviasi memiliki pola musiman yang dapat diidentifikasi dan dimodelkan. Pola musiman tersebut, terutama pada triwulan III–IV, sangat khas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termin pembayarannya bergeser mengikuti progres fisik pekerjaan.</w:t>
      </w:r>
    </w:p>
    <w:p>
      <w:pPr>
        <w:spacing w:after="0" w:before="0" w:line="480"/>
        <w:ind w:firstLine="709"/>
        <w:jc w:val="both"/>
      </w:pPr>
      <w:r>
        <w:rPr>
          <w:rFonts w:ascii="Times New Roman" w:cs="Times New Roman" w:eastAsia="Times New Roman" w:hAnsi="Times New Roman"/>
          <w:sz w:val="24"/>
          <w:szCs w:val="24"/>
        </w:rPr>
        <w:t xml:space="preserve">Dari kelima penelitian tersebut dapat diidentifikasi tiga kesenjangan (</w:t>
      </w:r>
      <w:r>
        <w:rPr>
          <w:rFonts w:ascii="Times New Roman" w:cs="Times New Roman" w:eastAsia="Times New Roman" w:hAnsi="Times New Roman"/>
          <w:i/>
          <w:iCs/>
          <w:sz w:val="24"/>
          <w:szCs w:val="24"/>
        </w:rPr>
        <w:t xml:space="preserve">gap</w:t>
      </w:r>
      <w:r>
        <w:rPr>
          <w:rFonts w:ascii="Times New Roman" w:cs="Times New Roman" w:eastAsia="Times New Roman" w:hAnsi="Times New Roman"/>
          <w:sz w:val="24"/>
          <w:szCs w:val="24"/>
        </w:rPr>
        <w:t xml:space="preserve">) yang menjadi justifikasi akademis penelitian ini. Pertama, dari sisi objek, belum terdapat studi yang secara khusus mengkaji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Rudenim atau UPT detensi imigrasi mana pun. Kedua, dari sisi pendekatan, penelitian terdahulu dominan kuantitatif atau mengkaji lintas satuan kerja secara agregat, sehingga belum ada kajian kualitatif-deskriptif yang mendalami pelaksanaan anggaran satu satuan kerja tunggal secara komprehensif. Ketiga, dari sisi fokus, penelitian terdahulu mengkaji IKPA secara agregat tanpa memilah per jenis belanja, sehingga belum ada studi yang secara spesifik membedah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sebagai jenis belanja yang paling kompleks dan kontraktual. Ringkasan kelima penelitian beserta relevansinya disajikan pada Tabel 2.1.</w:t>
      </w:r>
    </w:p>
    <w:p>
      <w:pPr>
        <w:spacing w:after="80" w:before="240" w:line="480"/>
        <w:jc w:val="center"/>
      </w:pPr>
      <w:r>
        <w:rPr>
          <w:rFonts w:ascii="Times New Roman" w:cs="Times New Roman" w:eastAsia="Times New Roman" w:hAnsi="Times New Roman"/>
          <w:b/>
          <w:bCs/>
          <w:sz w:val="24"/>
          <w:szCs w:val="24"/>
        </w:rPr>
        <w:t xml:space="preserve">Tabel 2.1 Ringkasan Penelitian Terdahulu dan Relevansinya dengan Pelaksanaan Anggaran Belanja Modal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587"/>
        <w:gridCol w:w="1587"/>
        <w:gridCol w:w="1587"/>
        <w:gridCol w:w="1587"/>
        <w:gridCol w:w="1589"/>
      </w:tblGrid>
      <w:tr>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Peneliti</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Judul Penelitian</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Hasil Penelitian</w:t>
            </w:r>
          </w:p>
        </w:tc>
        <w:tc>
          <w:tcPr>
            <w:tcW w:type="dxa" w:w="1589"/>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Relevansi dengan Penelitian Ini</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Ratnasari (2022)</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Menilik Penyebab Deviasi antara Rencana dengan Realisasi Belanja Satuan Kerja Kementerian/Lembaga</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SDM, kematangan perencanaan, dan revisi DIPA menjadi penyebab utama deviasi RPD–realisasi belanja satker.</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Dasar teoritis penyebab deviasi; relevan untuk Belanja Modal yang menuntut kompetensi teknis tinggi.</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Manangin, Tinangon, &amp; Gamaliel (2023)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Faktor-Faktor yang Mempengaruhi Pencapaian Nilai IKPA Satuan Kerja di Lingkup KPPN Manado</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Kompetensi SDM, pemahaman regulasi, dan komitmen pimpinan berpengaruh signifikan terhadap nilai IKPA satker.</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Mendukung pentingnya kapasitas pejabat pengadaan dan PPK dalam pelaksanaan Belanja Modal.</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Hanafi &amp; Wulandari (2023)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Pengelompokan Satuan Kerja Berdasarkan Delapan Indikator IKPA Reformulasi 2022</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Satker rumpun penegakan hukum konsisten lemah pada indikator deviasi; Rudenim sebagai satker penegakan hukum berisiko tinggi.</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Pijakan empiris bahwa Rudenim rentan deviasi Belanja Modal; justifikasi fokus penelitian.</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Nugroho et al. (2023)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Evaluasi Implementasi IKPA: Studi Kasus 20 Satuan Kerja di Jawa Tengah</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Terdapat korelasi positif signifikan antara akurasi RPD dan nilai IKPA total; akurasi RPD Belanja Modal lebih sulit dicapai.</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Memperkuat urgensi menganalisis deviasi RPD Belanja Modal secara spesifik.</w:t>
            </w:r>
          </w:p>
        </w:tc>
      </w:tr>
      <w:tr>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Sholawatunnisa &amp; Supriyanto (2025)</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Early Warning System Deviasi Anggaran Berbasis Model SARIMA pada IKPA Kanwil DJPb NTB</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Deviasi anggaran memiliki pola musiman yang dapat dimodelkan secara statistik; pola triwulan III–IV khas pada Belanja Modal.</w:t>
            </w:r>
          </w:p>
        </w:tc>
        <w:tc>
          <w:tcPr>
            <w:tcW w:type="dxa" w:w="1589"/>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Mengonfirmasi pola struktural deviasi Belanja Modal; mendorong eksplorasi kualitatif penyebabnya.</w:t>
            </w:r>
          </w:p>
        </w:tc>
      </w:tr>
    </w:tbl>
    <w:p>
      <w:pPr>
        <w:spacing w:after="240" w:before="80" w:line="480"/>
        <w:jc w:val="left"/>
      </w:pPr>
      <w:r>
        <w:rPr>
          <w:rFonts w:ascii="Times New Roman" w:cs="Times New Roman" w:eastAsia="Times New Roman" w:hAnsi="Times New Roman"/>
          <w:i/>
          <w:iCs/>
          <w:sz w:val="22"/>
          <w:szCs w:val="22"/>
        </w:rPr>
        <w:t xml:space="preserve">Sumber: Disusun peneliti berdasarkan kajian literatur (2026)</w:t>
      </w:r>
    </w:p>
    <w:p>
      <w:pPr>
        <w:pStyle w:val="Heading2"/>
        <w:spacing w:after="160" w:before="240" w:line="480"/>
        <w:jc w:val="left"/>
      </w:pPr>
      <w:r>
        <w:rPr>
          <w:rFonts w:ascii="Times New Roman" w:cs="Times New Roman" w:eastAsia="Times New Roman" w:hAnsi="Times New Roman"/>
          <w:b/>
          <w:bCs/>
          <w:sz w:val="24"/>
          <w:szCs w:val="24"/>
        </w:rPr>
        <w:t xml:space="preserve">2.3 Proposisi Penelitian</w:t>
      </w:r>
    </w:p>
    <w:p>
      <w:pPr>
        <w:spacing w:after="0" w:before="0" w:line="480"/>
        <w:ind w:firstLine="709"/>
        <w:jc w:val="both"/>
      </w:pPr>
      <w:r>
        <w:rPr>
          <w:rFonts w:ascii="Times New Roman" w:cs="Times New Roman" w:eastAsia="Times New Roman" w:hAnsi="Times New Roman"/>
          <w:sz w:val="24"/>
          <w:szCs w:val="24"/>
        </w:rPr>
        <w:t xml:space="preserve">Penelitian ini merupakan penelitian kualitatif-deskriptif yang tidak menguji hipotesis statistik. Namun, berdasarkan landasan teori dan penelitian terdahulu, dapat dirumuskan proposisi penelitian sebagai kerangka pemikiran awal yang akan dieksplorasi dan diverifikasi melalui data lapangan.</w:t>
      </w:r>
    </w:p>
    <w:p>
      <w:pPr>
        <w:spacing w:after="0" w:before="0" w:line="480"/>
        <w:ind w:firstLine="709"/>
        <w:jc w:val="both"/>
      </w:pPr>
      <w:r>
        <w:rPr>
          <w:rFonts w:ascii="Times New Roman" w:cs="Times New Roman" w:eastAsia="Times New Roman" w:hAnsi="Times New Roman"/>
          <w:sz w:val="24"/>
          <w:szCs w:val="24"/>
        </w:rPr>
        <w:t xml:space="preserve">Pertama, kepatuhan terhadap regulasi pelaksanaan anggaran yang diatur dalam PMK 62/2023 </w:t>
      </w:r>
      <w:r>
        <w:rPr>
          <w:rFonts w:ascii="Times New Roman" w:cs="Times New Roman" w:eastAsia="Times New Roman" w:hAnsi="Times New Roman"/>
          <w:b/>
          <w:bCs/>
          <w:sz w:val="24"/>
          <w:szCs w:val="24"/>
        </w:rPr>
        <w:t xml:space="preserve">diduga memperkuat</w:t>
      </w:r>
      <w:r>
        <w:rPr>
          <w:rFonts w:ascii="Times New Roman" w:cs="Times New Roman" w:eastAsia="Times New Roman" w:hAnsi="Times New Roman"/>
          <w:sz w:val="24"/>
          <w:szCs w:val="24"/>
        </w:rPr>
        <w:t xml:space="preserve"> kualitas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satuan kerja. Kepatuhan terhadap mekanisme perencanaan (RPD Halaman III DIPA), pelaksanaan (pengadaan, kontrak, BAST), dan pelaporan (SPP–SPM–SP2D) yang ditetapkan regulasi </w:t>
      </w:r>
      <w:r>
        <w:rPr>
          <w:rFonts w:ascii="Times New Roman" w:cs="Times New Roman" w:eastAsia="Times New Roman" w:hAnsi="Times New Roman"/>
          <w:b/>
          <w:bCs/>
          <w:sz w:val="24"/>
          <w:szCs w:val="24"/>
        </w:rPr>
        <w:t xml:space="preserve">diperkirakan menurunkan</w:t>
      </w:r>
      <w:r>
        <w:rPr>
          <w:rFonts w:ascii="Times New Roman" w:cs="Times New Roman" w:eastAsia="Times New Roman" w:hAnsi="Times New Roman"/>
          <w:sz w:val="24"/>
          <w:szCs w:val="24"/>
        </w:rPr>
        <w:t xml:space="preserve"> tingkat deviasi antara rencana dan realisasi anggaran.</w:t>
      </w:r>
    </w:p>
    <w:p>
      <w:pPr>
        <w:spacing w:after="0" w:before="0" w:line="480"/>
        <w:ind w:firstLine="709"/>
        <w:jc w:val="both"/>
      </w:pPr>
      <w:r>
        <w:rPr>
          <w:rFonts w:ascii="Times New Roman" w:cs="Times New Roman" w:eastAsia="Times New Roman" w:hAnsi="Times New Roman"/>
          <w:sz w:val="24"/>
          <w:szCs w:val="24"/>
        </w:rPr>
        <w:t xml:space="preserve">Kedua, faktor-faktor internal satuan kerja—meliputi kualitas SDM pengadaan, kematangan perencanaan RPD, dan komitmen pimpinan—</w:t>
      </w:r>
      <w:r>
        <w:rPr>
          <w:rFonts w:ascii="Times New Roman" w:cs="Times New Roman" w:eastAsia="Times New Roman" w:hAnsi="Times New Roman"/>
          <w:b/>
          <w:bCs/>
          <w:sz w:val="24"/>
          <w:szCs w:val="24"/>
        </w:rPr>
        <w:t xml:space="preserve">berperan dalam terbentuknya</w:t>
      </w:r>
      <w:r>
        <w:rPr>
          <w:rFonts w:ascii="Times New Roman" w:cs="Times New Roman" w:eastAsia="Times New Roman" w:hAnsi="Times New Roman"/>
          <w:sz w:val="24"/>
          <w:szCs w:val="24"/>
        </w:rPr>
        <w:t xml:space="preserve">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Semakin rendah kapasitas perencanaan dan kompetensi pengadaan, semakin besar potensi deviasi antara RPD dan realisasi.</w:t>
      </w:r>
    </w:p>
    <w:p>
      <w:pPr>
        <w:spacing w:after="0" w:before="0" w:line="480"/>
        <w:ind w:firstLine="709"/>
        <w:jc w:val="both"/>
      </w:pPr>
      <w:r>
        <w:rPr>
          <w:rFonts w:ascii="Times New Roman" w:cs="Times New Roman" w:eastAsia="Times New Roman" w:hAnsi="Times New Roman"/>
          <w:sz w:val="24"/>
          <w:szCs w:val="24"/>
        </w:rPr>
        <w:t xml:space="preserve">Ketiga,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diduga menurunkan</w:t>
      </w:r>
      <w:r>
        <w:rPr>
          <w:rFonts w:ascii="Times New Roman" w:cs="Times New Roman" w:eastAsia="Times New Roman" w:hAnsi="Times New Roman"/>
          <w:sz w:val="24"/>
          <w:szCs w:val="24"/>
        </w:rPr>
        <w:t xml:space="preserve"> nilai Indikator Kinerja Pelaksanaan Anggaran (IKPA) satuan kerja, yang selanjutnya </w:t>
      </w:r>
      <w:r>
        <w:rPr>
          <w:rFonts w:ascii="Times New Roman" w:cs="Times New Roman" w:eastAsia="Times New Roman" w:hAnsi="Times New Roman"/>
          <w:b/>
          <w:bCs/>
          <w:sz w:val="24"/>
          <w:szCs w:val="24"/>
        </w:rPr>
        <w:t xml:space="preserve">memperkuat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berupa biaya monitoring (</w:t>
      </w:r>
      <w:r>
        <w:rPr>
          <w:rFonts w:ascii="Times New Roman" w:cs="Times New Roman" w:eastAsia="Times New Roman" w:hAnsi="Times New Roman"/>
          <w:i/>
          <w:iCs/>
          <w:sz w:val="24"/>
          <w:szCs w:val="24"/>
        </w:rPr>
        <w:t xml:space="preserve">monitoring cost</w:t>
      </w:r>
      <w:r>
        <w:rPr>
          <w:rFonts w:ascii="Times New Roman" w:cs="Times New Roman" w:eastAsia="Times New Roman" w:hAnsi="Times New Roman"/>
          <w:sz w:val="24"/>
          <w:szCs w:val="24"/>
        </w:rPr>
        <w:t xml:space="preserve">) dan kerugian sisa (</w:t>
      </w:r>
      <w:r>
        <w:rPr>
          <w:rFonts w:ascii="Times New Roman" w:cs="Times New Roman" w:eastAsia="Times New Roman" w:hAnsi="Times New Roman"/>
          <w:i/>
          <w:iCs/>
          <w:sz w:val="24"/>
          <w:szCs w:val="24"/>
        </w:rPr>
        <w:t xml:space="preserve">residual loss</w:t>
      </w:r>
      <w:r>
        <w:rPr>
          <w:rFonts w:ascii="Times New Roman" w:cs="Times New Roman" w:eastAsia="Times New Roman" w:hAnsi="Times New Roman"/>
          <w:sz w:val="24"/>
          <w:szCs w:val="24"/>
        </w:rPr>
        <w:t xml:space="preserve">), serta memengaruhi akuntabilitas dan reputasi satuan kerja di hadapan Kementerian Keuangan selaku prinsipal dalam hubungan keagenan.</w:t>
      </w:r>
    </w:p>
    <w:p>
      <w:pPr>
        <w:pStyle w:val="Heading2"/>
        <w:spacing w:after="160" w:before="240" w:line="480"/>
        <w:jc w:val="left"/>
      </w:pPr>
      <w:r>
        <w:rPr>
          <w:rFonts w:ascii="Times New Roman" w:cs="Times New Roman" w:eastAsia="Times New Roman" w:hAnsi="Times New Roman"/>
          <w:b/>
          <w:bCs/>
          <w:sz w:val="24"/>
          <w:szCs w:val="24"/>
        </w:rPr>
        <w:t xml:space="preserve">2.4 Kerangka Penelitian</w:t>
      </w:r>
    </w:p>
    <w:p>
      <w:pPr>
        <w:spacing w:after="0" w:before="0" w:line="480"/>
        <w:ind w:firstLine="709"/>
        <w:jc w:val="both"/>
      </w:pPr>
      <w:r>
        <w:rPr>
          <w:rFonts w:ascii="Times New Roman" w:cs="Times New Roman" w:eastAsia="Times New Roman" w:hAnsi="Times New Roman"/>
          <w:sz w:val="24"/>
          <w:szCs w:val="24"/>
        </w:rPr>
        <w:t xml:space="preserve">Kerangka pemikiran pada penelitian ini disusun untuk mengintegrasikan konteks regulasi, proses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fenomena deviasi, dampak terhadap IKPA, serta lensa analisis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ke dalam alur logis yang menjawab ketiga rumusan masalah. Secara naratif, kerangka tersebut dapat digambarkan sebagai berikut:</w:t>
      </w:r>
    </w:p>
    <w:p>
      <w:pPr>
        <w:spacing w:after="0" w:before="0" w:line="480"/>
        <w:ind w:firstLine="709"/>
        <w:jc w:val="both"/>
      </w:pPr>
      <w:r>
        <w:rPr>
          <w:rFonts w:ascii="Times New Roman" w:cs="Times New Roman" w:eastAsia="Times New Roman" w:hAnsi="Times New Roman"/>
          <w:b/>
          <w:bCs/>
          <w:sz w:val="24"/>
          <w:szCs w:val="24"/>
        </w:rPr>
        <w:t xml:space="preserve">Input (Konteks &amp; Regulasi):</w:t>
      </w:r>
      <w:r>
        <w:rPr>
          <w:rFonts w:ascii="Times New Roman" w:cs="Times New Roman" w:eastAsia="Times New Roman" w:hAnsi="Times New Roman"/>
          <w:sz w:val="24"/>
          <w:szCs w:val="24"/>
        </w:rPr>
        <w:t xml:space="preserve"> Kerangka dimulai dari fondasi regulasi yang mengatur pengelolaan keuangan negara (UU 17/2003, UU 1/2004), tata cara pelaksanaan anggaran (PMK 62/2023, PP 50/2018), pengadaan barang/jasa (Perpres 16/2018 jo. Perpres 12/2021), serta evaluasi kinerja (PER-5/PB/2024). Konteks spesifik objek penelitian—Rudenim Pontianak sebagai UPT di bawah Direktorat Jenderal Imigrasi dengan karakteristik wilayah perbatasan, dominasi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(60–70% pagu TA 2025), dan transisi kelembagaan TA 2025—menjadi </w:t>
      </w:r>
      <w:r>
        <w:rPr>
          <w:rFonts w:ascii="Times New Roman" w:cs="Times New Roman" w:eastAsia="Times New Roman" w:hAnsi="Times New Roman"/>
          <w:i/>
          <w:iCs/>
          <w:sz w:val="24"/>
          <w:szCs w:val="24"/>
        </w:rPr>
        <w:t xml:space="preserve">boundary condition</w:t>
      </w:r>
      <w:r>
        <w:rPr>
          <w:rFonts w:ascii="Times New Roman" w:cs="Times New Roman" w:eastAsia="Times New Roman" w:hAnsi="Times New Roman"/>
          <w:sz w:val="24"/>
          <w:szCs w:val="24"/>
        </w:rPr>
        <w:t xml:space="preserve"> yang memengaruhi dinamika pelaksanaan anggaran.</w:t>
      </w:r>
    </w:p>
    <w:p>
      <w:pPr>
        <w:spacing w:after="0" w:before="0" w:line="480"/>
        <w:ind w:firstLine="709"/>
        <w:jc w:val="both"/>
      </w:pPr>
      <w:r>
        <w:rPr>
          <w:rFonts w:ascii="Times New Roman" w:cs="Times New Roman" w:eastAsia="Times New Roman" w:hAnsi="Times New Roman"/>
          <w:b/>
          <w:bCs/>
          <w:sz w:val="24"/>
          <w:szCs w:val="24"/>
        </w:rPr>
        <w:t xml:space="preserve">Proses (Pelaksanaan Belanja Modal &amp; Titik Kritis):</w:t>
      </w:r>
      <w:r>
        <w:rPr>
          <w:rFonts w:ascii="Times New Roman" w:cs="Times New Roman" w:eastAsia="Times New Roman" w:hAnsi="Times New Roman"/>
          <w:sz w:val="24"/>
          <w:szCs w:val="24"/>
        </w:rPr>
        <w:t xml:space="preserve"> Proses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dibagi menjadi tiga fase utama berdasarkan PMK 62/2023 yang disesuaikan dengan siklus pengadaan: (1) Fase Perencanaan (penyusunan RKA-K/L, RPD Halaman III), (2) Fase Penyusunan Dokumen Pelaksanaan (pemilihan penyedia, penetapan kontrak, penetapan termin), dan (3) Fase Pelaksanaan Operasional (progres fisik, BAST, SPP-SPM-SP2D). Pada setiap fase, diidentifikasi </w:t>
      </w:r>
      <w:r>
        <w:rPr>
          <w:rFonts w:ascii="Times New Roman" w:cs="Times New Roman" w:eastAsia="Times New Roman" w:hAnsi="Times New Roman"/>
          <w:i/>
          <w:iCs/>
          <w:sz w:val="24"/>
          <w:szCs w:val="24"/>
        </w:rPr>
        <w:t xml:space="preserve">titik kritis deviasi</w:t>
      </w:r>
      <w:r>
        <w:rPr>
          <w:rFonts w:ascii="Times New Roman" w:cs="Times New Roman" w:eastAsia="Times New Roman" w:hAnsi="Times New Roman"/>
          <w:sz w:val="24"/>
          <w:szCs w:val="24"/>
        </w:rPr>
        <w:t xml:space="preserve"> (seperti ketidakakuratan estimasi harga, asumsi waktu pengadaan optimistik,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verifikasi, keterlambatan penyedia,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kendala sistem) yang menjadi fokus eksplorasi untuk menjawab RM 1 dan RM 2.</w:t>
      </w:r>
    </w:p>
    <w:p>
      <w:pPr>
        <w:spacing w:after="0" w:before="0" w:line="480"/>
        <w:ind w:firstLine="709"/>
        <w:jc w:val="both"/>
      </w:pPr>
      <w:r>
        <w:rPr>
          <w:rFonts w:ascii="Times New Roman" w:cs="Times New Roman" w:eastAsia="Times New Roman" w:hAnsi="Times New Roman"/>
          <w:b/>
          <w:bCs/>
          <w:sz w:val="24"/>
          <w:szCs w:val="24"/>
        </w:rPr>
        <w:t xml:space="preserve">Output (Deviasi Halaman III DIPA):</w:t>
      </w:r>
      <w:r>
        <w:rPr>
          <w:rFonts w:ascii="Times New Roman" w:cs="Times New Roman" w:eastAsia="Times New Roman" w:hAnsi="Times New Roman"/>
          <w:sz w:val="24"/>
          <w:szCs w:val="24"/>
        </w:rPr>
        <w:t xml:space="preserve"> Interaksi antara input regulasi, konteks organisasi, dan proses pelaksanaan menghasilkan output berupa deviasi antara RPD dan realisasi yang diukur melalui indikator Deviasi Halaman III DIPA IKPA. Arah deviasi (utama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dan pola temporalnya (bulan kritis, tren TA 2023–2025) menjadi deskripsi fenomenon yang menjawab RM 1.</w:t>
      </w:r>
    </w:p>
    <w:p>
      <w:pPr>
        <w:spacing w:after="0" w:before="0" w:line="480"/>
        <w:ind w:firstLine="709"/>
        <w:jc w:val="both"/>
      </w:pPr>
      <w:r>
        <w:rPr>
          <w:rFonts w:ascii="Times New Roman" w:cs="Times New Roman" w:eastAsia="Times New Roman" w:hAnsi="Times New Roman"/>
          <w:b/>
          <w:bCs/>
          <w:sz w:val="24"/>
          <w:szCs w:val="24"/>
        </w:rPr>
        <w:t xml:space="preserve">Outcome (Dampak IKPA &amp; </w:t>
      </w:r>
      <w:r>
        <w:rPr>
          <w:rFonts w:ascii="Times New Roman" w:cs="Times New Roman" w:eastAsia="Times New Roman" w:hAnsi="Times New Roman"/>
          <w:b/>
          <w:bCs/>
          <w:i/>
          <w:iCs/>
          <w:sz w:val="24"/>
          <w:szCs w:val="24"/>
        </w:rPr>
        <w:t xml:space="preserve">Agency Cost</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Deviasi yang berkelanjutan menurunkan skor IKPA (khususnya indikator Deviasi Halaman III DIPA), memicu pembinaan ketat KPPN (</w:t>
      </w:r>
      <w:r>
        <w:rPr>
          <w:rFonts w:ascii="Times New Roman" w:cs="Times New Roman" w:eastAsia="Times New Roman" w:hAnsi="Times New Roman"/>
          <w:i/>
          <w:iCs/>
          <w:sz w:val="24"/>
          <w:szCs w:val="24"/>
        </w:rPr>
        <w:t xml:space="preserve">monitoring cost</w:t>
      </w:r>
      <w:r>
        <w:rPr>
          <w:rFonts w:ascii="Times New Roman" w:cs="Times New Roman" w:eastAsia="Times New Roman" w:hAnsi="Times New Roman"/>
          <w:sz w:val="24"/>
          <w:szCs w:val="24"/>
        </w:rPr>
        <w:t xml:space="preserve">), membatasi fleksibilitas pencairan (</w:t>
      </w:r>
      <w:r>
        <w:rPr>
          <w:rFonts w:ascii="Times New Roman" w:cs="Times New Roman" w:eastAsia="Times New Roman" w:hAnsi="Times New Roman"/>
          <w:i/>
          <w:iCs/>
          <w:sz w:val="24"/>
          <w:szCs w:val="24"/>
        </w:rPr>
        <w:t xml:space="preserve">residual loss</w:t>
      </w:r>
      <w:r>
        <w:rPr>
          <w:rFonts w:ascii="Times New Roman" w:cs="Times New Roman" w:eastAsia="Times New Roman" w:hAnsi="Times New Roman"/>
          <w:sz w:val="24"/>
          <w:szCs w:val="24"/>
        </w:rPr>
        <w:t xml:space="preserve">), dan melemah akuntabilitas pengelolaan anggaran. Analisis </w:t>
      </w:r>
      <w:r>
        <w:rPr>
          <w:rFonts w:ascii="Times New Roman" w:cs="Times New Roman" w:eastAsia="Times New Roman" w:hAnsi="Times New Roman"/>
          <w:i/>
          <w:iCs/>
          <w:sz w:val="24"/>
          <w:szCs w:val="24"/>
        </w:rPr>
        <w:t xml:space="preserve">outcome</w:t>
      </w:r>
      <w:r>
        <w:rPr>
          <w:rFonts w:ascii="Times New Roman" w:cs="Times New Roman" w:eastAsia="Times New Roman" w:hAnsi="Times New Roman"/>
          <w:sz w:val="24"/>
          <w:szCs w:val="24"/>
        </w:rPr>
        <w:t xml:space="preserve"> ini menggunakan lensa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(asimetri informasi,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penyedia, rantai keagenan berlapis) untuk menjawab RM 3.</w:t>
      </w:r>
    </w:p>
    <w:p>
      <w:pPr>
        <w:spacing w:after="0" w:before="0" w:line="480"/>
        <w:ind w:firstLine="709"/>
        <w:jc w:val="both"/>
      </w:pPr>
      <w:r>
        <w:rPr>
          <w:rFonts w:ascii="Times New Roman" w:cs="Times New Roman" w:eastAsia="Times New Roman" w:hAnsi="Times New Roman"/>
          <w:b/>
          <w:bCs/>
          <w:sz w:val="24"/>
          <w:szCs w:val="24"/>
        </w:rPr>
        <w:t xml:space="preserve">Lensa Analisis: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(Jensen &amp; Meckling, 1976; Lane, 2003) diterapkan secara menyeluruh untuk memetakan hubungan </w:t>
      </w:r>
      <w:r>
        <w:rPr>
          <w:rFonts w:ascii="Times New Roman" w:cs="Times New Roman" w:eastAsia="Times New Roman" w:hAnsi="Times New Roman"/>
          <w:i/>
          <w:iCs/>
          <w:sz w:val="24"/>
          <w:szCs w:val="24"/>
        </w:rPr>
        <w:t xml:space="preserve">principal-agent</w:t>
      </w:r>
      <w:r>
        <w:rPr>
          <w:rFonts w:ascii="Times New Roman" w:cs="Times New Roman" w:eastAsia="Times New Roman" w:hAnsi="Times New Roman"/>
          <w:sz w:val="24"/>
          <w:szCs w:val="24"/>
        </w:rPr>
        <w:t xml:space="preserve"> pada setiap lapisan (Rakyat → DPR/Pemerintah → Kemenkeu/DJ Pb → Kanwil/KPPN → Rudenim/KPA/PPK → Penyedia) serta menginterpretasikan deviasi bukan sekadar kesalahan teknis, melainkan manifestasi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yang memerlukan respons </w:t>
      </w:r>
      <w:r>
        <w:rPr>
          <w:rFonts w:ascii="Times New Roman" w:cs="Times New Roman" w:eastAsia="Times New Roman" w:hAnsi="Times New Roman"/>
          <w:i/>
          <w:iCs/>
          <w:sz w:val="24"/>
          <w:szCs w:val="24"/>
        </w:rPr>
        <w:t xml:space="preserve">monitoring and control</w:t>
      </w:r>
      <w:r>
        <w:rPr>
          <w:rFonts w:ascii="Times New Roman" w:cs="Times New Roman" w:eastAsia="Times New Roman" w:hAnsi="Times New Roman"/>
          <w:sz w:val="24"/>
          <w:szCs w:val="24"/>
        </w:rPr>
        <w:t xml:space="preserve"> melalui IKPA.</w:t>
      </w:r>
    </w:p>
    <w:p>
      <w:pPr>
        <w:spacing w:after="0" w:before="0" w:line="480"/>
        <w:ind w:firstLine="709"/>
        <w:jc w:val="both"/>
      </w:pPr>
      <w:r>
        <w:rPr>
          <w:rFonts w:ascii="Times New Roman" w:cs="Times New Roman" w:eastAsia="Times New Roman" w:hAnsi="Times New Roman"/>
          <w:sz w:val="24"/>
          <w:szCs w:val="24"/>
        </w:rPr>
        <w:t xml:space="preserve">Kerangka ini divisualisasikan pada Gambar 2.1 yang memetakan alur dari Input → Proses (Fase &amp; Titik Kritis) → Output (Deviasi) → Outcome (IKPA,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dengan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sebagai </w:t>
      </w:r>
      <w:r>
        <w:rPr>
          <w:rFonts w:ascii="Times New Roman" w:cs="Times New Roman" w:eastAsia="Times New Roman" w:hAnsi="Times New Roman"/>
          <w:i/>
          <w:iCs/>
          <w:sz w:val="24"/>
          <w:szCs w:val="24"/>
        </w:rPr>
        <w:t xml:space="preserve">analytical lens</w:t>
      </w:r>
      <w:r>
        <w:rPr>
          <w:rFonts w:ascii="Times New Roman" w:cs="Times New Roman" w:eastAsia="Times New Roman" w:hAnsi="Times New Roman"/>
          <w:sz w:val="24"/>
          <w:szCs w:val="24"/>
        </w:rPr>
        <w:t xml:space="preserve"> yang mengawasi seluruh alur.</w:t>
      </w:r>
    </w:p>
    <w:p>
      <w:pPr>
        <w:sectPr>
          <w:headerReference w:type="default" r:id="rId14"/>
          <w:headerReference w:type="first" r:id="rId15"/>
          <w:footerReference w:type="default" r:id="rId16"/>
          <w:footerReference w:type="first" r:id="rId17"/>
          <w:pgSz w:w="11906" w:h="16838" w:orient="portrait"/>
          <w:pgMar w:top="2268" w:right="1701" w:bottom="1701" w:left="2268" w:header="708" w:footer="708" w:gutter="0"/>
          <w:pgNumType w:fmt="decimal"/>
          <w:titlePg/>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BAB III</w:t>
      </w:r>
      <w:r>
        <w:rPr>
          <w:rFonts w:ascii="Times New Roman" w:cs="Times New Roman" w:eastAsia="Times New Roman" w:hAnsi="Times New Roman"/>
          <w:b/>
          <w:bCs/>
          <w:sz w:val="24"/>
          <w:szCs w:val="24"/>
        </w:rPr>
        <w:br/>
        <w:t xml:space="preserve">METODE PENELITIAN</w:t>
      </w:r>
    </w:p>
    <w:p>
      <w:pPr>
        <w:pStyle w:val="Heading2"/>
        <w:spacing w:after="160" w:before="240" w:line="480"/>
        <w:jc w:val="left"/>
      </w:pPr>
      <w:r>
        <w:rPr>
          <w:rFonts w:ascii="Times New Roman" w:cs="Times New Roman" w:eastAsia="Times New Roman" w:hAnsi="Times New Roman"/>
          <w:b/>
          <w:bCs/>
          <w:sz w:val="24"/>
          <w:szCs w:val="24"/>
        </w:rPr>
        <w:t xml:space="preserve">3.1 Bentuk dan Subjek Penelitian</w:t>
      </w:r>
    </w:p>
    <w:p>
      <w:pPr>
        <w:spacing w:after="0" w:before="0" w:line="480"/>
        <w:ind w:firstLine="709"/>
        <w:jc w:val="both"/>
      </w:pPr>
      <w:r>
        <w:rPr>
          <w:rFonts w:ascii="Times New Roman" w:cs="Times New Roman" w:eastAsia="Times New Roman" w:hAnsi="Times New Roman"/>
          <w:sz w:val="24"/>
          <w:szCs w:val="24"/>
        </w:rPr>
        <w:t xml:space="preserve">Metode yang digunakan dalam penelitian ini adalah pendekatan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dengan jenis penelitian </w:t>
      </w:r>
      <w:r>
        <w:rPr>
          <w:rFonts w:ascii="Times New Roman" w:cs="Times New Roman" w:eastAsia="Times New Roman" w:hAnsi="Times New Roman"/>
          <w:i/>
          <w:iCs/>
          <w:sz w:val="24"/>
          <w:szCs w:val="24"/>
        </w:rPr>
        <w:t xml:space="preserve">deskriptif</w:t>
      </w:r>
      <w:r>
        <w:rPr>
          <w:rFonts w:ascii="Times New Roman" w:cs="Times New Roman" w:eastAsia="Times New Roman" w:hAnsi="Times New Roman"/>
          <w:sz w:val="24"/>
          <w:szCs w:val="24"/>
        </w:rPr>
        <w:t xml:space="preserve">. Creswell (2014, hlm. 4) mendefinisikan penelitian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sebagai </w:t>
      </w:r>
      <w:r>
        <w:rPr>
          <w:rFonts w:ascii="Times New Roman" w:cs="Times New Roman" w:eastAsia="Times New Roman" w:hAnsi="Times New Roman"/>
          <w:i/>
          <w:iCs/>
          <w:sz w:val="24"/>
          <w:szCs w:val="24"/>
        </w:rPr>
        <w:t xml:space="preserve">an approach for exploring and understanding the meaning individuals or groups ascribe to a social or human problem</w:t>
      </w:r>
      <w:r>
        <w:rPr>
          <w:rFonts w:ascii="Times New Roman" w:cs="Times New Roman" w:eastAsia="Times New Roman" w:hAnsi="Times New Roman"/>
          <w:sz w:val="24"/>
          <w:szCs w:val="24"/>
        </w:rPr>
        <w:t xml:space="preserve">, yang menegaskan bahwa kekuatan pendekatan ini terletak pada kemampuannya menelusuri makna dan proses di balik suatu fenomena. Dalam konteks penelitian ini, pendekatan </w:t>
      </w:r>
      <w:r>
        <w:rPr>
          <w:rFonts w:ascii="Times New Roman" w:cs="Times New Roman" w:eastAsia="Times New Roman" w:hAnsi="Times New Roman"/>
          <w:i/>
          <w:iCs/>
          <w:sz w:val="24"/>
          <w:szCs w:val="24"/>
        </w:rPr>
        <w:t xml:space="preserve">kualitatif deskriptif</w:t>
      </w:r>
      <w:r>
        <w:rPr>
          <w:rFonts w:ascii="Times New Roman" w:cs="Times New Roman" w:eastAsia="Times New Roman" w:hAnsi="Times New Roman"/>
          <w:sz w:val="24"/>
          <w:szCs w:val="24"/>
        </w:rPr>
        <w:t xml:space="preserve"> memungkinkan peneliti memahami secara mendalam bagaimana para pengelola anggaran Rudenim Pontianak melaksanakan anggaran belanja, khususnya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mulai dari perencanaan hingga pencairan, apa yang terjadi saat rencana </w:t>
      </w:r>
      <w:r>
        <w:rPr>
          <w:rFonts w:ascii="Times New Roman" w:cs="Times New Roman" w:eastAsia="Times New Roman" w:hAnsi="Times New Roman"/>
          <w:b/>
          <w:bCs/>
          <w:sz w:val="24"/>
          <w:szCs w:val="24"/>
        </w:rPr>
        <w:t xml:space="preserve">tidak selaras dengan realitas operasional</w:t>
      </w:r>
      <w:r>
        <w:rPr>
          <w:rFonts w:ascii="Times New Roman" w:cs="Times New Roman" w:eastAsia="Times New Roman" w:hAnsi="Times New Roman"/>
          <w:sz w:val="24"/>
          <w:szCs w:val="24"/>
        </w:rPr>
        <w:t xml:space="preserve">, dan mengapa deviasi pelaksanaan anggaran terjadi secara berulang.</w:t>
      </w:r>
    </w:p>
    <w:p>
      <w:pPr>
        <w:spacing w:after="0" w:before="0" w:line="480"/>
        <w:ind w:firstLine="709"/>
        <w:jc w:val="both"/>
      </w:pPr>
      <w:r>
        <w:rPr>
          <w:rFonts w:ascii="Times New Roman" w:cs="Times New Roman" w:eastAsia="Times New Roman" w:hAnsi="Times New Roman"/>
          <w:sz w:val="24"/>
          <w:szCs w:val="24"/>
        </w:rPr>
        <w:t xml:space="preserve">Pemilihan pendekatan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didasarkan pada karakter ketiga rumusan masalah yang hendak dijawab. RM 1 mengarahkan pada pertanyaan deskriptif tentang bagaimana implementasi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berlangsung, RM 2 bersifat eksplanatif tentang penyebab deviasi, dan RM 3 bersifat evaluatif tentang dampak deviasi; ketiganya menuntut pemahaman atas makna, proses, dan mekanisme yang tidak dapat ditangkap secara memadai melalui pengukuran variabel statistik semata. Rudenim Pontianak sebagai satu unit kasus tunggal (</w:t>
      </w:r>
      <w:r>
        <w:rPr>
          <w:rFonts w:ascii="Times New Roman" w:cs="Times New Roman" w:eastAsia="Times New Roman" w:hAnsi="Times New Roman"/>
          <w:i/>
          <w:iCs/>
          <w:sz w:val="24"/>
          <w:szCs w:val="24"/>
        </w:rPr>
        <w:t xml:space="preserve">single case study</w:t>
      </w:r>
      <w:r>
        <w:rPr>
          <w:rFonts w:ascii="Times New Roman" w:cs="Times New Roman" w:eastAsia="Times New Roman" w:hAnsi="Times New Roman"/>
          <w:sz w:val="24"/>
          <w:szCs w:val="24"/>
        </w:rPr>
        <w:t xml:space="preserve">) tidak memungkinkan generalisasi statistik, dan pertanyaan mengenai penyebab deviasi bersifat eksploratif yang belum memiliki hipotesis mapan untuk diuji (Creswell, 2014, hlm. 14–17).</w:t>
      </w:r>
    </w:p>
    <w:p>
      <w:pPr>
        <w:spacing w:after="0" w:before="0" w:line="480"/>
        <w:ind w:firstLine="709"/>
        <w:jc w:val="both"/>
      </w:pPr>
      <w:r>
        <w:rPr>
          <w:rFonts w:ascii="Times New Roman" w:cs="Times New Roman" w:eastAsia="Times New Roman" w:hAnsi="Times New Roman"/>
          <w:b/>
          <w:bCs/>
          <w:sz w:val="24"/>
          <w:szCs w:val="24"/>
        </w:rPr>
        <w:t xml:space="preserve">Populasi Penelitian</w:t>
      </w:r>
      <w:r>
        <w:rPr>
          <w:rFonts w:ascii="Times New Roman" w:cs="Times New Roman" w:eastAsia="Times New Roman" w:hAnsi="Times New Roman"/>
          <w:sz w:val="24"/>
          <w:szCs w:val="24"/>
        </w:rPr>
        <w:t xml:space="preserve"> dalam studi ini adalah seluruh pejabat struktural dan fungsional yang terlibat langsung dalam siklus perencanaan, pengadaan, pelaksanaan, pencairan, dan pengendalian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di Rudenim Pontianak selama periode Tahun Anggaran 2023–2025, serta seluruh arsip dokumen pelaksanaan anggaran periode tersebut.</w:t>
      </w:r>
    </w:p>
    <w:p>
      <w:pPr>
        <w:spacing w:after="0" w:before="0" w:line="480"/>
        <w:ind w:firstLine="709"/>
        <w:jc w:val="both"/>
      </w:pPr>
      <w:r>
        <w:rPr>
          <w:rFonts w:ascii="Times New Roman" w:cs="Times New Roman" w:eastAsia="Times New Roman" w:hAnsi="Times New Roman"/>
          <w:sz w:val="24"/>
          <w:szCs w:val="24"/>
        </w:rPr>
        <w:t xml:space="preserve">Penelitian ini dilaksanakan di Rumah Detensi Imigrasi (Rudenim) Pontianak, yang beralamat di Jalan Adi Sucipto KM. 15, Kabupaten Kubu Raya, Provinsi Kalimantan Barat. Rudenim Pontianak merupakan Unit Pelaksana Teknis (UPT) di bawah Direktorat Jenderal Imigrasi. Perlu dicatat bahwa selama periode penelitian, Rudenim Pontianak mengalami transisi kelembagaan: pada Tahun Anggaran 2023 dan 2024, satker ini berada di bawah Kementerian Hukum dan Hak Asasi Manusia (kode satker 664650), kemudian beralih ke Kementerian Imigrasi dan Pemasyarakatan (kode satker 692965) pada Tahun Anggaran 2025 seiring pembentukan kementerian baru berdasarkan Peraturan Presiden Nomor 139 Tahun 2024. Periode data yang dikaji mencakup Tahun Anggaran 2023, 2024, dan 2025, rentang tiga tahun yang memberikan variasi antar-tahun yang </w:t>
      </w:r>
      <w:r>
        <w:rPr>
          <w:rFonts w:ascii="Times New Roman" w:cs="Times New Roman" w:eastAsia="Times New Roman" w:hAnsi="Times New Roman"/>
          <w:b/>
          <w:bCs/>
          <w:sz w:val="24"/>
          <w:szCs w:val="24"/>
        </w:rPr>
        <w:t xml:space="preserve">memadai</w:t>
      </w:r>
      <w:r>
        <w:rPr>
          <w:rFonts w:ascii="Times New Roman" w:cs="Times New Roman" w:eastAsia="Times New Roman" w:hAnsi="Times New Roman"/>
          <w:sz w:val="24"/>
          <w:szCs w:val="24"/>
        </w:rPr>
        <w:t xml:space="preserve"> untuk membedakan pola deviasi persisten dari anomali, serta mencakup periode transisi struktural kelembagaan. Data penelitian bersumber dari dua jenis: data primer yang diperoleh melalui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dengan para pejabat pengelola anggaran, dan data sekunder yang bersumber dari dokumen anggaran (DIPA, LRA, laporan IKPA, dokumen kontrak pengadaan Belanja Modal, dan peraturan terkait).</w:t>
      </w:r>
    </w:p>
    <w:p>
      <w:pPr>
        <w:spacing w:after="0" w:before="0" w:line="480"/>
        <w:ind w:firstLine="709"/>
        <w:jc w:val="both"/>
      </w:pPr>
      <w:r>
        <w:rPr>
          <w:rFonts w:ascii="Times New Roman" w:cs="Times New Roman" w:eastAsia="Times New Roman" w:hAnsi="Times New Roman"/>
          <w:sz w:val="24"/>
          <w:szCs w:val="24"/>
        </w:rPr>
        <w:t xml:space="preserve">Pendekatan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secara khusus relevan dengan fokus penelitian pada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melibatkan banyak aktor dan proses yang sulit ditangkap secara kuantitatif. Belanja Modal (kode akun 53) memiliki karakteristik kontraktual dan multi-pihak yang berbeda dari Belanja Pegawai (kode 51) maupun Belanja Barang (kode 52): pelaksanaannya melibatkan mekanisme pengadaan barang/jasa pemerintah (Perpres 16/2018 jo. Perpres 12/2021), kontrak dengan penyedia, tahapan progres fisik, dan serangkaian proses verifikasi dokumen dari SPP hingga SP2D. Kompleksitas interaksi antar-aktor, meliputi PPK, Pokja Pemilihan, penyedia, PPSPM, hingga KPPN, memerlukan eksplorasi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mendalam yang mampu menangkap dinamika proses, hambatan, dan konteks keputusan yang melatarbelakangi deviasi.</w:t>
      </w:r>
    </w:p>
    <w:p>
      <w:pPr>
        <w:spacing w:after="0" w:before="0" w:line="480"/>
        <w:ind w:firstLine="709"/>
        <w:jc w:val="both"/>
      </w:pPr>
      <w:r>
        <w:rPr>
          <w:rFonts w:ascii="Times New Roman" w:cs="Times New Roman" w:eastAsia="Times New Roman" w:hAnsi="Times New Roman"/>
          <w:sz w:val="24"/>
          <w:szCs w:val="24"/>
        </w:rPr>
        <w:t xml:space="preserve">Untuk memperoleh data primer yang kredibel dan mendalam mengenai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peneliti menetapkan informan kunci yang terlibat langsung dalam siklus perencanaan dan pelaksanaan anggaran di Rumah Detensi Imigrasi Pontianak. Pemilihan informan dilakukan menggunakan teknik </w:t>
      </w:r>
      <w:r>
        <w:rPr>
          <w:rFonts w:ascii="Times New Roman" w:cs="Times New Roman" w:eastAsia="Times New Roman" w:hAnsi="Times New Roman"/>
          <w:i/>
          <w:iCs/>
          <w:sz w:val="24"/>
          <w:szCs w:val="24"/>
        </w:rPr>
        <w:t xml:space="preserve">purposive sampling</w:t>
      </w:r>
      <w:r>
        <w:rPr>
          <w:rFonts w:ascii="Times New Roman" w:cs="Times New Roman" w:eastAsia="Times New Roman" w:hAnsi="Times New Roman"/>
          <w:sz w:val="24"/>
          <w:szCs w:val="24"/>
        </w:rPr>
        <w:t xml:space="preserve"> (Patton, 2015) berdasarkan kriteria substantif sebagai berikut:</w:t>
      </w:r>
    </w:p>
    <w:p>
      <w:pPr>
        <w:pStyle w:val="ListParagraph"/>
        <w:numPr>
          <w:ilvl w:val="0"/>
          <w:numId w:val="3"/>
        </w:numPr>
        <w:spacing w:after="0" w:before="0" w:line="480"/>
        <w:ind w:left="720" w:hanging="360"/>
        <w:jc w:val="both"/>
      </w:pPr>
      <w:r>
        <w:rPr>
          <w:rFonts w:ascii="Times New Roman" w:cs="Times New Roman" w:eastAsia="Times New Roman" w:hAnsi="Times New Roman"/>
          <w:sz w:val="24"/>
          <w:szCs w:val="24"/>
        </w:rPr>
        <w:t xml:space="preserve">Memiliki posisi struktural atau fungsional yang terkait langsung dengan perencanaan dan/atau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Rudenim Pontianak.</w:t>
      </w:r>
    </w:p>
    <w:p>
      <w:pPr>
        <w:pStyle w:val="ListParagraph"/>
        <w:numPr>
          <w:ilvl w:val="0"/>
          <w:numId w:val="3"/>
        </w:numPr>
        <w:spacing w:after="0" w:before="0" w:line="480"/>
        <w:ind w:left="720" w:hanging="360"/>
        <w:jc w:val="both"/>
      </w:pPr>
      <w:r>
        <w:rPr>
          <w:rFonts w:ascii="Times New Roman" w:cs="Times New Roman" w:eastAsia="Times New Roman" w:hAnsi="Times New Roman"/>
          <w:sz w:val="24"/>
          <w:szCs w:val="24"/>
        </w:rPr>
        <w:t xml:space="preserve">Memiliki masa kerja minimal satu tahun pada posisi tersebut selama periode Tahun Anggaran 2023–2025.</w:t>
      </w:r>
    </w:p>
    <w:p>
      <w:pPr>
        <w:pStyle w:val="ListParagraph"/>
        <w:numPr>
          <w:ilvl w:val="0"/>
          <w:numId w:val="3"/>
        </w:numPr>
        <w:spacing w:after="0" w:before="0" w:line="480"/>
        <w:ind w:left="720" w:hanging="360"/>
        <w:jc w:val="both"/>
      </w:pPr>
      <w:r>
        <w:rPr>
          <w:rFonts w:ascii="Times New Roman" w:cs="Times New Roman" w:eastAsia="Times New Roman" w:hAnsi="Times New Roman"/>
          <w:sz w:val="24"/>
          <w:szCs w:val="24"/>
        </w:rPr>
        <w:t xml:space="preserve">Bersedia diwawancara dan direkam sebagaimana dinyatakan dalam lembar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Berdasarkan kriteria tersebut, teridentifikasi enam informan target yang disajikan pada Tabel 3.1. Jumlah informan ini </w:t>
      </w:r>
      <w:r>
        <w:rPr>
          <w:rFonts w:ascii="Times New Roman" w:cs="Times New Roman" w:eastAsia="Times New Roman" w:hAnsi="Times New Roman"/>
          <w:b/>
          <w:bCs/>
          <w:sz w:val="24"/>
          <w:szCs w:val="24"/>
        </w:rPr>
        <w:t xml:space="preserve">dijustifikasikan</w:t>
      </w:r>
      <w:r>
        <w:rPr>
          <w:rFonts w:ascii="Times New Roman" w:cs="Times New Roman" w:eastAsia="Times New Roman" w:hAnsi="Times New Roman"/>
          <w:sz w:val="24"/>
          <w:szCs w:val="24"/>
        </w:rPr>
        <w:t xml:space="preserve"> dengan pertimbangan </w:t>
      </w:r>
      <w:r>
        <w:rPr>
          <w:rFonts w:ascii="Times New Roman" w:cs="Times New Roman" w:eastAsia="Times New Roman" w:hAnsi="Times New Roman"/>
          <w:i/>
          <w:iCs/>
          <w:sz w:val="24"/>
          <w:szCs w:val="24"/>
        </w:rPr>
        <w:t xml:space="preserve">non-redundancy</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information power</w:t>
      </w:r>
      <w:r>
        <w:rPr>
          <w:rFonts w:ascii="Times New Roman" w:cs="Times New Roman" w:eastAsia="Times New Roman" w:hAnsi="Times New Roman"/>
          <w:sz w:val="24"/>
          <w:szCs w:val="24"/>
        </w:rPr>
        <w:t xml:space="preserve"> (Malterud et al., 2016; dalam Patton, 2015): keenam informan mewakili </w:t>
      </w:r>
      <w:r>
        <w:rPr>
          <w:rFonts w:ascii="Times New Roman" w:cs="Times New Roman" w:eastAsia="Times New Roman" w:hAnsi="Times New Roman"/>
          <w:i/>
          <w:iCs/>
          <w:sz w:val="24"/>
          <w:szCs w:val="24"/>
        </w:rPr>
        <w:t xml:space="preserve">full chain</w:t>
      </w:r>
      <w:r>
        <w:rPr>
          <w:rFonts w:ascii="Times New Roman" w:cs="Times New Roman" w:eastAsia="Times New Roman" w:hAnsi="Times New Roman"/>
          <w:sz w:val="24"/>
          <w:szCs w:val="24"/>
        </w:rPr>
        <w:t xml:space="preserve"> perencanaan–pengadaan–pelaksanaan–pencairan–pengendalian tanpa tumpang tindih peran (</w:t>
      </w:r>
      <w:r>
        <w:rPr>
          <w:rFonts w:ascii="Times New Roman" w:cs="Times New Roman" w:eastAsia="Times New Roman" w:hAnsi="Times New Roman"/>
          <w:i/>
          <w:iCs/>
          <w:sz w:val="24"/>
          <w:szCs w:val="24"/>
        </w:rPr>
        <w:t xml:space="preserve">non-redundant key informants</w:t>
      </w:r>
      <w:r>
        <w:rPr>
          <w:rFonts w:ascii="Times New Roman" w:cs="Times New Roman" w:eastAsia="Times New Roman" w:hAnsi="Times New Roman"/>
          <w:sz w:val="24"/>
          <w:szCs w:val="24"/>
        </w:rPr>
        <w:t xml:space="preserve">), sehingga mencakup seluruh rentang proses yang relevan untuk menjawab ketiga RM.</w:t>
      </w:r>
    </w:p>
    <w:p>
      <w:pPr>
        <w:spacing w:after="80" w:before="240" w:line="480"/>
        <w:jc w:val="center"/>
      </w:pPr>
      <w:r>
        <w:rPr>
          <w:rFonts w:ascii="Times New Roman" w:cs="Times New Roman" w:eastAsia="Times New Roman" w:hAnsi="Times New Roman"/>
          <w:b/>
          <w:bCs/>
          <w:sz w:val="24"/>
          <w:szCs w:val="24"/>
        </w:rPr>
        <w:t xml:space="preserve">Tabel 3.1 Daftar Informan Target Penelitian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7"/>
      </w:tblGrid>
      <w:tr>
        <w:tc>
          <w:tcPr>
            <w:tcW w:type="dxa" w:w="2645"/>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Kode</w:t>
            </w:r>
          </w:p>
        </w:tc>
        <w:tc>
          <w:tcPr>
            <w:tcW w:type="dxa" w:w="2645"/>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Posisi/Jabatan</w:t>
            </w:r>
          </w:p>
        </w:tc>
        <w:tc>
          <w:tcPr>
            <w:tcW w:type="dxa" w:w="264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Justifikasi Keterlibatan</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KPA</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Kuasa Pengguna Anggaran (Kepala Rudenim Pontianak)</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Otoritas tertinggi pengelolaan anggaran satker; penetapan DIPA dan RPD; perspektif strategis pelaksanaan Belanja Modal</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PPK</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Pembuat Komitmen</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Penanggung jawab komitmen pengadaan Belanja Modal; touchpoint utama kontrak, BAST, dan SPP-LS</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PPSPM</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Penandatangan SPM</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Penanggung jawab pencairan dana; verifikasi SPM; touchpoint teknis SAKTI/OM-SPAN</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BPG</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Bendahara Pengeluaran</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operasional kas; akses penuh realisasi harian; perspektif teknis-operasional</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SRKA</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Staf Penyusun Rencana Kerja dan Anggaran</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teknis penyusunan RPD bulanan; touchpoint perencanaan anggaran</w:t>
            </w:r>
          </w:p>
        </w:tc>
      </w:tr>
      <w:tr>
        <w:tc>
          <w:tcPr>
            <w:tcW w:type="dxa" w:w="2645"/>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PBJ</w:t>
            </w:r>
          </w:p>
        </w:tc>
        <w:tc>
          <w:tcPr>
            <w:tcW w:type="dxa" w:w="2645"/>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Pengadaan/Pejabat Fungsional Pengadaan Barang/Jasa</w:t>
            </w:r>
          </w:p>
        </w:tc>
        <w:tc>
          <w:tcPr>
            <w:tcW w:type="dxa" w:w="264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pemilihan penyedia untuk paket Belanja Modal; perspektif operasional pengadaan</w:t>
            </w:r>
          </w:p>
        </w:tc>
      </w:tr>
    </w:tbl>
    <w:p>
      <w:pPr>
        <w:spacing w:after="240" w:before="80" w:line="480"/>
        <w:jc w:val="left"/>
      </w:pPr>
      <w:r>
        <w:rPr>
          <w:rFonts w:ascii="Times New Roman" w:cs="Times New Roman" w:eastAsia="Times New Roman" w:hAnsi="Times New Roman"/>
          <w:i/>
          <w:iCs/>
          <w:sz w:val="22"/>
          <w:szCs w:val="22"/>
        </w:rPr>
        <w:t xml:space="preserve">Sumber: Disusun berdasarkan struktur organisasi pengelola keuangan dan pengadaan Rudenim Pontianak.</w:t>
      </w:r>
    </w:p>
    <w:p>
      <w:pPr>
        <w:pStyle w:val="Heading2"/>
        <w:spacing w:after="160" w:before="240" w:line="480"/>
        <w:jc w:val="left"/>
      </w:pPr>
      <w:r>
        <w:rPr>
          <w:rFonts w:ascii="Times New Roman" w:cs="Times New Roman" w:eastAsia="Times New Roman" w:hAnsi="Times New Roman"/>
          <w:b/>
          <w:bCs/>
          <w:sz w:val="24"/>
          <w:szCs w:val="24"/>
        </w:rPr>
        <w:t xml:space="preserve">3.2 Teknik Pengumpulan Data</w:t>
      </w:r>
    </w:p>
    <w:p>
      <w:pPr>
        <w:spacing w:after="0" w:before="0" w:line="480"/>
        <w:ind w:firstLine="709"/>
        <w:jc w:val="both"/>
      </w:pPr>
      <w:r>
        <w:rPr>
          <w:rFonts w:ascii="Times New Roman" w:cs="Times New Roman" w:eastAsia="Times New Roman" w:hAnsi="Times New Roman"/>
          <w:sz w:val="24"/>
          <w:szCs w:val="24"/>
        </w:rPr>
        <w:t xml:space="preserve">Penelitian ini menggunakan tiga teknik pengumpulan data utama, yaitu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(wawancara mendalam), studi dokumentasi, dan observasi non-partisipatif, yang saling melengkapi untuk menjawab ketiga rumusan masalah. Kombinasi ketiga teknik ini memungkinkan triangulasi sumber dan metode secara struktural: data primer dari wawancara memberikan kedalaman interpretatif dan eksplanatif, data sekunder dari dokumen menyediakan landasan faktual yang terverifikasi sistem, dan observasi menangkap konteks interaksi dan alur kerja yang tidak sepenuhnya terekam dalam dokumen maupun terungkap dalam wawancara.</w:t>
      </w:r>
    </w:p>
    <w:p>
      <w:pPr>
        <w:pStyle w:val="Heading3"/>
        <w:spacing w:after="160" w:before="240" w:line="480"/>
        <w:jc w:val="left"/>
      </w:pPr>
      <w:r>
        <w:rPr>
          <w:rFonts w:ascii="Times New Roman" w:cs="Times New Roman" w:eastAsia="Times New Roman" w:hAnsi="Times New Roman"/>
          <w:b/>
          <w:bCs/>
          <w:sz w:val="24"/>
          <w:szCs w:val="24"/>
        </w:rPr>
        <w:t xml:space="preserve">3.2.1 In-depth Interview (Wawancara Mendalam)</w:t>
      </w:r>
    </w:p>
    <w:p>
      <w:pPr>
        <w:spacing w:after="0" w:before="0" w:line="480"/>
        <w:ind w:firstLine="709"/>
        <w:jc w:val="both"/>
      </w:pP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(wawancara mendalam) semi-terstruktur dipilih sebagai teknik pengumpulan data primer utama. Sebagaimana dijelaskan Creswell (2014, hlm. 190–192), wawancara memungkinkan peneliti memperoleh informasi yang tidak dapat diamati secara langsung, termasuk pandangan, perspektif, dan penjelasan atas kejadian masa lalu. Dalam konteks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proses pengambilan keputusan pengadaan, dinamika koordinasi antar-pejabat keuangan, dan hambatan yang menyebabkan deviasi merupakan informasi yang hanya dapat diperoleh melalui narasi para pelakunya. Format semi-terstruktur dipilih mengikuti </w:t>
      </w:r>
      <w:r>
        <w:rPr>
          <w:rFonts w:ascii="Times New Roman" w:cs="Times New Roman" w:eastAsia="Times New Roman" w:hAnsi="Times New Roman"/>
          <w:i/>
          <w:iCs/>
          <w:sz w:val="24"/>
          <w:szCs w:val="24"/>
        </w:rPr>
        <w:t xml:space="preserve">general interview guide approach</w:t>
      </w:r>
      <w:r>
        <w:rPr>
          <w:rFonts w:ascii="Times New Roman" w:cs="Times New Roman" w:eastAsia="Times New Roman" w:hAnsi="Times New Roman"/>
          <w:sz w:val="24"/>
          <w:szCs w:val="24"/>
        </w:rPr>
        <w:t xml:space="preserve"> (Patton, 2015, hlm. 438–444): pedoman pertanyaan inti disiapkan untuk memastikan semua topik yang berkaitan dengan tiga RM terliputi, namun bersifat fleksibel untuk menggali tema yang muncul secara spontan.</w:t>
      </w:r>
    </w:p>
    <w:p>
      <w:pPr>
        <w:spacing w:after="0" w:before="0" w:line="480"/>
        <w:ind w:firstLine="709"/>
        <w:jc w:val="both"/>
      </w:pPr>
      <w:r>
        <w:rPr>
          <w:rFonts w:ascii="Times New Roman" w:cs="Times New Roman" w:eastAsia="Times New Roman" w:hAnsi="Times New Roman"/>
          <w:b/>
          <w:bCs/>
          <w:sz w:val="24"/>
          <w:szCs w:val="24"/>
        </w:rPr>
        <w:t xml:space="preserve">Validitas Instrumen Wawancara.</w:t>
      </w:r>
      <w:r>
        <w:rPr>
          <w:rFonts w:ascii="Times New Roman" w:cs="Times New Roman" w:eastAsia="Times New Roman" w:hAnsi="Times New Roman"/>
          <w:sz w:val="24"/>
          <w:szCs w:val="24"/>
        </w:rPr>
        <w:t xml:space="preserve"> Pedoman wawancara (</w:t>
      </w:r>
      <w:r>
        <w:rPr>
          <w:rFonts w:ascii="Times New Roman" w:cs="Times New Roman" w:eastAsia="Times New Roman" w:hAnsi="Times New Roman"/>
          <w:i/>
          <w:iCs/>
          <w:sz w:val="24"/>
          <w:szCs w:val="24"/>
        </w:rPr>
        <w:t xml:space="preserve">interview guide</w:t>
      </w:r>
      <w:r>
        <w:rPr>
          <w:rFonts w:ascii="Times New Roman" w:cs="Times New Roman" w:eastAsia="Times New Roman" w:hAnsi="Times New Roman"/>
          <w:sz w:val="24"/>
          <w:szCs w:val="24"/>
        </w:rPr>
        <w:t xml:space="preserve">) yang telah disusun berdasarkan matriks operasionalisasi konsep (Tabel 3.3) divalidasi melalui </w:t>
      </w:r>
      <w:r>
        <w:rPr>
          <w:rFonts w:ascii="Times New Roman" w:cs="Times New Roman" w:eastAsia="Times New Roman" w:hAnsi="Times New Roman"/>
          <w:i/>
          <w:iCs/>
          <w:sz w:val="24"/>
          <w:szCs w:val="24"/>
        </w:rPr>
        <w:t xml:space="preserve">expert judgment</w:t>
      </w:r>
      <w:r>
        <w:rPr>
          <w:rFonts w:ascii="Times New Roman" w:cs="Times New Roman" w:eastAsia="Times New Roman" w:hAnsi="Times New Roman"/>
          <w:sz w:val="24"/>
          <w:szCs w:val="24"/>
        </w:rPr>
        <w:t xml:space="preserve"> oleh kedua dosen pembimbing sebelum turun ke lapangan. Selanjutnya dilakukan </w:t>
      </w:r>
      <w:r>
        <w:rPr>
          <w:rFonts w:ascii="Times New Roman" w:cs="Times New Roman" w:eastAsia="Times New Roman" w:hAnsi="Times New Roman"/>
          <w:i/>
          <w:iCs/>
          <w:sz w:val="24"/>
          <w:szCs w:val="24"/>
        </w:rPr>
        <w:t xml:space="preserve">pilot test</w:t>
      </w:r>
      <w:r>
        <w:rPr>
          <w:rFonts w:ascii="Times New Roman" w:cs="Times New Roman" w:eastAsia="Times New Roman" w:hAnsi="Times New Roman"/>
          <w:sz w:val="24"/>
          <w:szCs w:val="24"/>
        </w:rPr>
        <w:t xml:space="preserve"> (uji coba) terhadap satu pejabat non-target (misalnya staf pengelola keuangan di Kanwil DJPb Kalimantan Barat) untuk menguji kelogisan alur pertanyaan, kejelasan bahasa, dan estimasi durasi. Hasil revisi </w:t>
      </w:r>
      <w:r>
        <w:rPr>
          <w:rFonts w:ascii="Times New Roman" w:cs="Times New Roman" w:eastAsia="Times New Roman" w:hAnsi="Times New Roman"/>
          <w:i/>
          <w:iCs/>
          <w:sz w:val="24"/>
          <w:szCs w:val="24"/>
        </w:rPr>
        <w:t xml:space="preserve">pilot test</w:t>
      </w:r>
      <w:r>
        <w:rPr>
          <w:rFonts w:ascii="Times New Roman" w:cs="Times New Roman" w:eastAsia="Times New Roman" w:hAnsi="Times New Roman"/>
          <w:sz w:val="24"/>
          <w:szCs w:val="24"/>
        </w:rPr>
        <w:t xml:space="preserve"> menjadi pedoman final yang digunakan.</w:t>
      </w:r>
    </w:p>
    <w:p>
      <w:pPr>
        <w:spacing w:after="0" w:before="0" w:line="480"/>
        <w:ind w:firstLine="709"/>
        <w:jc w:val="both"/>
      </w:pPr>
      <w:r>
        <w:rPr>
          <w:rFonts w:ascii="Times New Roman" w:cs="Times New Roman" w:eastAsia="Times New Roman" w:hAnsi="Times New Roman"/>
          <w:sz w:val="24"/>
          <w:szCs w:val="24"/>
        </w:rPr>
        <w:t xml:space="preserve">Aspek etika penelitian dijamin melalui tiga mekanisme: pertama, izin institusional melalui surat pengantar dari institusi pendidikan kepada Kepala Rudenim Pontianak; kedua,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 tertulis yang menjelaskan tujuan penelitian, prosedur, hak menolak menjawab, dan hak menarik diri; serta ketiga, anonimisasi identitas informan dalam laporan penelitian; seluruh kutipan menggunakan kode jabatan (KPA, PPK, PPSPM, BPG, SRKA, PBJ), bukan nama atau NIP.</w:t>
      </w:r>
    </w:p>
    <w:p>
      <w:pPr>
        <w:spacing w:after="0" w:before="0" w:line="480"/>
        <w:ind w:firstLine="709"/>
        <w:jc w:val="both"/>
      </w:pPr>
      <w:r>
        <w:rPr>
          <w:rFonts w:ascii="Times New Roman" w:cs="Times New Roman" w:eastAsia="Times New Roman" w:hAnsi="Times New Roman"/>
          <w:sz w:val="24"/>
          <w:szCs w:val="24"/>
        </w:rPr>
        <w:t xml:space="preserve">Secara operasional, pelaksanaan wawancara mendalam dilakukan secara semi-terstruktur dengan durasi berkisar antara 60 hingga 90 menit per sesi. Wawancara diselenggarakan di ruang tertutup pada kantor Rudenim Pontianak atau lokasi alternatif lain demi kenyamanan informan. Seluruh proses wawancara direkam menggunakan alat perekam audio atas persetujuan tertulis dari informan. Rekaman audio tersebut kemudian ditranskripsikan secara </w:t>
      </w:r>
      <w:r>
        <w:rPr>
          <w:rFonts w:ascii="Times New Roman" w:cs="Times New Roman" w:eastAsia="Times New Roman" w:hAnsi="Times New Roman"/>
          <w:i/>
          <w:iCs/>
          <w:sz w:val="24"/>
          <w:szCs w:val="24"/>
        </w:rPr>
        <w:t xml:space="preserve">verbatim</w:t>
      </w:r>
      <w:r>
        <w:rPr>
          <w:rFonts w:ascii="Times New Roman" w:cs="Times New Roman" w:eastAsia="Times New Roman" w:hAnsi="Times New Roman"/>
          <w:sz w:val="24"/>
          <w:szCs w:val="24"/>
        </w:rPr>
        <w:t xml:space="preserve"> dalam Bahasa Indonesia dengan tetap mempertahankan istilah-istilah teknis penganggaran. Sebagai bentuk verifikasi keabsahan data (Lincoln &amp; Guba, 1985), transkrip hasil wawancara dikirimkan kembali kepada informan dalam waktu tujuh hari untuk dilakukan pengecekan ulang dan konfirmasi kebenarannya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w:t>
      </w:r>
    </w:p>
    <w:p>
      <w:pPr>
        <w:pStyle w:val="Heading3"/>
        <w:spacing w:after="160" w:before="240" w:line="480"/>
        <w:jc w:val="left"/>
      </w:pPr>
      <w:r>
        <w:rPr>
          <w:rFonts w:ascii="Times New Roman" w:cs="Times New Roman" w:eastAsia="Times New Roman" w:hAnsi="Times New Roman"/>
          <w:b/>
          <w:bCs/>
          <w:sz w:val="24"/>
          <w:szCs w:val="24"/>
        </w:rPr>
        <w:t xml:space="preserve">3.2.2 Studi Dokumentasi</w:t>
      </w:r>
    </w:p>
    <w:p>
      <w:pPr>
        <w:spacing w:after="0" w:before="0" w:line="480"/>
        <w:ind w:firstLine="709"/>
        <w:jc w:val="both"/>
      </w:pPr>
      <w:r>
        <w:rPr>
          <w:rFonts w:ascii="Times New Roman" w:cs="Times New Roman" w:eastAsia="Times New Roman" w:hAnsi="Times New Roman"/>
          <w:sz w:val="24"/>
          <w:szCs w:val="24"/>
        </w:rPr>
        <w:t xml:space="preserve">Studi dokumentasi dilaksanakan sebagai teknik pengumpulan data sekunder yang berfungsi sebagai bukti objektif yang dapat diverifikasi secara sistem. Apabila narasi informan dalam wawancara berkesesuaian dengan data dalam dokumen, keyakinan atas temuan meningkat; apabila terdapat inkonsistensi, hal tersebut menjadi bahan klarifikasi pada wawancara lanjutan. Untuk memastikan keaslian dan kredibilitas, peneliti mengutamakan dokumen yang memiliki tanda tangan digital BSrE/BSSN atau dokumen yang ditarik langsung dari sistem OM-SPAN dan SAKTI yang teraudit. Daftar dokumen yang diakses dalam penelitian ini disajikan pada Tabel 3.2.</w:t>
      </w:r>
    </w:p>
    <w:p>
      <w:pPr>
        <w:spacing w:after="80" w:before="240" w:line="480"/>
        <w:jc w:val="center"/>
      </w:pPr>
      <w:r>
        <w:rPr>
          <w:rFonts w:ascii="Times New Roman" w:cs="Times New Roman" w:eastAsia="Times New Roman" w:hAnsi="Times New Roman"/>
          <w:b/>
          <w:bCs/>
          <w:sz w:val="24"/>
          <w:szCs w:val="24"/>
        </w:rPr>
        <w:t xml:space="preserve">Tabel 3.2 Daftar Dokumen Studi Dokumentasi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9"/>
      </w:tblGrid>
      <w:tr>
        <w:tc>
          <w:tcPr>
            <w:tcW w:type="dxa" w:w="3968"/>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3969"/>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Dokumen</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DIPA Rudenim Pontianak TA 2023, 2024, 2025 (termasuk Halaman III RPD)</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Realisasi Anggaran (LRA) per jenis belanja</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IKPA per semester (OM-SPAN/MEBE - Monitoring and Evaluation of Budget Execution)</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Dokumen kontrak pengadaan Belanja Modal dan BAST</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Dokumen RKA-K/L Ditjen Imigrasi</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PMK 62/2023; Perpres 16/2018 jo. Perpres 12/2021; PER-5/PB/2024</w:t>
            </w:r>
          </w:p>
        </w:tc>
      </w:tr>
      <w:tr>
        <w:tc>
          <w:tcPr>
            <w:tcW w:type="dxa" w:w="3968"/>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3969"/>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LKjIP Rudenim Pontianak TA 2023–2025</w:t>
            </w:r>
          </w:p>
        </w:tc>
      </w:tr>
    </w:tbl>
    <w:p>
      <w:pPr>
        <w:spacing w:after="240" w:before="80" w:line="480"/>
        <w:jc w:val="left"/>
      </w:pPr>
      <w:r>
        <w:rPr>
          <w:rFonts w:ascii="Times New Roman" w:cs="Times New Roman" w:eastAsia="Times New Roman" w:hAnsi="Times New Roman"/>
          <w:i/>
          <w:iCs/>
          <w:sz w:val="22"/>
          <w:szCs w:val="22"/>
        </w:rPr>
        <w:t xml:space="preserve">Sumber: Disusun berdasarkan kebutuhan data untuk menjawab RM 1, RM 2, dan RM 3.</w:t>
      </w:r>
    </w:p>
    <w:p>
      <w:pPr>
        <w:pStyle w:val="Heading3"/>
        <w:spacing w:after="160" w:before="240" w:line="480"/>
        <w:jc w:val="left"/>
      </w:pPr>
      <w:r>
        <w:rPr>
          <w:rFonts w:ascii="Times New Roman" w:cs="Times New Roman" w:eastAsia="Times New Roman" w:hAnsi="Times New Roman"/>
          <w:b/>
          <w:bCs/>
          <w:sz w:val="24"/>
          <w:szCs w:val="24"/>
        </w:rPr>
        <w:t xml:space="preserve">3.2.3 Observasi Non-Partisipatif</w:t>
      </w:r>
    </w:p>
    <w:p>
      <w:pPr>
        <w:spacing w:after="0" w:before="0" w:line="480"/>
        <w:ind w:firstLine="709"/>
        <w:jc w:val="both"/>
      </w:pPr>
      <w:r>
        <w:rPr>
          <w:rFonts w:ascii="Times New Roman" w:cs="Times New Roman" w:eastAsia="Times New Roman" w:hAnsi="Times New Roman"/>
          <w:sz w:val="24"/>
          <w:szCs w:val="24"/>
        </w:rPr>
        <w:t xml:space="preserve">Sebagai teknik pelengkap, observasi non-partisipatif dilaksanakan untuk menangkap dimensi alur kerja unit keuangan Rudenim Pontianak yang tidak selalu terekam dalam dokumen maupun terungkap dalam wawancara. Peneliti berposisi sebagai pengamat eksternal, hadir di </w:t>
      </w:r>
      <w:r>
        <w:rPr>
          <w:rFonts w:ascii="Times New Roman" w:cs="Times New Roman" w:eastAsia="Times New Roman" w:hAnsi="Times New Roman"/>
          <w:i/>
          <w:iCs/>
          <w:sz w:val="24"/>
          <w:szCs w:val="24"/>
        </w:rPr>
        <w:t xml:space="preserve">setting</w:t>
      </w:r>
      <w:r>
        <w:rPr>
          <w:rFonts w:ascii="Times New Roman" w:cs="Times New Roman" w:eastAsia="Times New Roman" w:hAnsi="Times New Roman"/>
          <w:sz w:val="24"/>
          <w:szCs w:val="24"/>
        </w:rPr>
        <w:t xml:space="preserve"> organisasi tetapi tidak terlibat dalam proses pengambilan keputusan (Creswell, 2014, hlm. 188–190). Objek observasi meliputi alur kerja penyusunan RPD, proses verifikasi SPP-SPM, dan koordinasi internal antar-pejabat pengelola anggaran khususnya terkait pengadaan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Protokol observasi (</w:t>
      </w:r>
      <w:r>
        <w:rPr>
          <w:rFonts w:ascii="Times New Roman" w:cs="Times New Roman" w:eastAsia="Times New Roman" w:hAnsi="Times New Roman"/>
          <w:i/>
          <w:iCs/>
          <w:sz w:val="24"/>
          <w:szCs w:val="24"/>
        </w:rPr>
        <w:t xml:space="preserve">observation guide/checklist</w:t>
      </w:r>
      <w:r>
        <w:rPr>
          <w:rFonts w:ascii="Times New Roman" w:cs="Times New Roman" w:eastAsia="Times New Roman" w:hAnsi="Times New Roman"/>
          <w:sz w:val="24"/>
          <w:szCs w:val="24"/>
        </w:rPr>
        <w:t xml:space="preserve">) telah disiapkan merujuk pada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analisis (Gambar 3.1) untuk memastikan fokus pada titik-titik kritis deviasi (Lampiran 2).</w:t>
      </w:r>
    </w:p>
    <w:p>
      <w:pPr>
        <w:pStyle w:val="Heading2"/>
        <w:spacing w:after="160" w:before="240" w:line="480"/>
        <w:jc w:val="left"/>
      </w:pPr>
      <w:r>
        <w:rPr>
          <w:rFonts w:ascii="Times New Roman" w:cs="Times New Roman" w:eastAsia="Times New Roman" w:hAnsi="Times New Roman"/>
          <w:b/>
          <w:bCs/>
          <w:sz w:val="24"/>
          <w:szCs w:val="24"/>
        </w:rPr>
        <w:t xml:space="preserve">3.3 Teknik Pengolahan dan Analisis Data</w:t>
      </w:r>
    </w:p>
    <w:p>
      <w:pPr>
        <w:spacing w:after="0" w:before="0" w:line="480"/>
        <w:ind w:firstLine="709"/>
        <w:jc w:val="both"/>
      </w:pPr>
      <w:r>
        <w:rPr>
          <w:rFonts w:ascii="Times New Roman" w:cs="Times New Roman" w:eastAsia="Times New Roman" w:hAnsi="Times New Roman"/>
          <w:sz w:val="24"/>
          <w:szCs w:val="24"/>
        </w:rPr>
        <w:t xml:space="preserve">Sub-bab ini menguraikan tiga komponen teknik pengolahan dan analisis data: pertama, alur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disajikan sebagai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kerangka analisis berbasis PMK 62/2023; kedua, model analisis </w:t>
      </w:r>
      <w:r>
        <w:rPr>
          <w:rFonts w:ascii="Times New Roman" w:cs="Times New Roman" w:eastAsia="Times New Roman" w:hAnsi="Times New Roman"/>
          <w:i/>
          <w:iCs/>
          <w:sz w:val="24"/>
          <w:szCs w:val="24"/>
        </w:rPr>
        <w:t xml:space="preserve">Framework Analysis</w:t>
      </w:r>
      <w:r>
        <w:rPr>
          <w:rFonts w:ascii="Times New Roman" w:cs="Times New Roman" w:eastAsia="Times New Roman" w:hAnsi="Times New Roman"/>
          <w:sz w:val="24"/>
          <w:szCs w:val="24"/>
        </w:rPr>
        <w:t xml:space="preserve"> (Analisis Tematik Deduktif) sebagai prosedur analisis data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dan ketiga, uji keabsahan data berdasarkan kriteria Lincoln dan Guba (1985).</w:t>
      </w:r>
    </w:p>
    <w:p>
      <w:pPr>
        <w:pStyle w:val="Heading3"/>
        <w:spacing w:after="160" w:before="240" w:line="480"/>
        <w:jc w:val="left"/>
      </w:pPr>
      <w:r>
        <w:rPr>
          <w:rFonts w:ascii="Times New Roman" w:cs="Times New Roman" w:eastAsia="Times New Roman" w:hAnsi="Times New Roman"/>
          <w:b/>
          <w:bCs/>
          <w:sz w:val="24"/>
          <w:szCs w:val="24"/>
        </w:rPr>
        <w:t xml:space="preserve">3.3.1 Alur Pelaksanaan Anggaran: Perencanaan, Penyusunan, dan Pelaksanaan (</w:t>
      </w:r>
      <w:r>
        <w:rPr>
          <w:rFonts w:ascii="Times New Roman" w:cs="Times New Roman" w:eastAsia="Times New Roman" w:hAnsi="Times New Roman"/>
          <w:b/>
          <w:bCs/>
          <w:i/>
          <w:iCs/>
          <w:sz w:val="24"/>
          <w:szCs w:val="24"/>
        </w:rPr>
        <w:t xml:space="preserve">Flowchart</w:t>
      </w:r>
      <w:r>
        <w:rPr>
          <w:rFonts w:ascii="Times New Roman" w:cs="Times New Roman" w:eastAsia="Times New Roman" w:hAnsi="Times New Roman"/>
          <w:b/>
          <w:bCs/>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Untuk memberikan kerangka analisis yang sistematis terhadap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penelitian ini menggunakan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yang menggambarkan tiga fase utama berdasarkan PMK Nomor 62 Tahun 2023, yakni Perencanaan, Penyusunan, dan Pelaksanaan, dengan penyesuaian khusus untuk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melibatkan mekanisme pengadaan barang/jasa berdasarkan Perpres Nomor 16 Tahun 2018 sebagaimana diubah dengan Perpres Nomor 12 Tahun 2021.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ini berfungsi sebagai peta analitis untuk mengidentifikasi titik-titik kritis pada setiap fase yang berpotensi menyebabkan deviasi antara rencana dan realisasi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80" w:before="240" w:line="480"/>
        <w:jc w:val="center"/>
      </w:pPr>
      <w:r>
        <w:rPr>
          <w:rFonts w:ascii="Times New Roman" w:cs="Times New Roman" w:eastAsia="Times New Roman" w:hAnsi="Times New Roman"/>
          <w:i/>
          <w:iCs/>
          <w:sz w:val="24"/>
          <w:szCs w:val="24"/>
        </w:rPr>
        <w:t xml:space="preserve">Gambar 3.1 Alur Pelaksanaan Anggaran Belanja Modal</w:t>
      </w:r>
    </w:p>
    <w:p>
      <w:pPr>
        <w:spacing w:after="80" w:line="480"/>
        <w:jc w:val="center"/>
      </w:pPr>
      <w:r>
        <w:rPr>
          <w:rFonts w:ascii="Times New Roman" w:cs="Times New Roman" w:eastAsia="Times New Roman" w:hAnsi="Times New Roman"/>
          <w:sz w:val="24"/>
          <w:szCs w:val="24"/>
        </w:rPr>
        <w:t xml:space="preserve">[Flowchart dimasukkan manual]</w:t>
      </w:r>
    </w:p>
    <w:p>
      <w:pPr>
        <w:spacing w:after="240" w:before="80" w:line="480"/>
        <w:jc w:val="left"/>
      </w:pPr>
      <w:r>
        <w:rPr>
          <w:rFonts w:ascii="Times New Roman" w:cs="Times New Roman" w:eastAsia="Times New Roman" w:hAnsi="Times New Roman"/>
          <w:i/>
          <w:iCs/>
          <w:sz w:val="22"/>
          <w:szCs w:val="22"/>
        </w:rPr>
        <w:t xml:space="preserve">Sumber: Diolah oleh peneliti berdasarkan PMK 62/2023 dan Perpres 16/2018 jo. Perpres 12/2021</w:t>
      </w:r>
    </w:p>
    <w:p>
      <w:pPr>
        <w:spacing w:after="0" w:before="0" w:line="480"/>
        <w:ind w:firstLine="709"/>
        <w:jc w:val="both"/>
      </w:pPr>
      <w:r>
        <w:rPr>
          <w:rFonts w:ascii="Times New Roman" w:cs="Times New Roman" w:eastAsia="Times New Roman" w:hAnsi="Times New Roman"/>
          <w:sz w:val="24"/>
          <w:szCs w:val="24"/>
        </w:rPr>
        <w:t xml:space="preserve">Pada Fase Perencanaan (T-1), titik kritis deviasi terutama bersumber dari ketidakakuratan estimasi harga: harga referensi e-katalog yang digunakan saat penyusunan RKA-K/L dapat berbeda </w:t>
      </w:r>
      <w:r>
        <w:rPr>
          <w:rFonts w:ascii="Times New Roman" w:cs="Times New Roman" w:eastAsia="Times New Roman" w:hAnsi="Times New Roman"/>
          <w:b/>
          <w:bCs/>
          <w:sz w:val="24"/>
          <w:szCs w:val="24"/>
        </w:rPr>
        <w:t xml:space="preserve">secara substansial</w:t>
      </w:r>
      <w:r>
        <w:rPr>
          <w:rFonts w:ascii="Times New Roman" w:cs="Times New Roman" w:eastAsia="Times New Roman" w:hAnsi="Times New Roman"/>
          <w:sz w:val="24"/>
          <w:szCs w:val="24"/>
        </w:rPr>
        <w:t xml:space="preserve"> dari harga pasar aktual pada saat pelaksanaan pengadaan, sehingga memaksa revisi atau bahkan pembatalan paket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Selain itu, TOR dan RAB yang tidak cukup mendetail dalam spesifikasi teknis menimbulkan </w:t>
      </w:r>
      <w:r>
        <w:rPr>
          <w:rFonts w:ascii="Times New Roman" w:cs="Times New Roman" w:eastAsia="Times New Roman" w:hAnsi="Times New Roman"/>
          <w:i/>
          <w:iCs/>
          <w:sz w:val="24"/>
          <w:szCs w:val="24"/>
        </w:rPr>
        <w:t xml:space="preserve">gap</w:t>
      </w:r>
      <w:r>
        <w:rPr>
          <w:rFonts w:ascii="Times New Roman" w:cs="Times New Roman" w:eastAsia="Times New Roman" w:hAnsi="Times New Roman"/>
          <w:sz w:val="24"/>
          <w:szCs w:val="24"/>
        </w:rPr>
        <w:t xml:space="preserve"> antara kebutuhan unit teknis dan penawaran penyedia pada tahap pengadaan. Asumsi waktu pengadaan yang terlalu optimistik, misalnya mengasumsikan kontrak sudah ditandatangani pada Kuartal I padahal proses tender memerlukan waktu minimal tiga bulan, juga berkontribusi pada ketidaksesuaian antara RPD dan realisasi.</w:t>
      </w:r>
    </w:p>
    <w:p>
      <w:pPr>
        <w:spacing w:after="0" w:before="0" w:line="480"/>
        <w:ind w:firstLine="709"/>
        <w:jc w:val="both"/>
      </w:pPr>
      <w:r>
        <w:rPr>
          <w:rFonts w:ascii="Times New Roman" w:cs="Times New Roman" w:eastAsia="Times New Roman" w:hAnsi="Times New Roman"/>
          <w:sz w:val="24"/>
          <w:szCs w:val="24"/>
        </w:rPr>
        <w:t xml:space="preserve">Pada Fase Penyusunan Dokumen Pelaksanaan, titik kritis utama terletak pada penyusunan RPD Halaman III DIPA yang bersifat </w:t>
      </w:r>
      <w:r>
        <w:rPr>
          <w:rFonts w:ascii="Times New Roman" w:cs="Times New Roman" w:eastAsia="Times New Roman" w:hAnsi="Times New Roman"/>
          <w:i/>
          <w:iCs/>
          <w:sz w:val="24"/>
          <w:szCs w:val="24"/>
        </w:rPr>
        <w:t xml:space="preserve">overly optimistic</w:t>
      </w:r>
      <w:r>
        <w:rPr>
          <w:rFonts w:ascii="Times New Roman" w:cs="Times New Roman" w:eastAsia="Times New Roman" w:hAnsi="Times New Roman"/>
          <w:sz w:val="24"/>
          <w:szCs w:val="24"/>
        </w:rPr>
        <w:t xml:space="preserve">. Proyeksi kebutuhan kas bulanan untuk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sering kali mengasumsikan bahwa pengadaan dimulai sejak awal tahun anggaran, padahal pada kenyataannya proses tender, evaluasi, dan penetapan pemenang memerlukan waktu yang melampaui asumsi awal. Selain itu, RPD belum mempertimbangkan </w:t>
      </w:r>
      <w:r>
        <w:rPr>
          <w:rFonts w:ascii="Times New Roman" w:cs="Times New Roman" w:eastAsia="Times New Roman" w:hAnsi="Times New Roman"/>
          <w:i/>
          <w:iCs/>
          <w:sz w:val="24"/>
          <w:szCs w:val="24"/>
        </w:rPr>
        <w:t xml:space="preserve">slack</w:t>
      </w:r>
      <w:r>
        <w:rPr>
          <w:rFonts w:ascii="Times New Roman" w:cs="Times New Roman" w:eastAsia="Times New Roman" w:hAnsi="Times New Roman"/>
          <w:sz w:val="24"/>
          <w:szCs w:val="24"/>
        </w:rPr>
        <w:t xml:space="preserve"> waktu untuk kelengkapan dokumen pihak ketiga seperti akta perusahaan, perizinan, dan sertifikasi yang diperlukan dalam proses pengadaan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Pada Fase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fase yang memiliki </w:t>
      </w:r>
      <w:r>
        <w:rPr>
          <w:rFonts w:ascii="Times New Roman" w:cs="Times New Roman" w:eastAsia="Times New Roman" w:hAnsi="Times New Roman"/>
          <w:b/>
          <w:bCs/>
          <w:sz w:val="24"/>
          <w:szCs w:val="24"/>
        </w:rPr>
        <w:t xml:space="preserve">jumlah titik kritis terbanyak</w:t>
      </w:r>
      <w:r>
        <w:rPr>
          <w:rFonts w:ascii="Times New Roman" w:cs="Times New Roman" w:eastAsia="Times New Roman" w:hAnsi="Times New Roman"/>
          <w:sz w:val="24"/>
          <w:szCs w:val="24"/>
        </w:rPr>
        <w:t xml:space="preserve">, sumber deviasi meliputi: tender gagal atau diulang yang memaksa pergeseran </w:t>
      </w:r>
      <w:r>
        <w:rPr>
          <w:rFonts w:ascii="Times New Roman" w:cs="Times New Roman" w:eastAsia="Times New Roman" w:hAnsi="Times New Roman"/>
          <w:i/>
          <w:iCs/>
          <w:sz w:val="24"/>
          <w:szCs w:val="24"/>
        </w:rPr>
        <w:t xml:space="preserve">timeline</w:t>
      </w:r>
      <w:r>
        <w:rPr>
          <w:rFonts w:ascii="Times New Roman" w:cs="Times New Roman" w:eastAsia="Times New Roman" w:hAnsi="Times New Roman"/>
          <w:sz w:val="24"/>
          <w:szCs w:val="24"/>
        </w:rPr>
        <w:t xml:space="preserve"> realisasi (sebagaimana diatur Perpres 16/2018 Pasal 38); keterlambatan progres fisik akibat faktor cuaca,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atau kapasitas penyedia lokal; tertundanya BAST karena pekerjaan belum mencapai progres yang disyaratkan; ketidaklengkapan dokumen tagihan dari penyedia (faktur, kuitansi, dokumen pajak) yang mengakibatkan revisi SPP; ketatnya proses verifikasi PPSPM sebagai amanat akuntabilitas yang menjadi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waktu; serta pemblokiran anggaran di tengah tahun yang menggagalkan rencana realisasi yang sudah dijadwalkan. Keseluruhan titik kritis ini menjadi fokus eksplorasi dalam wawancara mendalam, khususnya untuk menjawab RM 2 (penyebab deviasi) dan RM 3 (dampak deviasi).</w:t>
      </w:r>
    </w:p>
    <w:p>
      <w:pPr>
        <w:pStyle w:val="Heading3"/>
        <w:spacing w:after="160" w:before="240" w:line="480"/>
        <w:jc w:val="left"/>
      </w:pPr>
      <w:r>
        <w:rPr>
          <w:rFonts w:ascii="Times New Roman" w:cs="Times New Roman" w:eastAsia="Times New Roman" w:hAnsi="Times New Roman"/>
          <w:b/>
          <w:bCs/>
          <w:sz w:val="24"/>
          <w:szCs w:val="24"/>
        </w:rPr>
        <w:t xml:space="preserve">3.3.2 Model Analisis Data: Framework Analysis (Analisis Tematik Deduktif)</w:t>
      </w:r>
    </w:p>
    <w:p>
      <w:pPr>
        <w:spacing w:after="0" w:before="0" w:line="480"/>
        <w:ind w:firstLine="709"/>
        <w:jc w:val="both"/>
      </w:pPr>
      <w:r>
        <w:rPr>
          <w:rFonts w:ascii="Times New Roman" w:cs="Times New Roman" w:eastAsia="Times New Roman" w:hAnsi="Times New Roman"/>
          <w:sz w:val="24"/>
          <w:szCs w:val="24"/>
        </w:rPr>
        <w:t xml:space="preserve">Analisis data dalam penelitian ini dilaksanakan menggunakan </w:t>
      </w:r>
      <w:r>
        <w:rPr>
          <w:rFonts w:ascii="Times New Roman" w:cs="Times New Roman" w:eastAsia="Times New Roman" w:hAnsi="Times New Roman"/>
          <w:b/>
          <w:bCs/>
          <w:sz w:val="24"/>
          <w:szCs w:val="24"/>
        </w:rPr>
        <w:t xml:space="preserve">Framework Analysis</w:t>
      </w:r>
      <w:r>
        <w:rPr>
          <w:rFonts w:ascii="Times New Roman" w:cs="Times New Roman" w:eastAsia="Times New Roman" w:hAnsi="Times New Roman"/>
          <w:sz w:val="24"/>
          <w:szCs w:val="24"/>
        </w:rPr>
        <w:t xml:space="preserve"> (Analisis Kerangka) yang dikembangkan dari model </w:t>
      </w:r>
      <w:r>
        <w:rPr>
          <w:rFonts w:ascii="Times New Roman" w:cs="Times New Roman" w:eastAsia="Times New Roman" w:hAnsi="Times New Roman"/>
          <w:i/>
          <w:iCs/>
          <w:sz w:val="24"/>
          <w:szCs w:val="24"/>
        </w:rPr>
        <w:t xml:space="preserve">interactive model</w:t>
      </w:r>
      <w:r>
        <w:rPr>
          <w:rFonts w:ascii="Times New Roman" w:cs="Times New Roman" w:eastAsia="Times New Roman" w:hAnsi="Times New Roman"/>
          <w:sz w:val="24"/>
          <w:szCs w:val="24"/>
        </w:rPr>
        <w:t xml:space="preserve"> Miles dan Huberman (1994, hlm. 10–12) dengan penekanan pada pendekatan deduktif (</w:t>
      </w:r>
      <w:r>
        <w:rPr>
          <w:rFonts w:ascii="Times New Roman" w:cs="Times New Roman" w:eastAsia="Times New Roman" w:hAnsi="Times New Roman"/>
          <w:i/>
          <w:iCs/>
          <w:sz w:val="24"/>
          <w:szCs w:val="24"/>
        </w:rPr>
        <w:t xml:space="preserve">deductive thematic analysis</w:t>
      </w:r>
      <w:r>
        <w:rPr>
          <w:rFonts w:ascii="Times New Roman" w:cs="Times New Roman" w:eastAsia="Times New Roman" w:hAnsi="Times New Roman"/>
          <w:sz w:val="24"/>
          <w:szCs w:val="24"/>
        </w:rPr>
        <w:t xml:space="preserve">). Model ini dipilih karena sesuai dengan karakter penelitian yang sudah memiliki kerangka konseptual dan proposisi awal (Bab 2.3 dan 2.4) berbasis teori (Agency Theory) dan regulasi (PMK 62/2023, Perpres 16/2018), sehingga analisis bukan bermula dari nol (</w:t>
      </w:r>
      <w:r>
        <w:rPr>
          <w:rFonts w:ascii="Times New Roman" w:cs="Times New Roman" w:eastAsia="Times New Roman" w:hAnsi="Times New Roman"/>
          <w:i/>
          <w:iCs/>
          <w:sz w:val="24"/>
          <w:szCs w:val="24"/>
        </w:rPr>
        <w:t xml:space="preserve">grounded theory</w:t>
      </w:r>
      <w:r>
        <w:rPr>
          <w:rFonts w:ascii="Times New Roman" w:cs="Times New Roman" w:eastAsia="Times New Roman" w:hAnsi="Times New Roman"/>
          <w:sz w:val="24"/>
          <w:szCs w:val="24"/>
        </w:rPr>
        <w:t xml:space="preserve">) melainkan menguji dan memperkaya kerangka yang ada (</w:t>
      </w:r>
      <w:r>
        <w:rPr>
          <w:rFonts w:ascii="Times New Roman" w:cs="Times New Roman" w:eastAsia="Times New Roman" w:hAnsi="Times New Roman"/>
          <w:i/>
          <w:iCs/>
          <w:sz w:val="24"/>
          <w:szCs w:val="24"/>
        </w:rPr>
        <w:t xml:space="preserve">theory-driven</w:t>
      </w:r>
      <w:r>
        <w:rPr>
          <w:rFonts w:ascii="Times New Roman" w:cs="Times New Roman" w:eastAsia="Times New Roman" w:hAnsi="Times New Roman"/>
          <w:sz w:val="24"/>
          <w:szCs w:val="24"/>
        </w:rPr>
        <w:t xml:space="preserve">). Proses analisis bersifat iteratif dan simultan: pengumpulan data, reduksi data, penyajian data, dan penarikan kesimpulan berlangsung dalam siklus yang saling mengisi.</w:t>
      </w:r>
    </w:p>
    <w:p>
      <w:pPr>
        <w:spacing w:after="0" w:before="0" w:line="480"/>
        <w:ind w:firstLine="709"/>
        <w:jc w:val="both"/>
      </w:pPr>
      <w:r>
        <w:rPr>
          <w:rFonts w:ascii="Times New Roman" w:cs="Times New Roman" w:eastAsia="Times New Roman" w:hAnsi="Times New Roman"/>
          <w:b/>
          <w:bCs/>
          <w:sz w:val="24"/>
          <w:szCs w:val="24"/>
        </w:rPr>
        <w:t xml:space="preserve">Tahap Pertama: Reduksi Data (</w:t>
      </w:r>
      <w:r>
        <w:rPr>
          <w:rFonts w:ascii="Times New Roman" w:cs="Times New Roman" w:eastAsia="Times New Roman" w:hAnsi="Times New Roman"/>
          <w:b/>
          <w:bCs/>
          <w:i/>
          <w:iCs/>
          <w:sz w:val="24"/>
          <w:szCs w:val="24"/>
        </w:rPr>
        <w:t xml:space="preserve">Data Reduction</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Reduksi dilaksanakan melalui transkripsi </w:t>
      </w:r>
      <w:r>
        <w:rPr>
          <w:rFonts w:ascii="Times New Roman" w:cs="Times New Roman" w:eastAsia="Times New Roman" w:hAnsi="Times New Roman"/>
          <w:i/>
          <w:iCs/>
          <w:sz w:val="24"/>
          <w:szCs w:val="24"/>
        </w:rPr>
        <w:t xml:space="preserve">verbatim</w:t>
      </w:r>
      <w:r>
        <w:rPr>
          <w:rFonts w:ascii="Times New Roman" w:cs="Times New Roman" w:eastAsia="Times New Roman" w:hAnsi="Times New Roman"/>
          <w:sz w:val="24"/>
          <w:szCs w:val="24"/>
        </w:rPr>
        <w:t xml:space="preserve"> rekaman wawancara, kemudian pengkodean bertahap sebagai berikut:</w:t>
      </w:r>
    </w:p>
    <w:p>
      <w:pPr>
        <w:pStyle w:val="ListParagraph"/>
        <w:numPr>
          <w:ilvl w:val="0"/>
          <w:numId w:val="4"/>
        </w:numPr>
        <w:spacing w:after="0" w:before="0" w:line="480"/>
        <w:ind w:left="720" w:hanging="360"/>
        <w:jc w:val="both"/>
      </w:pPr>
      <w:r>
        <w:rPr>
          <w:rFonts w:ascii="Times New Roman" w:cs="Times New Roman" w:eastAsia="Times New Roman" w:hAnsi="Times New Roman"/>
          <w:b/>
          <w:bCs/>
          <w:sz w:val="24"/>
          <w:szCs w:val="24"/>
        </w:rPr>
        <w:t xml:space="preserve">Pengkodean Awal (</w:t>
      </w:r>
      <w:r>
        <w:rPr>
          <w:rFonts w:ascii="Times New Roman" w:cs="Times New Roman" w:eastAsia="Times New Roman" w:hAnsi="Times New Roman"/>
          <w:b/>
          <w:bCs/>
          <w:i/>
          <w:iCs/>
          <w:sz w:val="24"/>
          <w:szCs w:val="24"/>
        </w:rPr>
        <w:t xml:space="preserve">Initial Coding</w:t>
      </w:r>
      <w:r>
        <w:rPr>
          <w:rFonts w:ascii="Times New Roman" w:cs="Times New Roman" w:eastAsia="Times New Roman" w:hAnsi="Times New Roman"/>
          <w:b/>
          <w:bCs/>
          <w:sz w:val="24"/>
          <w:szCs w:val="24"/>
        </w:rPr>
        <w:t xml:space="preserve"> / </w:t>
      </w:r>
      <w:r>
        <w:rPr>
          <w:rFonts w:ascii="Times New Roman" w:cs="Times New Roman" w:eastAsia="Times New Roman" w:hAnsi="Times New Roman"/>
          <w:b/>
          <w:bCs/>
          <w:i/>
          <w:iCs/>
          <w:sz w:val="24"/>
          <w:szCs w:val="24"/>
        </w:rPr>
        <w:t xml:space="preserve">Open Coding</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Pemberian label pada unit makna dasar yang muncul dari data mentah (narasi informan, dokumen, catatan observasi).</w:t>
      </w:r>
    </w:p>
    <w:p>
      <w:pPr>
        <w:pStyle w:val="ListParagraph"/>
        <w:numPr>
          <w:ilvl w:val="0"/>
          <w:numId w:val="4"/>
        </w:numPr>
        <w:spacing w:after="0" w:before="0" w:line="480"/>
        <w:ind w:left="720" w:hanging="360"/>
        <w:jc w:val="both"/>
      </w:pPr>
      <w:r>
        <w:rPr>
          <w:rFonts w:ascii="Times New Roman" w:cs="Times New Roman" w:eastAsia="Times New Roman" w:hAnsi="Times New Roman"/>
          <w:b/>
          <w:bCs/>
          <w:sz w:val="24"/>
          <w:szCs w:val="24"/>
        </w:rPr>
        <w:t xml:space="preserve">Pengkodean A Priori (</w:t>
      </w:r>
      <w:r>
        <w:rPr>
          <w:rFonts w:ascii="Times New Roman" w:cs="Times New Roman" w:eastAsia="Times New Roman" w:hAnsi="Times New Roman"/>
          <w:b/>
          <w:bCs/>
          <w:i/>
          <w:iCs/>
          <w:sz w:val="24"/>
          <w:szCs w:val="24"/>
        </w:rPr>
        <w:t xml:space="preserve">A Priori Coding</w:t>
      </w:r>
      <w:r>
        <w:rPr>
          <w:rFonts w:ascii="Times New Roman" w:cs="Times New Roman" w:eastAsia="Times New Roman" w:hAnsi="Times New Roman"/>
          <w:b/>
          <w:bCs/>
          <w:sz w:val="24"/>
          <w:szCs w:val="24"/>
        </w:rPr>
        <w:t xml:space="preserve"> / </w:t>
      </w:r>
      <w:r>
        <w:rPr>
          <w:rFonts w:ascii="Times New Roman" w:cs="Times New Roman" w:eastAsia="Times New Roman" w:hAnsi="Times New Roman"/>
          <w:b/>
          <w:bCs/>
          <w:i/>
          <w:iCs/>
          <w:sz w:val="24"/>
          <w:szCs w:val="24"/>
        </w:rPr>
        <w:t xml:space="preserve">Axial Coding</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Pengelompokan kode-kode awal ke dalam kategori-kategori yang telah ditentukan sebelumnya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berdasarkan kerangka konseptual penelitian. Kategori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ini mencakup: (a) Lima faktor penyebab deviasi (Perencanaan, SDM, Administratif, Operasional/Pihak Ketiga, Teknis/Sistem) dari Sub-bab 2.1.3; (b) Konstruk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(Asimetri Informasi,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Monitoring Cost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dari Sub-bab 2.1.4; (c) Fase alur pelaksanaan (Perencanaan, Penyusunan, Pelaksanaan) dan Titik Kritis dari Gambar 3.1; (d) Indikator IKPA (Deviasi Hal III, Penyerapan, Kontraktual, dsb) dari Sub-bab 2.1.5.</w:t>
      </w:r>
    </w:p>
    <w:p>
      <w:pPr>
        <w:pStyle w:val="ListParagraph"/>
        <w:numPr>
          <w:ilvl w:val="0"/>
          <w:numId w:val="4"/>
        </w:numPr>
        <w:spacing w:after="0" w:before="0" w:line="480"/>
        <w:ind w:left="720" w:hanging="360"/>
        <w:jc w:val="both"/>
      </w:pPr>
      <w:r>
        <w:rPr>
          <w:rFonts w:ascii="Times New Roman" w:cs="Times New Roman" w:eastAsia="Times New Roman" w:hAnsi="Times New Roman"/>
          <w:b/>
          <w:bCs/>
          <w:sz w:val="24"/>
          <w:szCs w:val="24"/>
        </w:rPr>
        <w:t xml:space="preserve">Pengkodean Emergen (</w:t>
      </w:r>
      <w:r>
        <w:rPr>
          <w:rFonts w:ascii="Times New Roman" w:cs="Times New Roman" w:eastAsia="Times New Roman" w:hAnsi="Times New Roman"/>
          <w:b/>
          <w:bCs/>
          <w:i/>
          <w:iCs/>
          <w:sz w:val="24"/>
          <w:szCs w:val="24"/>
        </w:rPr>
        <w:t xml:space="preserve">Emergent Coding</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Identifikasi kode-kode baru yang muncul dari data dan tidak tercakup dalam kategori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(misalnya: dampak transisi kelembagaan TA 2025, budaya organisasi, tekanan politik anggaran).</w:t>
      </w:r>
    </w:p>
    <w:p>
      <w:pPr>
        <w:pStyle w:val="ListParagraph"/>
        <w:numPr>
          <w:ilvl w:val="0"/>
          <w:numId w:val="4"/>
        </w:numPr>
        <w:spacing w:after="0" w:before="0" w:line="480"/>
        <w:ind w:left="720" w:hanging="360"/>
        <w:jc w:val="both"/>
      </w:pPr>
      <w:r>
        <w:rPr>
          <w:rFonts w:ascii="Times New Roman" w:cs="Times New Roman" w:eastAsia="Times New Roman" w:hAnsi="Times New Roman"/>
          <w:b/>
          <w:bCs/>
          <w:sz w:val="24"/>
          <w:szCs w:val="24"/>
        </w:rPr>
        <w:t xml:space="preserve">Pengkodean Tematik Inti (</w:t>
      </w:r>
      <w:r>
        <w:rPr>
          <w:rFonts w:ascii="Times New Roman" w:cs="Times New Roman" w:eastAsia="Times New Roman" w:hAnsi="Times New Roman"/>
          <w:b/>
          <w:bCs/>
          <w:i/>
          <w:iCs/>
          <w:sz w:val="24"/>
          <w:szCs w:val="24"/>
        </w:rPr>
        <w:t xml:space="preserve">Selective/Theme Coding</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Penyortiran dan integrasi kategori untuk mengidentifikasi tema-tema inti yang menjawab langsung ketiga RM.</w:t>
      </w:r>
    </w:p>
    <w:p>
      <w:pPr>
        <w:spacing w:after="0" w:before="0" w:line="480"/>
        <w:ind w:firstLine="709"/>
        <w:jc w:val="both"/>
      </w:pPr>
      <w:r>
        <w:rPr>
          <w:rFonts w:ascii="Times New Roman" w:cs="Times New Roman" w:eastAsia="Times New Roman" w:hAnsi="Times New Roman"/>
          <w:b/>
          <w:bCs/>
          <w:sz w:val="24"/>
          <w:szCs w:val="24"/>
        </w:rPr>
        <w:t xml:space="preserve">Tahap Kedua: Penyajian Data (</w:t>
      </w:r>
      <w:r>
        <w:rPr>
          <w:rFonts w:ascii="Times New Roman" w:cs="Times New Roman" w:eastAsia="Times New Roman" w:hAnsi="Times New Roman"/>
          <w:b/>
          <w:bCs/>
          <w:i/>
          <w:iCs/>
          <w:sz w:val="24"/>
          <w:szCs w:val="24"/>
        </w:rPr>
        <w:t xml:space="preserve">Data Display</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Informasi yang telah direduksi diorganisasikan ke dalam bentuk matriks, tabel, dan diagram yang memungkinkan penarikan kesimpulan. Penelitian ini menggunakan:</w:t>
      </w:r>
    </w:p>
    <w:p>
      <w:pPr>
        <w:spacing w:after="0" w:before="0" w:line="480"/>
        <w:ind w:firstLine="709"/>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Matriks Operasionalisasi Konsep (Tabel 3.3):</w:t>
      </w:r>
      <w:r>
        <w:rPr>
          <w:rFonts w:ascii="Times New Roman" w:cs="Times New Roman" w:eastAsia="Times New Roman" w:hAnsi="Times New Roman"/>
          <w:sz w:val="24"/>
          <w:szCs w:val="24"/>
        </w:rPr>
        <w:t xml:space="preserve"> Memetakan RM, Dimensi Teoritis/Regulasi, Indikator Observasi, Item Pertanyaan Wawancara, Informan Target, dan Dokumen Pendukung.</w:t>
      </w:r>
    </w:p>
    <w:p>
      <w:pPr>
        <w:spacing w:after="0" w:before="0" w:line="480"/>
        <w:ind w:firstLine="709"/>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Matriks Faktor-Informan-Bukti Dokumen:</w:t>
      </w:r>
      <w:r>
        <w:rPr>
          <w:rFonts w:ascii="Times New Roman" w:cs="Times New Roman" w:eastAsia="Times New Roman" w:hAnsi="Times New Roman"/>
          <w:sz w:val="24"/>
          <w:szCs w:val="24"/>
        </w:rPr>
        <w:t xml:space="preserve"> Menyilangkan faktor penyebab deviasi dengan perspektif informan dan bukti dokumen untuk triangulasi sumber.</w:t>
      </w:r>
    </w:p>
    <w:p>
      <w:pPr>
        <w:spacing w:after="0" w:before="0" w:line="480"/>
        <w:ind w:firstLine="709"/>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Matriks Pola Deviasi per Tahun per Bulan Kritis:</w:t>
      </w:r>
      <w:r>
        <w:rPr>
          <w:rFonts w:ascii="Times New Roman" w:cs="Times New Roman" w:eastAsia="Times New Roman" w:hAnsi="Times New Roman"/>
          <w:sz w:val="24"/>
          <w:szCs w:val="24"/>
        </w:rPr>
        <w:t xml:space="preserve"> Memvisualisasikan dinamika deviasi TA 2023–2025.</w:t>
      </w:r>
    </w:p>
    <w:p>
      <w:pPr>
        <w:spacing w:after="0" w:before="0" w:line="480"/>
        <w:ind w:firstLine="709"/>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Diagram Hubungan Penyebab–Deviasi–Dampak (</w:t>
      </w:r>
      <w:r>
        <w:rPr>
          <w:rFonts w:ascii="Times New Roman" w:cs="Times New Roman" w:eastAsia="Times New Roman" w:hAnsi="Times New Roman"/>
          <w:b/>
          <w:bCs/>
          <w:i/>
          <w:iCs/>
          <w:sz w:val="24"/>
          <w:szCs w:val="24"/>
        </w:rPr>
        <w:t xml:space="preserve">Causal Map</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Memetakan kausalitas dari faktor penyebab menuju deviasi dan dari deviasi menuju dampak (IKPA, Akuntabilitas,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b/>
          <w:bCs/>
          <w:sz w:val="24"/>
          <w:szCs w:val="24"/>
        </w:rPr>
        <w:t xml:space="preserve">Tahap Ketiga: Penarikan Kesimpulan dan Verifikasi (</w:t>
      </w:r>
      <w:r>
        <w:rPr>
          <w:rFonts w:ascii="Times New Roman" w:cs="Times New Roman" w:eastAsia="Times New Roman" w:hAnsi="Times New Roman"/>
          <w:b/>
          <w:bCs/>
          <w:i/>
          <w:iCs/>
          <w:sz w:val="24"/>
          <w:szCs w:val="24"/>
        </w:rPr>
        <w:t xml:space="preserve">Conclusion Drawing and Verification</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Penarikan kesimpulan bersifat iteratif, dimulai sejak pengkodean awal sebagai hipotesis kerja yang terus diuji melalui </w:t>
      </w:r>
      <w:r>
        <w:rPr>
          <w:rFonts w:ascii="Times New Roman" w:cs="Times New Roman" w:eastAsia="Times New Roman" w:hAnsi="Times New Roman"/>
          <w:i/>
          <w:iCs/>
          <w:sz w:val="24"/>
          <w:szCs w:val="24"/>
        </w:rPr>
        <w:t xml:space="preserve">pattern matching</w:t>
      </w:r>
      <w:r>
        <w:rPr>
          <w:rFonts w:ascii="Times New Roman" w:cs="Times New Roman" w:eastAsia="Times New Roman" w:hAnsi="Times New Roman"/>
          <w:sz w:val="24"/>
          <w:szCs w:val="24"/>
        </w:rPr>
        <w:t xml:space="preserve"> terhadap kerangka konseptual (Proposisi 1, 2, 3) dan data baru. Verifikasi dilaksanakan melalui konfrontasi balik ke data mentah,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 dengan informan, triangulasi lintas-sumber dan lintas-metode, serta </w:t>
      </w:r>
      <w:r>
        <w:rPr>
          <w:rFonts w:ascii="Times New Roman" w:cs="Times New Roman" w:eastAsia="Times New Roman" w:hAnsi="Times New Roman"/>
          <w:i/>
          <w:iCs/>
          <w:sz w:val="24"/>
          <w:szCs w:val="24"/>
        </w:rPr>
        <w:t xml:space="preserve">peer debriefing</w:t>
      </w:r>
      <w:r>
        <w:rPr>
          <w:rFonts w:ascii="Times New Roman" w:cs="Times New Roman" w:eastAsia="Times New Roman" w:hAnsi="Times New Roman"/>
          <w:sz w:val="24"/>
          <w:szCs w:val="24"/>
        </w:rPr>
        <w:t xml:space="preserve"> bersama dosen pembimbing.</w:t>
      </w:r>
    </w:p>
    <w:p>
      <w:pPr>
        <w:spacing w:after="80" w:before="240" w:line="480"/>
        <w:jc w:val="center"/>
      </w:pPr>
      <w:r>
        <w:rPr>
          <w:rFonts w:ascii="Times New Roman" w:cs="Times New Roman" w:eastAsia="Times New Roman" w:hAnsi="Times New Roman"/>
          <w:b/>
          <w:bCs/>
          <w:sz w:val="24"/>
          <w:szCs w:val="24"/>
        </w:rPr>
        <w:t xml:space="preserve">Tabel 3.3 Matriks Operasionalisasi Konsep Penelitian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7"/>
      </w:tblGrid>
      <w:tr>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Rumusan Masalah</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Dimensi Teoritis/Regulasi</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Indikator Observasi/Wawancara</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Item Pertanyaan Wawancara (Contoh)</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Informan Target</w:t>
            </w:r>
          </w:p>
        </w:tc>
        <w:tc>
          <w:tcPr>
            <w:tcW w:type="dxa" w:w="132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Dokumen Pendukung</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RM1: Implementasi Belanja Modal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Fase Perencanaan (PMK 62, RKA-K/L)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Akurasi RPD, Proses penetapan HPS/RAB</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proses penetapan HPS/RAB dan jadwal RPD paket Belanja Modal?"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SRKA, PPK, PBJ</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RKA-K/L, DIPA Hal III, HPS/RAB</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Fase Pengadaan (Perpres 16/2018)</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Metode pemilihan, Timeline tender, Kontrak</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dinamika proses tender/seleksi hingga penandatanganan kontrak?"</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PBJ, PPK</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Kontrak, BA Pemilihan, BAST</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Fase Pelaksanaan &amp; Pencairan (PMK 62)</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Progres fisik, BAST, SPP-SPM-SP2D, Termin</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alur verifikasi BAST hingga SP2D? Kendala apa yang sering muncul?"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PPSPM, BPG</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BAST, SPP, SPM, SP2D, LRA</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RM2: Penyebab Deviasi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Perencanaan (Ratnasari, 2022)</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Estimasi harga, Asumsi waktu, Revisi DIPA</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"Mengapa RPD sering tidak realistis? Bagaimana dampak transisi kelembagaan TA 2025?"</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SRKA, KPA, PPK</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RPD vs Realisasi, Revisi DIPA</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SDM &amp; Kapasitas (Manangin dkk., 2023)</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Kompetensi pengadaan, Beban kerja, Pergantian personel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jumlah pejabat pengadaan/PPK memadai? Bagaimana beban kerja memengaruhi kualitas dokumen?"</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PBJ, PPSPM</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SK Pejabat, Sertifikasi, Log aktivitas</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Administratif/Regulasi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Kelengkapan dokumen, Verifikasi PPSPM/KPPN, Blokir anggaran</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"Sejauh mana kelengkapan dokumen penyedia &amp; verifikasi PPSPM jadi bottleneck?"</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PPSPM, BPG</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Catatan revisi SPP, Log verifikasi</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Operasional/Pihak 3 (Sholawatunnisa &amp; Supriyanto, 2025)</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Progres fisik, Cuaca, Supply chain, Kapasitas penyedia</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kinerja penyedia? Apakah keterbatasan penyedia lokal jadi kendala?"</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PBJ, BPG</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BAST, Laporan Progres, Kontrak</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Teknis/Sistem</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Sinkronisasi OM-SPAN/SAKTI, Error input</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kendala sistem (SPAN/SAKTI) menggeser realisasi?"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PPSPM, BPG, SRKA</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Log error sistem, Screenshot</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Konstruk Agency Theory (Lane, 2003)</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Asimetri info (RPD vs Realita), Moral Hazard penyedia, Monitoring Cost</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ada kesenjangan informasi antara PPK/Penyedia/PPSPM? Bagaimana pengawasan?"</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PPK, PPSPM, PBJ</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Pengawasan, Audit Trail</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RM3: Dampak Deviasi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Dampak Mikro (Satker)</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Nilai IKPA, Reputasi, Beban kerja revisi, Keterlambatan aset</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dampak deviasi ke nilai IKPA &amp; beban kerja staf? Aset (gedung/peralatan) terlambat?"</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PPK, BPG, SRKA</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IKPA, LKjIP, BAST</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Dampak Meso (KPPN/DJPb)</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Inefisiensi alokasi kas, Beban verifikasi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(Triangulasi via dokumen &amp; wawancara KPA/PPSPM)</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PPSPM</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Surat Pembinaan KPPN</w:t>
            </w:r>
          </w:p>
        </w:tc>
      </w:tr>
      <w:tr>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Dampak Makro/Fungsi (Hanafi &amp; Wulandari, 2023)</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Risiko standar penempatan deteni, Eksekusi deportasi</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keterlambatan gedung/peralatan memengaruhi operasional detensi?"</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BPG</w:t>
            </w:r>
          </w:p>
        </w:tc>
        <w:tc>
          <w:tcPr>
            <w:tcW w:type="dxa" w:w="132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Kinerja Operasional</w:t>
            </w:r>
          </w:p>
        </w:tc>
      </w:tr>
    </w:tbl>
    <w:p>
      <w:pPr>
        <w:spacing w:after="240" w:before="80" w:line="480"/>
        <w:jc w:val="left"/>
      </w:pPr>
      <w:r>
        <w:rPr>
          <w:rFonts w:ascii="Times New Roman" w:cs="Times New Roman" w:eastAsia="Times New Roman" w:hAnsi="Times New Roman"/>
          <w:i/>
          <w:iCs/>
          <w:sz w:val="22"/>
          <w:szCs w:val="22"/>
        </w:rPr>
        <w:t xml:space="preserve">Sumber: Disusun peneliti (2026).</w:t>
      </w:r>
    </w:p>
    <w:p>
      <w:pPr>
        <w:pStyle w:val="Heading3"/>
        <w:spacing w:after="160" w:before="240" w:line="480"/>
        <w:jc w:val="left"/>
      </w:pPr>
      <w:r>
        <w:rPr>
          <w:rFonts w:ascii="Times New Roman" w:cs="Times New Roman" w:eastAsia="Times New Roman" w:hAnsi="Times New Roman"/>
          <w:b/>
          <w:bCs/>
          <w:sz w:val="24"/>
          <w:szCs w:val="24"/>
        </w:rPr>
        <w:t xml:space="preserve">3.3.3 Uji Keabsahan Data (Lincoln dan Guba, 1985)</w:t>
      </w:r>
    </w:p>
    <w:p>
      <w:pPr>
        <w:spacing w:after="0" w:before="0" w:line="480"/>
        <w:ind w:firstLine="709"/>
        <w:jc w:val="both"/>
      </w:pPr>
      <w:r>
        <w:rPr>
          <w:rFonts w:ascii="Times New Roman" w:cs="Times New Roman" w:eastAsia="Times New Roman" w:hAnsi="Times New Roman"/>
          <w:sz w:val="24"/>
          <w:szCs w:val="24"/>
        </w:rPr>
        <w:t xml:space="preserve">Kualitas penelitian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dinilai melalui empat kriteria yang diajukan Lincoln dan Guba (1985, hlm. 289–331) sebagai alternatif dari kriteria positivistik: </w:t>
      </w:r>
      <w:r>
        <w:rPr>
          <w:rFonts w:ascii="Times New Roman" w:cs="Times New Roman" w:eastAsia="Times New Roman" w:hAnsi="Times New Roman"/>
          <w:b/>
          <w:bCs/>
          <w:i/>
          <w:iCs/>
          <w:sz w:val="24"/>
          <w:szCs w:val="24"/>
        </w:rPr>
        <w:t xml:space="preserve">credibility</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iCs/>
          <w:sz w:val="24"/>
          <w:szCs w:val="24"/>
        </w:rPr>
        <w:t xml:space="preserve">transferability</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iCs/>
          <w:sz w:val="24"/>
          <w:szCs w:val="24"/>
        </w:rPr>
        <w:t xml:space="preserve">dependability</w:t>
      </w:r>
      <w:r>
        <w:rPr>
          <w:rFonts w:ascii="Times New Roman" w:cs="Times New Roman" w:eastAsia="Times New Roman" w:hAnsi="Times New Roman"/>
          <w:sz w:val="24"/>
          <w:szCs w:val="24"/>
        </w:rPr>
        <w:t xml:space="preserve">, dan </w:t>
      </w:r>
      <w:r>
        <w:rPr>
          <w:rFonts w:ascii="Times New Roman" w:cs="Times New Roman" w:eastAsia="Times New Roman" w:hAnsi="Times New Roman"/>
          <w:b/>
          <w:bCs/>
          <w:i/>
          <w:iCs/>
          <w:sz w:val="24"/>
          <w:szCs w:val="24"/>
        </w:rPr>
        <w:t xml:space="preserve">confirmability</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b/>
          <w:bCs/>
          <w:i/>
          <w:iCs/>
          <w:sz w:val="24"/>
          <w:szCs w:val="24"/>
        </w:rPr>
        <w:t xml:space="preserve">Credibility</w:t>
      </w:r>
      <w:r>
        <w:rPr>
          <w:rFonts w:ascii="Times New Roman" w:cs="Times New Roman" w:eastAsia="Times New Roman" w:hAnsi="Times New Roman"/>
          <w:sz w:val="24"/>
          <w:szCs w:val="24"/>
        </w:rPr>
        <w:t xml:space="preserve"> (kredibilitas) dijamin melalui dua strategi utama. Pertama, triangulasi sumber: setiap temuan substantif dikonfirmasi dari minimal tiga informan yang berbeda posisinya; misalnya, apakah kesimpulan mengenai faktor penyebab deviasi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dikonfirmasi oleh KPA, PPK, dan Pejabat Pengadaan secara independen. Temuan wawancara juga dicocokkan dengan bukti dari dokumen anggaran dan catatan observasi (triangulasi metode). Kedua,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 transkrip wawancara dan ringkasan temuan per informan dikonfirmasi ulang kepada informan bersangkutan dalam tujuh hari setelah wawancara; koreksi yang diberikan diintegrasikan ke dalam analisis.</w:t>
      </w:r>
    </w:p>
    <w:p>
      <w:pPr>
        <w:spacing w:after="0" w:before="0" w:line="480"/>
        <w:ind w:firstLine="709"/>
        <w:jc w:val="both"/>
      </w:pPr>
      <w:r>
        <w:rPr>
          <w:rFonts w:ascii="Times New Roman" w:cs="Times New Roman" w:eastAsia="Times New Roman" w:hAnsi="Times New Roman"/>
          <w:b/>
          <w:bCs/>
          <w:i/>
          <w:iCs/>
          <w:sz w:val="24"/>
          <w:szCs w:val="24"/>
        </w:rPr>
        <w:t xml:space="preserve">Transferability</w:t>
      </w:r>
      <w:r>
        <w:rPr>
          <w:rFonts w:ascii="Times New Roman" w:cs="Times New Roman" w:eastAsia="Times New Roman" w:hAnsi="Times New Roman"/>
          <w:sz w:val="24"/>
          <w:szCs w:val="24"/>
        </w:rPr>
        <w:t xml:space="preserve"> (keteralihan) dipenuhi melalui penyediaan </w:t>
      </w:r>
      <w:r>
        <w:rPr>
          <w:rFonts w:ascii="Times New Roman" w:cs="Times New Roman" w:eastAsia="Times New Roman" w:hAnsi="Times New Roman"/>
          <w:b/>
          <w:bCs/>
          <w:i/>
          <w:iCs/>
          <w:sz w:val="24"/>
          <w:szCs w:val="24"/>
        </w:rPr>
        <w:t xml:space="preserve">thick description</w:t>
      </w:r>
      <w:r>
        <w:rPr>
          <w:rFonts w:ascii="Times New Roman" w:cs="Times New Roman" w:eastAsia="Times New Roman" w:hAnsi="Times New Roman"/>
          <w:sz w:val="24"/>
          <w:szCs w:val="24"/>
        </w:rPr>
        <w:t xml:space="preserve">, deskripsi konteks yang cukup kaya dan terperinci mengenai karakteristik Rudenim Pontianak (geografis, struktural, anggaran, dan operasional), sehingga pembaca dapat menilai relevansi temuan untuk konteks lain yang memiliki karakteristik serupa, misalnya Rudenim lain di wilayah perbatasan atau satker UPT lain dengan tingkat ketidakpastian operasional tinggi.</w:t>
      </w:r>
    </w:p>
    <w:p>
      <w:pPr>
        <w:spacing w:after="0" w:before="0" w:line="480"/>
        <w:ind w:firstLine="709"/>
        <w:jc w:val="both"/>
      </w:pPr>
      <w:r>
        <w:rPr>
          <w:rFonts w:ascii="Times New Roman" w:cs="Times New Roman" w:eastAsia="Times New Roman" w:hAnsi="Times New Roman"/>
          <w:b/>
          <w:bCs/>
          <w:i/>
          <w:iCs/>
          <w:sz w:val="24"/>
          <w:szCs w:val="24"/>
        </w:rPr>
        <w:t xml:space="preserve">Dependability</w:t>
      </w:r>
      <w:r>
        <w:rPr>
          <w:rFonts w:ascii="Times New Roman" w:cs="Times New Roman" w:eastAsia="Times New Roman" w:hAnsi="Times New Roman"/>
          <w:sz w:val="24"/>
          <w:szCs w:val="24"/>
        </w:rPr>
        <w:t xml:space="preserve"> (ketergantungan) dijamin melalui </w:t>
      </w:r>
      <w:r>
        <w:rPr>
          <w:rFonts w:ascii="Times New Roman" w:cs="Times New Roman" w:eastAsia="Times New Roman" w:hAnsi="Times New Roman"/>
          <w:b/>
          <w:bCs/>
          <w:i/>
          <w:iCs/>
          <w:sz w:val="24"/>
          <w:szCs w:val="24"/>
        </w:rPr>
        <w:t xml:space="preserve">audit trail</w:t>
      </w:r>
      <w:r>
        <w:rPr>
          <w:rFonts w:ascii="Times New Roman" w:cs="Times New Roman" w:eastAsia="Times New Roman" w:hAnsi="Times New Roman"/>
          <w:sz w:val="24"/>
          <w:szCs w:val="24"/>
        </w:rPr>
        <w:t xml:space="preserve">: pendokumentasian sistematis seluruh keputusan metodologis, meliputi alasan pemilihan informan, perubahan pedoman wawancara, evolusi tema dalam pengkodean, yang tersimpan dalam </w:t>
      </w:r>
      <w:r>
        <w:rPr>
          <w:rFonts w:ascii="Times New Roman" w:cs="Times New Roman" w:eastAsia="Times New Roman" w:hAnsi="Times New Roman"/>
          <w:i/>
          <w:iCs/>
          <w:sz w:val="24"/>
          <w:szCs w:val="24"/>
        </w:rPr>
        <w:t xml:space="preserve">log</w:t>
      </w:r>
      <w:r>
        <w:rPr>
          <w:rFonts w:ascii="Times New Roman" w:cs="Times New Roman" w:eastAsia="Times New Roman" w:hAnsi="Times New Roman"/>
          <w:sz w:val="24"/>
          <w:szCs w:val="24"/>
        </w:rPr>
        <w:t xml:space="preserve"> metodologis dan dapat diakses oleh auditor eksternal. Dosen pembimbing berperan sebagai auditor primer.</w:t>
      </w:r>
    </w:p>
    <w:p>
      <w:pPr>
        <w:spacing w:after="0" w:before="0" w:line="480"/>
        <w:ind w:firstLine="709"/>
        <w:jc w:val="both"/>
      </w:pPr>
      <w:r>
        <w:rPr>
          <w:rFonts w:ascii="Times New Roman" w:cs="Times New Roman" w:eastAsia="Times New Roman" w:hAnsi="Times New Roman"/>
          <w:b/>
          <w:bCs/>
          <w:i/>
          <w:iCs/>
          <w:sz w:val="24"/>
          <w:szCs w:val="24"/>
        </w:rPr>
        <w:t xml:space="preserve">Confirmability</w:t>
      </w:r>
      <w:r>
        <w:rPr>
          <w:rFonts w:ascii="Times New Roman" w:cs="Times New Roman" w:eastAsia="Times New Roman" w:hAnsi="Times New Roman"/>
          <w:sz w:val="24"/>
          <w:szCs w:val="24"/>
        </w:rPr>
        <w:t xml:space="preserve"> (kepastian) dipenuhi melalui </w:t>
      </w:r>
      <w:r>
        <w:rPr>
          <w:rFonts w:ascii="Times New Roman" w:cs="Times New Roman" w:eastAsia="Times New Roman" w:hAnsi="Times New Roman"/>
          <w:b/>
          <w:bCs/>
          <w:i/>
          <w:iCs/>
          <w:sz w:val="24"/>
          <w:szCs w:val="24"/>
        </w:rPr>
        <w:t xml:space="preserve">confirmability audit</w:t>
      </w:r>
      <w:r>
        <w:rPr>
          <w:rFonts w:ascii="Times New Roman" w:cs="Times New Roman" w:eastAsia="Times New Roman" w:hAnsi="Times New Roman"/>
          <w:sz w:val="24"/>
          <w:szCs w:val="24"/>
        </w:rPr>
        <w:t xml:space="preserve">: setiap pernyataan kesimpulan dalam laporan penelitian dapat dilacak ke data sumbernya, yaitu kutipan wawancara spesifik (dengan kode informan dan nomor baris transkrip) atau bukti dokumenter spesifik (dengan nama dokumen dan halaman).</w:t>
      </w:r>
    </w:p>
    <w:p>
      <w:pPr>
        <w:pStyle w:val="Heading2"/>
        <w:spacing w:after="160" w:before="240" w:line="480"/>
        <w:jc w:val="left"/>
      </w:pPr>
      <w:r>
        <w:rPr>
          <w:rFonts w:ascii="Times New Roman" w:cs="Times New Roman" w:eastAsia="Times New Roman" w:hAnsi="Times New Roman"/>
          <w:b/>
          <w:bCs/>
          <w:sz w:val="24"/>
          <w:szCs w:val="24"/>
        </w:rPr>
        <w:t xml:space="preserve">3.4 Lokasi dan Waktu Penelitian</w:t>
      </w:r>
    </w:p>
    <w:p>
      <w:pPr>
        <w:spacing w:after="0" w:before="0" w:line="480"/>
        <w:ind w:firstLine="709"/>
        <w:jc w:val="both"/>
      </w:pPr>
      <w:r>
        <w:rPr>
          <w:rFonts w:ascii="Times New Roman" w:cs="Times New Roman" w:eastAsia="Times New Roman" w:hAnsi="Times New Roman"/>
          <w:sz w:val="24"/>
          <w:szCs w:val="24"/>
        </w:rPr>
        <w:t xml:space="preserve">Penelitian dilaksanakan di </w:t>
      </w:r>
      <w:r>
        <w:rPr>
          <w:rFonts w:ascii="Times New Roman" w:cs="Times New Roman" w:eastAsia="Times New Roman" w:hAnsi="Times New Roman"/>
          <w:b/>
          <w:bCs/>
          <w:sz w:val="24"/>
          <w:szCs w:val="24"/>
        </w:rPr>
        <w:t xml:space="preserve">Rumah Detensi Imigrasi (Rudenim) Pontianak</w:t>
      </w:r>
      <w:r>
        <w:rPr>
          <w:rFonts w:ascii="Times New Roman" w:cs="Times New Roman" w:eastAsia="Times New Roman" w:hAnsi="Times New Roman"/>
          <w:sz w:val="24"/>
          <w:szCs w:val="24"/>
        </w:rPr>
        <w:t xml:space="preserve">, Jalan Adi Sucipto KM. 15, Kabupaten Kubu Raya, Provinsi Kalimantan Barat. Pelaksanaan </w:t>
      </w:r>
      <w:r>
        <w:rPr>
          <w:rFonts w:ascii="Times New Roman" w:cs="Times New Roman" w:eastAsia="Times New Roman" w:hAnsi="Times New Roman"/>
          <w:i/>
          <w:iCs/>
          <w:sz w:val="24"/>
          <w:szCs w:val="24"/>
        </w:rPr>
        <w:t xml:space="preserve">fieldwork</w:t>
      </w:r>
      <w:r>
        <w:rPr>
          <w:rFonts w:ascii="Times New Roman" w:cs="Times New Roman" w:eastAsia="Times New Roman" w:hAnsi="Times New Roman"/>
          <w:sz w:val="24"/>
          <w:szCs w:val="24"/>
        </w:rPr>
        <w:t xml:space="preserve"> (pengumpulan data primer: wawancara, observasi, pengambilan dokumen) direncanakan dilakukan selama </w:t>
      </w:r>
      <w:r>
        <w:rPr>
          <w:rFonts w:ascii="Times New Roman" w:cs="Times New Roman" w:eastAsia="Times New Roman" w:hAnsi="Times New Roman"/>
          <w:b/>
          <w:bCs/>
          <w:sz w:val="24"/>
          <w:szCs w:val="24"/>
        </w:rPr>
        <w:t xml:space="preserve">6 (enam) minggu</w:t>
      </w:r>
      <w:r>
        <w:rPr>
          <w:rFonts w:ascii="Times New Roman" w:cs="Times New Roman" w:eastAsia="Times New Roman" w:hAnsi="Times New Roman"/>
          <w:sz w:val="24"/>
          <w:szCs w:val="24"/>
        </w:rPr>
        <w:t xml:space="preserve"> pada periode </w:t>
      </w:r>
      <w:r>
        <w:rPr>
          <w:rFonts w:ascii="Times New Roman" w:cs="Times New Roman" w:eastAsia="Times New Roman" w:hAnsi="Times New Roman"/>
          <w:b/>
          <w:bCs/>
          <w:sz w:val="24"/>
          <w:szCs w:val="24"/>
        </w:rPr>
        <w:t xml:space="preserve">Juli–Agustus 2026</w:t>
      </w:r>
      <w:r>
        <w:rPr>
          <w:rFonts w:ascii="Times New Roman" w:cs="Times New Roman" w:eastAsia="Times New Roman" w:hAnsi="Times New Roman"/>
          <w:sz w:val="24"/>
          <w:szCs w:val="24"/>
        </w:rPr>
        <w:t xml:space="preserve"> (setelah seminar proposal dan memperoleh izin penelitian dari institusi dan satker). Persiapan instrumen (validasi </w:t>
      </w:r>
      <w:r>
        <w:rPr>
          <w:rFonts w:ascii="Times New Roman" w:cs="Times New Roman" w:eastAsia="Times New Roman" w:hAnsi="Times New Roman"/>
          <w:i/>
          <w:iCs/>
          <w:sz w:val="24"/>
          <w:szCs w:val="24"/>
        </w:rPr>
        <w:t xml:space="preserve">expert judgment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pilot test</w:t>
      </w:r>
      <w:r>
        <w:rPr>
          <w:rFonts w:ascii="Times New Roman" w:cs="Times New Roman" w:eastAsia="Times New Roman" w:hAnsi="Times New Roman"/>
          <w:sz w:val="24"/>
          <w:szCs w:val="24"/>
        </w:rPr>
        <w:t xml:space="preserve">, revisi) dilakukan pada Juni 2026.</w:t>
      </w:r>
    </w:p>
    <w:p>
      <w:pPr>
        <w:pStyle w:val="Heading2"/>
        <w:spacing w:after="160" w:before="240" w:line="480"/>
        <w:jc w:val="left"/>
      </w:pPr>
      <w:r>
        <w:rPr>
          <w:rFonts w:ascii="Times New Roman" w:cs="Times New Roman" w:eastAsia="Times New Roman" w:hAnsi="Times New Roman"/>
          <w:b/>
          <w:bCs/>
          <w:sz w:val="24"/>
          <w:szCs w:val="24"/>
        </w:rPr>
        <w:t xml:space="preserve">3.5 Etika Penelitian</w:t>
      </w:r>
    </w:p>
    <w:p>
      <w:pPr>
        <w:spacing w:after="0" w:before="0" w:line="480"/>
        <w:ind w:firstLine="709"/>
        <w:jc w:val="both"/>
      </w:pPr>
      <w:r>
        <w:rPr>
          <w:rFonts w:ascii="Times New Roman" w:cs="Times New Roman" w:eastAsia="Times New Roman" w:hAnsi="Times New Roman"/>
          <w:sz w:val="24"/>
          <w:szCs w:val="24"/>
        </w:rPr>
        <w:t xml:space="preserve">Penelitian ini mengikuti prinsip etika penelitian ilmiah dan ketentuan yang berlaku di institusi peneliti. Aspek etika yang dikelola meliputi:</w:t>
      </w:r>
    </w:p>
    <w:p>
      <w:pPr>
        <w:pStyle w:val="ListParagraph"/>
        <w:numPr>
          <w:ilvl w:val="0"/>
          <w:numId w:val="5"/>
        </w:numPr>
        <w:spacing w:after="0" w:before="0" w:line="480"/>
        <w:ind w:left="720" w:hanging="360"/>
        <w:jc w:val="both"/>
      </w:pPr>
      <w:r>
        <w:rPr>
          <w:rFonts w:ascii="Times New Roman" w:cs="Times New Roman" w:eastAsia="Times New Roman" w:hAnsi="Times New Roman"/>
          <w:b/>
          <w:bCs/>
          <w:sz w:val="24"/>
          <w:szCs w:val="24"/>
        </w:rPr>
        <w:t xml:space="preserve">Izin Penelitian:</w:t>
      </w:r>
      <w:r>
        <w:rPr>
          <w:rFonts w:ascii="Times New Roman" w:cs="Times New Roman" w:eastAsia="Times New Roman" w:hAnsi="Times New Roman"/>
          <w:sz w:val="24"/>
          <w:szCs w:val="24"/>
        </w:rPr>
        <w:t xml:space="preserve"> Mengurus surat izin penelitian resmi dari LPPM Universitas Panca Bhakti ke Kepala Rudenim Pontianak melalui saluran resmi Direktorat Jenderal Imigrasi/Kementerian Imigrasi dan Pemasyarakatan.</w:t>
      </w:r>
    </w:p>
    <w:p>
      <w:pPr>
        <w:pStyle w:val="ListParagraph"/>
        <w:numPr>
          <w:ilvl w:val="0"/>
          <w:numId w:val="5"/>
        </w:numPr>
        <w:spacing w:after="0" w:before="0" w:line="480"/>
        <w:ind w:left="720" w:hanging="360"/>
        <w:jc w:val="both"/>
      </w:pPr>
      <w:r>
        <w:rPr>
          <w:rFonts w:ascii="Times New Roman" w:cs="Times New Roman" w:eastAsia="Times New Roman" w:hAnsi="Times New Roman"/>
          <w:b/>
          <w:bCs/>
          <w:sz w:val="24"/>
          <w:szCs w:val="24"/>
        </w:rPr>
        <w:t xml:space="preserve">Informed Consent:</w:t>
      </w:r>
      <w:r>
        <w:rPr>
          <w:rFonts w:ascii="Times New Roman" w:cs="Times New Roman" w:eastAsia="Times New Roman" w:hAnsi="Times New Roman"/>
          <w:sz w:val="24"/>
          <w:szCs w:val="24"/>
        </w:rPr>
        <w:t xml:space="preserve"> Setiap informan menandatangani formulir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 tertulis yang menjelaskan: tujuan penelitian, prosedur wawancara (durasi, perekaman audio), hak untuk menolak menjawab pertanyaan tertentu, hak untuk menarik diri kapan saja tanpa konsekuensi negatif, serta jaminan anonimisasi data.</w:t>
      </w:r>
    </w:p>
    <w:p>
      <w:pPr>
        <w:pStyle w:val="ListParagraph"/>
        <w:numPr>
          <w:ilvl w:val="0"/>
          <w:numId w:val="5"/>
        </w:numPr>
        <w:spacing w:after="0" w:before="0" w:line="480"/>
        <w:ind w:left="720" w:hanging="360"/>
        <w:jc w:val="both"/>
      </w:pPr>
      <w:r>
        <w:rPr>
          <w:rFonts w:ascii="Times New Roman" w:cs="Times New Roman" w:eastAsia="Times New Roman" w:hAnsi="Times New Roman"/>
          <w:b/>
          <w:bCs/>
          <w:sz w:val="24"/>
          <w:szCs w:val="24"/>
        </w:rPr>
        <w:t xml:space="preserve">Kerahasiaan dan Anonimitas:</w:t>
      </w:r>
      <w:r>
        <w:rPr>
          <w:rFonts w:ascii="Times New Roman" w:cs="Times New Roman" w:eastAsia="Times New Roman" w:hAnsi="Times New Roman"/>
          <w:sz w:val="24"/>
          <w:szCs w:val="24"/>
        </w:rPr>
        <w:t xml:space="preserve"> Identitas informan (nama, NIP) dikodekan (KPA, PPK, PPSPM, BPG, SRKA, PBJ) dalam seluruh transkrip, catatan analisis, dan laporan akhir. Data mentah (rekaman audio, transkrip </w:t>
      </w:r>
      <w:r>
        <w:rPr>
          <w:rFonts w:ascii="Times New Roman" w:cs="Times New Roman" w:eastAsia="Times New Roman" w:hAnsi="Times New Roman"/>
          <w:i/>
          <w:iCs/>
          <w:sz w:val="24"/>
          <w:szCs w:val="24"/>
        </w:rPr>
        <w:t xml:space="preserve">verbatim</w:t>
      </w:r>
      <w:r>
        <w:rPr>
          <w:rFonts w:ascii="Times New Roman" w:cs="Times New Roman" w:eastAsia="Times New Roman" w:hAnsi="Times New Roman"/>
          <w:sz w:val="24"/>
          <w:szCs w:val="24"/>
        </w:rPr>
        <w:t xml:space="preserve"> lengkap, dokumen kontrak dengan harga satuan/detail penyedia) </w:t>
      </w:r>
      <w:r>
        <w:rPr>
          <w:rFonts w:ascii="Times New Roman" w:cs="Times New Roman" w:eastAsia="Times New Roman" w:hAnsi="Times New Roman"/>
          <w:b/>
          <w:bCs/>
          <w:sz w:val="24"/>
          <w:szCs w:val="24"/>
        </w:rPr>
        <w:t xml:space="preserve">tidak</w:t>
      </w:r>
      <w:r>
        <w:rPr>
          <w:rFonts w:ascii="Times New Roman" w:cs="Times New Roman" w:eastAsia="Times New Roman" w:hAnsi="Times New Roman"/>
          <w:sz w:val="24"/>
          <w:szCs w:val="24"/>
        </w:rPr>
        <w:t xml:space="preserve"> dilampirkan dalam skripsi dan disimpan dalam perangkat terkunci (</w:t>
      </w:r>
      <w:r>
        <w:rPr>
          <w:rFonts w:ascii="Times New Roman" w:cs="Times New Roman" w:eastAsia="Times New Roman" w:hAnsi="Times New Roman"/>
          <w:i/>
          <w:iCs/>
          <w:sz w:val="24"/>
          <w:szCs w:val="24"/>
        </w:rPr>
        <w:t xml:space="preserve">password protected</w:t>
      </w:r>
      <w:r>
        <w:rPr>
          <w:rFonts w:ascii="Times New Roman" w:cs="Times New Roman" w:eastAsia="Times New Roman" w:hAnsi="Times New Roman"/>
          <w:sz w:val="24"/>
          <w:szCs w:val="24"/>
        </w:rPr>
        <w:t xml:space="preserve">) yang hanya diakses peneliti dan promotor.</w:t>
      </w:r>
    </w:p>
    <w:p>
      <w:pPr>
        <w:pStyle w:val="ListParagraph"/>
        <w:numPr>
          <w:ilvl w:val="0"/>
          <w:numId w:val="5"/>
        </w:numPr>
        <w:spacing w:after="0" w:before="0" w:line="480"/>
        <w:ind w:left="720" w:hanging="360"/>
        <w:jc w:val="both"/>
      </w:pPr>
      <w:r>
        <w:rPr>
          <w:rFonts w:ascii="Times New Roman" w:cs="Times New Roman" w:eastAsia="Times New Roman" w:hAnsi="Times New Roman"/>
          <w:b/>
          <w:bCs/>
          <w:sz w:val="24"/>
          <w:szCs w:val="24"/>
        </w:rPr>
        <w:t xml:space="preserve">Keamanan Data Sensitif:</w:t>
      </w:r>
      <w:r>
        <w:rPr>
          <w:rFonts w:ascii="Times New Roman" w:cs="Times New Roman" w:eastAsia="Times New Roman" w:hAnsi="Times New Roman"/>
          <w:sz w:val="24"/>
          <w:szCs w:val="24"/>
        </w:rPr>
        <w:t xml:space="preserve"> Mengingat objek penelitian berkaitan dengan keuangan negara (APBN) dan data kepegawaian, peneliti berkomitmen: (a) tidak mempublikasikan data mentah nominal kontrak, NIP, atau identitas penyedia secara </w:t>
      </w:r>
      <w:r>
        <w:rPr>
          <w:rFonts w:ascii="Times New Roman" w:cs="Times New Roman" w:eastAsia="Times New Roman" w:hAnsi="Times New Roman"/>
          <w:i/>
          <w:iCs/>
          <w:sz w:val="24"/>
          <w:szCs w:val="24"/>
        </w:rPr>
        <w:t xml:space="preserve">raw</w:t>
      </w:r>
      <w:r>
        <w:rPr>
          <w:rFonts w:ascii="Times New Roman" w:cs="Times New Roman" w:eastAsia="Times New Roman" w:hAnsi="Times New Roman"/>
          <w:sz w:val="24"/>
          <w:szCs w:val="24"/>
        </w:rPr>
        <w:t xml:space="preserve">; (b) kutipan dalam skripsi diparafrasakan atau dikutip dengan menyembunyikan identitas spesifik; (c) hasil akhir berupa </w:t>
      </w:r>
      <w:r>
        <w:rPr>
          <w:rFonts w:ascii="Times New Roman" w:cs="Times New Roman" w:eastAsia="Times New Roman" w:hAnsi="Times New Roman"/>
          <w:i/>
          <w:iCs/>
          <w:sz w:val="24"/>
          <w:szCs w:val="24"/>
        </w:rPr>
        <w:t xml:space="preserve">Executive Summary</w:t>
      </w:r>
      <w:r>
        <w:rPr>
          <w:rFonts w:ascii="Times New Roman" w:cs="Times New Roman" w:eastAsia="Times New Roman" w:hAnsi="Times New Roman"/>
          <w:sz w:val="24"/>
          <w:szCs w:val="24"/>
        </w:rPr>
        <w:t xml:space="preserve"> kebijakan diserahkan ke Rudenim/Kementerian, </w:t>
      </w:r>
      <w:r>
        <w:rPr>
          <w:rFonts w:ascii="Times New Roman" w:cs="Times New Roman" w:eastAsia="Times New Roman" w:hAnsi="Times New Roman"/>
          <w:b/>
          <w:bCs/>
          <w:sz w:val="24"/>
          <w:szCs w:val="24"/>
        </w:rPr>
        <w:t xml:space="preserve">bukan</w:t>
      </w:r>
      <w:r>
        <w:rPr>
          <w:rFonts w:ascii="Times New Roman" w:cs="Times New Roman" w:eastAsia="Times New Roman" w:hAnsi="Times New Roman"/>
          <w:sz w:val="24"/>
          <w:szCs w:val="24"/>
        </w:rPr>
        <w:t xml:space="preserve"> data mentah.</w:t>
      </w:r>
    </w:p>
    <w:p>
      <w:pPr>
        <w:pStyle w:val="ListParagraph"/>
        <w:numPr>
          <w:ilvl w:val="0"/>
          <w:numId w:val="5"/>
        </w:numPr>
        <w:spacing w:after="0" w:before="0" w:line="480"/>
        <w:ind w:left="720" w:hanging="360"/>
        <w:jc w:val="both"/>
      </w:pPr>
      <w:r>
        <w:rPr>
          <w:rFonts w:ascii="Times New Roman" w:cs="Times New Roman" w:eastAsia="Times New Roman" w:hAnsi="Times New Roman"/>
          <w:i/>
          <w:iCs/>
          <w:sz w:val="24"/>
          <w:szCs w:val="24"/>
        </w:rPr>
        <w:t xml:space="preserve">Ethical Clearance:</w:t>
      </w:r>
      <w:r>
        <w:rPr>
          <w:rFonts w:ascii="Times New Roman" w:cs="Times New Roman" w:eastAsia="Times New Roman" w:hAnsi="Times New Roman"/>
          <w:sz w:val="24"/>
          <w:szCs w:val="24"/>
        </w:rPr>
        <w:t xml:space="preserve"> Akan diajukan ke Komisi Etik Penelitian LPPM Universitas Panca Bhakti sebelum pelaksanaan </w:t>
      </w:r>
      <w:r>
        <w:rPr>
          <w:rFonts w:ascii="Times New Roman" w:cs="Times New Roman" w:eastAsia="Times New Roman" w:hAnsi="Times New Roman"/>
          <w:i/>
          <w:iCs/>
          <w:sz w:val="24"/>
          <w:szCs w:val="24"/>
        </w:rPr>
        <w:t xml:space="preserve">fieldwork</w:t>
      </w:r>
      <w:r>
        <w:rPr>
          <w:rFonts w:ascii="Times New Roman" w:cs="Times New Roman" w:eastAsia="Times New Roman" w:hAnsi="Times New Roman"/>
          <w:sz w:val="24"/>
          <w:szCs w:val="24"/>
        </w:rPr>
        <w:t xml:space="preserve">.</w:t>
      </w:r>
    </w:p>
    <w:p>
      <w:pPr>
        <w:sectPr>
          <w:headerReference w:type="default" r:id="rId18"/>
          <w:headerReference w:type="first" r:id="rId19"/>
          <w:footerReference w:type="default" r:id="rId20"/>
          <w:footerReference w:type="first" r:id="rId21"/>
          <w:pgSz w:w="11906" w:h="16838" w:orient="portrait"/>
          <w:pgMar w:top="2268" w:right="1701" w:bottom="1701" w:left="2268" w:header="708" w:footer="708" w:gutter="0"/>
          <w:pgNumType w:fmt="decimal"/>
          <w:titlePg/>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DAFTAR PUSTAKA</w:t>
      </w:r>
    </w:p>
    <w:p>
      <w:pPr>
        <w:spacing w:after="360" w:before="0" w:line="240"/>
        <w:ind w:left="709" w:hanging="709"/>
        <w:jc w:val="both"/>
      </w:pPr>
      <w:r>
        <w:rPr>
          <w:rFonts w:ascii="Times New Roman" w:cs="Times New Roman" w:eastAsia="Times New Roman" w:hAnsi="Times New Roman"/>
          <w:sz w:val="24"/>
          <w:szCs w:val="24"/>
        </w:rPr>
        <w:t xml:space="preserve">Creswell, J. W. (2014). </w:t>
      </w:r>
      <w:r>
        <w:rPr>
          <w:rFonts w:ascii="Times New Roman" w:cs="Times New Roman" w:eastAsia="Times New Roman" w:hAnsi="Times New Roman"/>
          <w:i/>
          <w:iCs/>
          <w:sz w:val="24"/>
          <w:szCs w:val="24"/>
        </w:rPr>
        <w:t xml:space="preserve">Research design: Qualitative, quantitative, and mixed methods approaches</w:t>
      </w:r>
      <w:r>
        <w:rPr>
          <w:rFonts w:ascii="Times New Roman" w:cs="Times New Roman" w:eastAsia="Times New Roman" w:hAnsi="Times New Roman"/>
          <w:sz w:val="24"/>
          <w:szCs w:val="24"/>
        </w:rPr>
        <w:t xml:space="preserve"> (4th ed.). SAGE Publications.</w:t>
      </w:r>
    </w:p>
    <w:p>
      <w:pPr>
        <w:spacing w:after="360" w:before="0" w:line="240"/>
        <w:ind w:left="709" w:hanging="709"/>
        <w:jc w:val="both"/>
      </w:pPr>
      <w:r>
        <w:rPr>
          <w:rFonts w:ascii="Times New Roman" w:cs="Times New Roman" w:eastAsia="Times New Roman" w:hAnsi="Times New Roman"/>
          <w:sz w:val="24"/>
          <w:szCs w:val="24"/>
        </w:rPr>
        <w:t xml:space="preserve">Direktorat Jenderal Perbendaharaan. (2025). </w:t>
      </w:r>
      <w:r>
        <w:rPr>
          <w:rFonts w:ascii="Times New Roman" w:cs="Times New Roman" w:eastAsia="Times New Roman" w:hAnsi="Times New Roman"/>
          <w:i/>
          <w:iCs/>
          <w:sz w:val="24"/>
          <w:szCs w:val="24"/>
        </w:rPr>
        <w:t xml:space="preserve">Laporan pemantauan kinerja indikator pelaksanaan anggaran satuan kerja kementerian negara/lembaga tahun anggaran 2022–2024</w:t>
      </w:r>
      <w:r>
        <w:rPr>
          <w:rFonts w:ascii="Times New Roman" w:cs="Times New Roman" w:eastAsia="Times New Roman" w:hAnsi="Times New Roman"/>
          <w:sz w:val="24"/>
          <w:szCs w:val="24"/>
        </w:rPr>
        <w:t xml:space="preserve">. Kementerian Keuangan Republik Indonesia.</w:t>
      </w:r>
    </w:p>
    <w:p>
      <w:pPr>
        <w:spacing w:after="360" w:before="0" w:line="240"/>
        <w:ind w:left="709" w:hanging="709"/>
        <w:jc w:val="both"/>
      </w:pPr>
      <w:r>
        <w:rPr>
          <w:rFonts w:ascii="Times New Roman" w:cs="Times New Roman" w:eastAsia="Times New Roman" w:hAnsi="Times New Roman"/>
          <w:sz w:val="24"/>
          <w:szCs w:val="24"/>
        </w:rPr>
        <w:t xml:space="preserve">Hanafi, R., &amp; Wulandari, S. (2023). Pengelompokan satuan kerja berdasarkan delapan indikator IKPA reformulasi 2022. </w:t>
      </w:r>
      <w:r>
        <w:rPr>
          <w:rFonts w:ascii="Times New Roman" w:cs="Times New Roman" w:eastAsia="Times New Roman" w:hAnsi="Times New Roman"/>
          <w:i/>
          <w:iCs/>
          <w:sz w:val="24"/>
          <w:szCs w:val="24"/>
        </w:rPr>
        <w:t xml:space="preserve">Jurnal Administrasi dan Kebijakan Publik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8</w:t>
      </w:r>
      <w:r>
        <w:rPr>
          <w:rFonts w:ascii="Times New Roman" w:cs="Times New Roman" w:eastAsia="Times New Roman" w:hAnsi="Times New Roman"/>
          <w:sz w:val="24"/>
          <w:szCs w:val="24"/>
        </w:rPr>
        <w:t xml:space="preserve">(2), 502–518.</w:t>
      </w:r>
    </w:p>
    <w:p>
      <w:pPr>
        <w:spacing w:after="360" w:before="0" w:line="240"/>
        <w:ind w:left="709" w:hanging="709"/>
        <w:jc w:val="both"/>
      </w:pPr>
      <w:r>
        <w:rPr>
          <w:rFonts w:ascii="Times New Roman" w:cs="Times New Roman" w:eastAsia="Times New Roman" w:hAnsi="Times New Roman"/>
          <w:sz w:val="24"/>
          <w:szCs w:val="24"/>
        </w:rPr>
        <w:t xml:space="preserve">Jensen, M. C., &amp; Meckling, W. H. (1976). Theory of the firm: Managerial behavior, agency costs and ownership structure. </w:t>
      </w:r>
      <w:r>
        <w:rPr>
          <w:rFonts w:ascii="Times New Roman" w:cs="Times New Roman" w:eastAsia="Times New Roman" w:hAnsi="Times New Roman"/>
          <w:i/>
          <w:iCs/>
          <w:sz w:val="24"/>
          <w:szCs w:val="24"/>
        </w:rPr>
        <w:t xml:space="preserve">Journal of Financial Economics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w:t>
      </w:r>
      <w:r>
        <w:rPr>
          <w:rFonts w:ascii="Times New Roman" w:cs="Times New Roman" w:eastAsia="Times New Roman" w:hAnsi="Times New Roman"/>
          <w:sz w:val="24"/>
          <w:szCs w:val="24"/>
        </w:rPr>
        <w:t xml:space="preserve">(4), 305–360. https://doi.org/10.1016/0304-405X(76)90026-X</w:t>
      </w:r>
    </w:p>
    <w:p>
      <w:pPr>
        <w:spacing w:after="360" w:before="0" w:line="240"/>
        <w:ind w:left="709" w:hanging="709"/>
        <w:jc w:val="both"/>
      </w:pPr>
      <w:r>
        <w:rPr>
          <w:rFonts w:ascii="Times New Roman" w:cs="Times New Roman" w:eastAsia="Times New Roman" w:hAnsi="Times New Roman"/>
          <w:sz w:val="24"/>
          <w:szCs w:val="24"/>
        </w:rPr>
        <w:t xml:space="preserve">Lane, J.-E. (2003). </w:t>
      </w:r>
      <w:r>
        <w:rPr>
          <w:rFonts w:ascii="Times New Roman" w:cs="Times New Roman" w:eastAsia="Times New Roman" w:hAnsi="Times New Roman"/>
          <w:i/>
          <w:iCs/>
          <w:sz w:val="24"/>
          <w:szCs w:val="24"/>
        </w:rPr>
        <w:t xml:space="preserve">Management and public organisation: The principal-agent framework</w:t>
      </w:r>
      <w:r>
        <w:rPr>
          <w:rFonts w:ascii="Times New Roman" w:cs="Times New Roman" w:eastAsia="Times New Roman" w:hAnsi="Times New Roman"/>
          <w:sz w:val="24"/>
          <w:szCs w:val="24"/>
        </w:rPr>
        <w:t xml:space="preserve"> [Working paper]. University of Geneva.</w:t>
      </w:r>
    </w:p>
    <w:p>
      <w:pPr>
        <w:spacing w:after="360" w:before="0" w:line="240"/>
        <w:ind w:left="709" w:hanging="709"/>
        <w:jc w:val="both"/>
      </w:pPr>
      <w:r>
        <w:rPr>
          <w:rFonts w:ascii="Times New Roman" w:cs="Times New Roman" w:eastAsia="Times New Roman" w:hAnsi="Times New Roman"/>
          <w:sz w:val="24"/>
          <w:szCs w:val="24"/>
        </w:rPr>
        <w:t xml:space="preserve">Lincoln, Y. S., &amp; Guba, E. G. (1985). </w:t>
      </w:r>
      <w:r>
        <w:rPr>
          <w:rFonts w:ascii="Times New Roman" w:cs="Times New Roman" w:eastAsia="Times New Roman" w:hAnsi="Times New Roman"/>
          <w:i/>
          <w:iCs/>
          <w:sz w:val="24"/>
          <w:szCs w:val="24"/>
        </w:rPr>
        <w:t xml:space="preserve">Naturalistic inquiry</w:t>
      </w:r>
      <w:r>
        <w:rPr>
          <w:rFonts w:ascii="Times New Roman" w:cs="Times New Roman" w:eastAsia="Times New Roman" w:hAnsi="Times New Roman"/>
          <w:sz w:val="24"/>
          <w:szCs w:val="24"/>
        </w:rPr>
        <w:t xml:space="preserve">. SAGE Publications.</w:t>
      </w:r>
    </w:p>
    <w:p>
      <w:pPr>
        <w:spacing w:after="360" w:before="0" w:line="240"/>
        <w:ind w:left="709" w:hanging="709"/>
        <w:jc w:val="both"/>
      </w:pPr>
      <w:r>
        <w:rPr>
          <w:rFonts w:ascii="Times New Roman" w:cs="Times New Roman" w:eastAsia="Times New Roman" w:hAnsi="Times New Roman"/>
          <w:sz w:val="24"/>
          <w:szCs w:val="24"/>
        </w:rPr>
        <w:t xml:space="preserve">Mardiasmo. (2018). </w:t>
      </w:r>
      <w:r>
        <w:rPr>
          <w:rFonts w:ascii="Times New Roman" w:cs="Times New Roman" w:eastAsia="Times New Roman" w:hAnsi="Times New Roman"/>
          <w:i/>
          <w:iCs/>
          <w:sz w:val="24"/>
          <w:szCs w:val="24"/>
        </w:rPr>
        <w:t xml:space="preserve">Akuntansi sektor publik</w:t>
      </w:r>
      <w:r>
        <w:rPr>
          <w:rFonts w:ascii="Times New Roman" w:cs="Times New Roman" w:eastAsia="Times New Roman" w:hAnsi="Times New Roman"/>
          <w:sz w:val="24"/>
          <w:szCs w:val="24"/>
        </w:rPr>
        <w:t xml:space="preserve">. Andi.</w:t>
      </w:r>
    </w:p>
    <w:p>
      <w:pPr>
        <w:spacing w:after="360" w:before="0" w:line="240"/>
        <w:ind w:left="709" w:hanging="709"/>
        <w:jc w:val="both"/>
      </w:pPr>
      <w:r>
        <w:rPr>
          <w:rFonts w:ascii="Times New Roman" w:cs="Times New Roman" w:eastAsia="Times New Roman" w:hAnsi="Times New Roman"/>
          <w:sz w:val="24"/>
          <w:szCs w:val="24"/>
        </w:rPr>
        <w:t xml:space="preserve">Manangin, C., Tinangon, J. J., &amp; Gamaliel, H. (2023). Faktor-faktor yang memengaruhi pencapaian nilai indikator kinerja pelaksanaan anggaran satuan kerja di lingkup KPPN Manado. </w:t>
      </w:r>
      <w:r>
        <w:rPr>
          <w:rFonts w:ascii="Times New Roman" w:cs="Times New Roman" w:eastAsia="Times New Roman" w:hAnsi="Times New Roman"/>
          <w:i/>
          <w:iCs/>
          <w:sz w:val="24"/>
          <w:szCs w:val="24"/>
        </w:rPr>
        <w:t xml:space="preserve">Jurnal Goodwill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(2), 535–550.</w:t>
      </w:r>
    </w:p>
    <w:p>
      <w:pPr>
        <w:spacing w:after="360" w:before="0" w:line="240"/>
        <w:ind w:left="709" w:hanging="709"/>
        <w:jc w:val="both"/>
      </w:pPr>
      <w:r>
        <w:rPr>
          <w:rFonts w:ascii="Times New Roman" w:cs="Times New Roman" w:eastAsia="Times New Roman" w:hAnsi="Times New Roman"/>
          <w:sz w:val="24"/>
          <w:szCs w:val="24"/>
        </w:rPr>
        <w:t xml:space="preserve">Miles, M. B., &amp; Huberman, A. M. (1994). </w:t>
      </w:r>
      <w:r>
        <w:rPr>
          <w:rFonts w:ascii="Times New Roman" w:cs="Times New Roman" w:eastAsia="Times New Roman" w:hAnsi="Times New Roman"/>
          <w:i/>
          <w:iCs/>
          <w:sz w:val="24"/>
          <w:szCs w:val="24"/>
        </w:rPr>
        <w:t xml:space="preserve">Qualitative data analysis: An expanded sourcebook</w:t>
      </w:r>
      <w:r>
        <w:rPr>
          <w:rFonts w:ascii="Times New Roman" w:cs="Times New Roman" w:eastAsia="Times New Roman" w:hAnsi="Times New Roman"/>
          <w:sz w:val="24"/>
          <w:szCs w:val="24"/>
        </w:rPr>
        <w:t xml:space="preserve"> (2nd ed.). SAGE Publications.</w:t>
      </w:r>
    </w:p>
    <w:p>
      <w:pPr>
        <w:spacing w:after="360" w:before="0" w:line="240"/>
        <w:ind w:left="709" w:hanging="709"/>
        <w:jc w:val="both"/>
      </w:pPr>
      <w:r>
        <w:rPr>
          <w:rFonts w:ascii="Times New Roman" w:cs="Times New Roman" w:eastAsia="Times New Roman" w:hAnsi="Times New Roman"/>
          <w:sz w:val="24"/>
          <w:szCs w:val="24"/>
        </w:rPr>
        <w:t xml:space="preserve">Nugroho, B., Widodo, T., &amp; Pratama, R. (2023). Evaluasi implementasi IKPA: Studi kasus 20 satuan kerja di Jawa Tengah. </w:t>
      </w:r>
      <w:r>
        <w:rPr>
          <w:rFonts w:ascii="Times New Roman" w:cs="Times New Roman" w:eastAsia="Times New Roman" w:hAnsi="Times New Roman"/>
          <w:i/>
          <w:iCs/>
          <w:sz w:val="24"/>
          <w:szCs w:val="24"/>
        </w:rPr>
        <w:t xml:space="preserve">Jurnal Keuangan dan Perbendaharaan Negara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27</w:t>
      </w:r>
      <w:r>
        <w:rPr>
          <w:rFonts w:ascii="Times New Roman" w:cs="Times New Roman" w:eastAsia="Times New Roman" w:hAnsi="Times New Roman"/>
          <w:sz w:val="24"/>
          <w:szCs w:val="24"/>
        </w:rPr>
        <w:t xml:space="preserve">(3), 112–130.</w:t>
      </w:r>
    </w:p>
    <w:p>
      <w:pPr>
        <w:spacing w:after="360" w:before="0" w:line="240"/>
        <w:ind w:left="709" w:hanging="709"/>
        <w:jc w:val="both"/>
      </w:pPr>
      <w:r>
        <w:rPr>
          <w:rFonts w:ascii="Times New Roman" w:cs="Times New Roman" w:eastAsia="Times New Roman" w:hAnsi="Times New Roman"/>
          <w:sz w:val="24"/>
          <w:szCs w:val="24"/>
        </w:rPr>
        <w:t xml:space="preserve">Patton, M. Q. (2015). </w:t>
      </w:r>
      <w:r>
        <w:rPr>
          <w:rFonts w:ascii="Times New Roman" w:cs="Times New Roman" w:eastAsia="Times New Roman" w:hAnsi="Times New Roman"/>
          <w:i/>
          <w:iCs/>
          <w:sz w:val="24"/>
          <w:szCs w:val="24"/>
        </w:rPr>
        <w:t xml:space="preserve">Qualitative research &amp; evaluation methods</w:t>
      </w:r>
      <w:r>
        <w:rPr>
          <w:rFonts w:ascii="Times New Roman" w:cs="Times New Roman" w:eastAsia="Times New Roman" w:hAnsi="Times New Roman"/>
          <w:sz w:val="24"/>
          <w:szCs w:val="24"/>
        </w:rPr>
        <w:t xml:space="preserve"> (4th ed.). SAGE Publications.</w:t>
      </w:r>
    </w:p>
    <w:p>
      <w:pPr>
        <w:spacing w:after="360" w:before="0" w:line="240"/>
        <w:ind w:left="709" w:hanging="709"/>
        <w:jc w:val="both"/>
      </w:pPr>
      <w:r>
        <w:rPr>
          <w:rFonts w:ascii="Times New Roman" w:cs="Times New Roman" w:eastAsia="Times New Roman" w:hAnsi="Times New Roman"/>
          <w:sz w:val="24"/>
          <w:szCs w:val="24"/>
        </w:rPr>
        <w:t xml:space="preserve">Peraturan Direktur Jenderal Perbendaharaan Nomor PER-5/PB/2024 tentang Petunjuk Teknis Penilaian Indikator Kinerja Pelaksanaan Anggaran Kementerian Negara/Lembaga. (2024). Direktorat Jenderal Perbendaharaan, Kementerian Keuangan Republik Indonesia.</w:t>
      </w:r>
    </w:p>
    <w:p>
      <w:pPr>
        <w:spacing w:after="360" w:before="0" w:line="240"/>
        <w:ind w:left="709" w:hanging="709"/>
        <w:jc w:val="both"/>
      </w:pPr>
      <w:r>
        <w:rPr>
          <w:rFonts w:ascii="Times New Roman" w:cs="Times New Roman" w:eastAsia="Times New Roman" w:hAnsi="Times New Roman"/>
          <w:sz w:val="24"/>
          <w:szCs w:val="24"/>
        </w:rPr>
        <w:t xml:space="preserve">Peraturan Menteri Hukum dan Hak Asasi Manusia Republik Indonesia Nomor M.HH-11.OT.01.01 Tahun 2009 tentang Organisasi dan Tata Kerja Rumah Detensi Imigrasi. (2009). Kementerian Hukum dan Hak Asasi Manusia Republik Indonesia.</w:t>
      </w:r>
    </w:p>
    <w:p>
      <w:pPr>
        <w:spacing w:after="360" w:before="0" w:line="240"/>
        <w:ind w:left="709" w:hanging="709"/>
        <w:jc w:val="both"/>
      </w:pPr>
      <w:r>
        <w:rPr>
          <w:rFonts w:ascii="Times New Roman" w:cs="Times New Roman" w:eastAsia="Times New Roman" w:hAnsi="Times New Roman"/>
          <w:sz w:val="24"/>
          <w:szCs w:val="24"/>
        </w:rPr>
        <w:t xml:space="preserve">Peraturan Menteri Keuangan Republik Indonesia Nomor 62 Tahun 2023 tentang Perencanaan Anggaran, Pelaksanaan Anggaran, serta Akuntansi dan Pelaporan Keuangan pada Kementerian Negara/Lembaga. (2023). </w:t>
      </w:r>
      <w:r>
        <w:rPr>
          <w:rFonts w:ascii="Times New Roman" w:cs="Times New Roman" w:eastAsia="Times New Roman" w:hAnsi="Times New Roman"/>
          <w:i/>
          <w:iCs/>
          <w:sz w:val="24"/>
          <w:szCs w:val="24"/>
        </w:rPr>
        <w:t xml:space="preserve">Berita Negara Republik Indonesia Tahun 2023 Nomor 559</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Pemerintah Nomor 45 Tahun 2013 tentang Tata Cara Pelaksanaan Anggaran Pendapatan dan Belanja Negara. (2013). </w:t>
      </w:r>
      <w:r>
        <w:rPr>
          <w:rFonts w:ascii="Times New Roman" w:cs="Times New Roman" w:eastAsia="Times New Roman" w:hAnsi="Times New Roman"/>
          <w:i/>
          <w:iCs/>
          <w:sz w:val="24"/>
          <w:szCs w:val="24"/>
        </w:rPr>
        <w:t xml:space="preserve">Lembaran Negara Republik Indonesia Tahun 2013 Nomor 105</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Pemerintah Nomor 50 Tahun 2018 tentang Perubahan atas Peraturan Pemerintah Nomor 45 Tahun 2013 tentang Tata Cara Pelaksanaan Anggaran Pendapatan dan Belanja Negara. (2018). </w:t>
      </w:r>
      <w:r>
        <w:rPr>
          <w:rFonts w:ascii="Times New Roman" w:cs="Times New Roman" w:eastAsia="Times New Roman" w:hAnsi="Times New Roman"/>
          <w:i/>
          <w:iCs/>
          <w:sz w:val="24"/>
          <w:szCs w:val="24"/>
        </w:rPr>
        <w:t xml:space="preserve">Lembaran Negara Republik Indonesia Tahun 2018 Nomor 229</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12 Tahun 2021 tentang Perubahan atas Peraturan Presiden Nomor 16 Tahun 2018 tentang Pengadaan Barang/Jasa Pemerintah. (2021). </w:t>
      </w:r>
      <w:r>
        <w:rPr>
          <w:rFonts w:ascii="Times New Roman" w:cs="Times New Roman" w:eastAsia="Times New Roman" w:hAnsi="Times New Roman"/>
          <w:i/>
          <w:iCs/>
          <w:sz w:val="24"/>
          <w:szCs w:val="24"/>
        </w:rPr>
        <w:t xml:space="preserve">Lembaran Negara Republik Indonesia Tahun 2021 Nomor 63</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16 Tahun 2018 tentang Pengadaan Barang/Jasa Pemerintah. (2018). </w:t>
      </w:r>
      <w:r>
        <w:rPr>
          <w:rFonts w:ascii="Times New Roman" w:cs="Times New Roman" w:eastAsia="Times New Roman" w:hAnsi="Times New Roman"/>
          <w:i/>
          <w:iCs/>
          <w:sz w:val="24"/>
          <w:szCs w:val="24"/>
        </w:rPr>
        <w:t xml:space="preserve">Lembaran Negara Republik Indonesia Tahun 2018 Nomor 33</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139 Tahun 2024 tentang Kementerian Imigrasi dan Pemasyarakatan. (2024). </w:t>
      </w:r>
      <w:r>
        <w:rPr>
          <w:rFonts w:ascii="Times New Roman" w:cs="Times New Roman" w:eastAsia="Times New Roman" w:hAnsi="Times New Roman"/>
          <w:i/>
          <w:iCs/>
          <w:sz w:val="24"/>
          <w:szCs w:val="24"/>
        </w:rPr>
        <w:t xml:space="preserve">Lembaran Negara Republik Indonesia Tahun 2024 Nomor 292</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Ratnasari, D. (2022). Menilik penyebab deviasi antara rencana dengan realisasi belanja satuan kerja kementerian/lembaga. </w:t>
      </w:r>
      <w:r>
        <w:rPr>
          <w:rFonts w:ascii="Times New Roman" w:cs="Times New Roman" w:eastAsia="Times New Roman" w:hAnsi="Times New Roman"/>
          <w:i/>
          <w:iCs/>
          <w:sz w:val="24"/>
          <w:szCs w:val="24"/>
        </w:rPr>
        <w:t xml:space="preserve">Jurnal Ilmiah Akuntansi dan Keuangan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11</w:t>
      </w:r>
      <w:r>
        <w:rPr>
          <w:rFonts w:ascii="Times New Roman" w:cs="Times New Roman" w:eastAsia="Times New Roman" w:hAnsi="Times New Roman"/>
          <w:sz w:val="24"/>
          <w:szCs w:val="24"/>
        </w:rPr>
        <w:t xml:space="preserve">(2), 91–101.</w:t>
      </w:r>
    </w:p>
    <w:p>
      <w:pPr>
        <w:spacing w:after="360" w:before="0" w:line="240"/>
        <w:ind w:left="709" w:hanging="709"/>
        <w:jc w:val="both"/>
      </w:pPr>
      <w:r>
        <w:rPr>
          <w:rFonts w:ascii="Times New Roman" w:cs="Times New Roman" w:eastAsia="Times New Roman" w:hAnsi="Times New Roman"/>
          <w:sz w:val="24"/>
          <w:szCs w:val="24"/>
        </w:rPr>
        <w:t xml:space="preserve">Sholawatunnisa, N., &amp; Supriyanto, A. (2025). Early warning system deviasi anggaran berbasis model SARIMA pada IKPA Kantor Wilayah DJPb Nusa Tenggara Barat. </w:t>
      </w:r>
      <w:r>
        <w:rPr>
          <w:rFonts w:ascii="Times New Roman" w:cs="Times New Roman" w:eastAsia="Times New Roman" w:hAnsi="Times New Roman"/>
          <w:i/>
          <w:iCs/>
          <w:sz w:val="24"/>
          <w:szCs w:val="24"/>
        </w:rPr>
        <w:t xml:space="preserve">Jurnal Elastisitas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7</w:t>
      </w:r>
      <w:r>
        <w:rPr>
          <w:rFonts w:ascii="Times New Roman" w:cs="Times New Roman" w:eastAsia="Times New Roman" w:hAnsi="Times New Roman"/>
          <w:sz w:val="24"/>
          <w:szCs w:val="24"/>
        </w:rPr>
        <w:t xml:space="preserve">(1), 19–38.</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1 Tahun 2004 tentang Perbendaharaan Negara. (2004). </w:t>
      </w:r>
      <w:r>
        <w:rPr>
          <w:rFonts w:ascii="Times New Roman" w:cs="Times New Roman" w:eastAsia="Times New Roman" w:hAnsi="Times New Roman"/>
          <w:i/>
          <w:iCs/>
          <w:sz w:val="24"/>
          <w:szCs w:val="24"/>
        </w:rPr>
        <w:t xml:space="preserve">Lembaran Negara Republik Indonesia Tahun 2004 Nomor 5</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6 Tahun 2011 tentang Keimigrasian. (2011). </w:t>
      </w:r>
      <w:r>
        <w:rPr>
          <w:rFonts w:ascii="Times New Roman" w:cs="Times New Roman" w:eastAsia="Times New Roman" w:hAnsi="Times New Roman"/>
          <w:i/>
          <w:iCs/>
          <w:sz w:val="24"/>
          <w:szCs w:val="24"/>
        </w:rPr>
        <w:t xml:space="preserve">Lembaran Negara Republik Indonesia Tahun 2011 Nomor 52</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17 Tahun 2003 tentang Keuangan Negara. (2003). </w:t>
      </w:r>
      <w:r>
        <w:rPr>
          <w:rFonts w:ascii="Times New Roman" w:cs="Times New Roman" w:eastAsia="Times New Roman" w:hAnsi="Times New Roman"/>
          <w:i/>
          <w:iCs/>
          <w:sz w:val="24"/>
          <w:szCs w:val="24"/>
        </w:rPr>
        <w:t xml:space="preserve">Lembaran Negara Republik Indonesia Tahun 2003 Nomor 47</w:t>
      </w:r>
      <w:r>
        <w:rPr>
          <w:rFonts w:ascii="Times New Roman" w:cs="Times New Roman" w:eastAsia="Times New Roman" w:hAnsi="Times New Roman"/>
          <w:sz w:val="24"/>
          <w:szCs w:val="24"/>
        </w:rPr>
        <w:t xml:space="preserve">.</w:t>
      </w:r>
    </w:p>
    <w:sectPr>
      <w:headerReference w:type="default" r:id="rId22"/>
      <w:headerReference w:type="first" r:id="rId23"/>
      <w:footerReference w:type="default" r:id="rId24"/>
      <w:footerReference w:type="first" r:id="rId25"/>
      <w:pgSz w:w="11906" w:h="16838" w:orient="portrait"/>
      <w:pgMar w:top="2268" w:right="1701" w:bottom="1701" w:left="2268" w:header="708" w:footer="708" w:gutter="0"/>
      <w:pgNumType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decimal"/>
      <w:lvlText w:val="%1."/>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decimal"/>
      <w:lvlText w:val="%1."/>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decimal"/>
      <w:lvlText w:val="%1."/>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abstractNum w:abstractNumId="122" w15:restartNumberingAfterBreak="0">
    <w:multiLevelType w:val="hybridMultilevel"/>
    <w:lvl w:ilvl="0" w15:tentative="1">
      <w:start w:val="1"/>
      <w:numFmt w:val="decimal"/>
      <w:lvlText w:val="%1."/>
      <w:lvlJc w:val="left"/>
      <w:pPr>
        <w:ind w:left="720" w:hanging="360"/>
      </w:pPr>
    </w:lvl>
  </w:abstractNum>
  <w:abstractNum w:abstractNumId="123" w15:restartNumberingAfterBreak="0">
    <w:multiLevelType w:val="hybridMultilevel"/>
    <w:lvl w:ilvl="0" w15:tentative="1">
      <w:start w:val="1"/>
      <w:numFmt w:val="decimal"/>
      <w:lvlText w:val="%1."/>
      <w:lvlJc w:val="left"/>
      <w:pPr>
        <w:ind w:left="720" w:hanging="360"/>
      </w:pPr>
    </w:lvl>
  </w:abstractNum>
  <w:abstractNum w:abstractNumId="124" w15:restartNumberingAfterBreak="0">
    <w:multiLevelType w:val="hybridMultilevel"/>
    <w:lvl w:ilvl="0" w15:tentative="1">
      <w:start w:val="1"/>
      <w:numFmt w:val="decimal"/>
      <w:lvlText w:val="%1."/>
      <w:lvlJc w:val="left"/>
      <w:pPr>
        <w:ind w:left="720" w:hanging="360"/>
      </w:pPr>
    </w:lvl>
  </w:abstractNum>
  <w:abstractNum w:abstractNumId="125" w15:restartNumberingAfterBreak="0">
    <w:multiLevelType w:val="hybridMultilevel"/>
    <w:lvl w:ilvl="0" w15:tentative="1">
      <w:start w:val="1"/>
      <w:numFmt w:val="decimal"/>
      <w:lvlText w:val="%1."/>
      <w:lvlJc w:val="left"/>
      <w:pPr>
        <w:ind w:left="720" w:hanging="360"/>
      </w:pPr>
    </w:lvl>
  </w:abstractNum>
  <w:abstractNum w:abstractNumId="126" w15:restartNumberingAfterBreak="0">
    <w:multiLevelType w:val="hybridMultilevel"/>
    <w:lvl w:ilvl="0" w15:tentative="1">
      <w:start w:val="1"/>
      <w:numFmt w:val="decimal"/>
      <w:lvlText w:val="%1."/>
      <w:lvlJc w:val="left"/>
      <w:pPr>
        <w:ind w:left="720" w:hanging="360"/>
      </w:pPr>
    </w:lvl>
  </w:abstractNum>
  <w:abstractNum w:abstractNumId="127" w15:restartNumberingAfterBreak="0">
    <w:multiLevelType w:val="hybridMultilevel"/>
    <w:lvl w:ilvl="0" w15:tentative="1">
      <w:start w:val="1"/>
      <w:numFmt w:val="decimal"/>
      <w:lvlText w:val="%1."/>
      <w:lvlJc w:val="left"/>
      <w:pPr>
        <w:ind w:left="720" w:hanging="360"/>
      </w:pPr>
    </w:lvl>
  </w:abstractNum>
  <w:abstractNum w:abstractNumId="128" w15:restartNumberingAfterBreak="0">
    <w:multiLevelType w:val="hybridMultilevel"/>
    <w:lvl w:ilvl="0" w15:tentative="1">
      <w:start w:val="1"/>
      <w:numFmt w:val="decimal"/>
      <w:lvlText w:val="%1."/>
      <w:lvlJc w:val="left"/>
      <w:pPr>
        <w:ind w:left="720" w:hanging="360"/>
      </w:pPr>
    </w:lvl>
  </w:abstractNum>
  <w:abstractNum w:abstractNumId="129" w15:restartNumberingAfterBreak="0">
    <w:multiLevelType w:val="hybridMultilevel"/>
    <w:lvl w:ilvl="0" w15:tentative="1">
      <w:start w:val="1"/>
      <w:numFmt w:val="decimal"/>
      <w:lvlText w:val="%1."/>
      <w:lvlJc w:val="left"/>
      <w:pPr>
        <w:ind w:left="720" w:hanging="360"/>
      </w:pPr>
    </w:lvl>
  </w:abstractNum>
  <w:abstractNum w:abstractNumId="130" w15:restartNumberingAfterBreak="0">
    <w:multiLevelType w:val="hybridMultilevel"/>
    <w:lvl w:ilvl="0" w15:tentative="1">
      <w:start w:val="1"/>
      <w:numFmt w:val="decimal"/>
      <w:lvlText w:val="%1."/>
      <w:lvlJc w:val="left"/>
      <w:pPr>
        <w:ind w:left="720" w:hanging="360"/>
      </w:pPr>
    </w:lvl>
  </w:abstractNum>
  <w:abstractNum w:abstractNumId="131" w15:restartNumberingAfterBreak="0">
    <w:multiLevelType w:val="hybridMultilevel"/>
    <w:lvl w:ilvl="0" w15:tentative="1">
      <w:start w:val="1"/>
      <w:numFmt w:val="decimal"/>
      <w:lvlText w:val="%1."/>
      <w:lvlJc w:val="left"/>
      <w:pPr>
        <w:ind w:left="720" w:hanging="360"/>
      </w:pPr>
    </w:lvl>
  </w:abstractNum>
  <w:abstractNum w:abstractNumId="132" w15:restartNumberingAfterBreak="0">
    <w:multiLevelType w:val="hybridMultilevel"/>
    <w:lvl w:ilvl="0" w15:tentative="1">
      <w:start w:val="1"/>
      <w:numFmt w:val="decimal"/>
      <w:lvlText w:val="%1."/>
      <w:lvlJc w:val="left"/>
      <w:pPr>
        <w:ind w:left="720" w:hanging="360"/>
      </w:pPr>
    </w:lvl>
  </w:abstractNum>
  <w:abstractNum w:abstractNumId="133" w15:restartNumberingAfterBreak="0">
    <w:multiLevelType w:val="hybridMultilevel"/>
    <w:lvl w:ilvl="0" w15:tentative="1">
      <w:start w:val="1"/>
      <w:numFmt w:val="decimal"/>
      <w:lvlText w:val="%1."/>
      <w:lvlJc w:val="left"/>
      <w:pPr>
        <w:ind w:left="720" w:hanging="360"/>
      </w:pPr>
    </w:lvl>
  </w:abstractNum>
  <w:abstractNum w:abstractNumId="134" w15:restartNumberingAfterBreak="0">
    <w:multiLevelType w:val="hybridMultilevel"/>
    <w:lvl w:ilvl="0" w15:tentative="1">
      <w:start w:val="1"/>
      <w:numFmt w:val="decimal"/>
      <w:lvlText w:val="%1."/>
      <w:lvlJc w:val="left"/>
      <w:pPr>
        <w:ind w:left="720" w:hanging="360"/>
      </w:pPr>
    </w:lvl>
  </w:abstractNum>
  <w:abstractNum w:abstractNumId="135" w15:restartNumberingAfterBreak="0">
    <w:multiLevelType w:val="hybridMultilevel"/>
    <w:lvl w:ilvl="0" w15:tentative="1">
      <w:start w:val="1"/>
      <w:numFmt w:val="decimal"/>
      <w:lvlText w:val="%1."/>
      <w:lvlJc w:val="left"/>
      <w:pPr>
        <w:ind w:left="720" w:hanging="360"/>
      </w:pPr>
    </w:lvl>
  </w:abstractNum>
  <w:abstractNum w:abstractNumId="136" w15:restartNumberingAfterBreak="0">
    <w:multiLevelType w:val="hybridMultilevel"/>
    <w:lvl w:ilvl="0" w15:tentative="1">
      <w:start w:val="1"/>
      <w:numFmt w:val="decimal"/>
      <w:lvlText w:val="%1."/>
      <w:lvlJc w:val="left"/>
      <w:pPr>
        <w:ind w:left="720" w:hanging="360"/>
      </w:pPr>
    </w:lvl>
  </w:abstractNum>
  <w:abstractNum w:abstractNumId="137" w15:restartNumberingAfterBreak="0">
    <w:multiLevelType w:val="hybridMultilevel"/>
    <w:lvl w:ilvl="0" w15:tentative="1">
      <w:start w:val="1"/>
      <w:numFmt w:val="decimal"/>
      <w:lvlText w:val="%1."/>
      <w:lvlJc w:val="left"/>
      <w:pPr>
        <w:ind w:left="720" w:hanging="360"/>
      </w:pPr>
    </w:lvl>
  </w:abstractNum>
  <w:abstractNum w:abstractNumId="138" w15:restartNumberingAfterBreak="0">
    <w:multiLevelType w:val="hybridMultilevel"/>
    <w:lvl w:ilvl="0" w15:tentative="1">
      <w:start w:val="1"/>
      <w:numFmt w:val="decimal"/>
      <w:lvlText w:val="%1."/>
      <w:lvlJc w:val="left"/>
      <w:pPr>
        <w:ind w:left="720" w:hanging="360"/>
      </w:pPr>
    </w:lvl>
  </w:abstractNum>
  <w:abstractNum w:abstractNumId="139" w15:restartNumberingAfterBreak="0">
    <w:multiLevelType w:val="hybridMultilevel"/>
    <w:lvl w:ilvl="0" w15:tentative="1">
      <w:start w:val="1"/>
      <w:numFmt w:val="decimal"/>
      <w:lvlText w:val="%1."/>
      <w:lvlJc w:val="left"/>
      <w:pPr>
        <w:ind w:left="720" w:hanging="360"/>
      </w:pPr>
    </w:lvl>
  </w:abstractNum>
  <w:abstractNum w:abstractNumId="140" w15:restartNumberingAfterBreak="0">
    <w:multiLevelType w:val="hybridMultilevel"/>
    <w:lvl w:ilvl="0" w15:tentative="1">
      <w:start w:val="1"/>
      <w:numFmt w:val="decimal"/>
      <w:lvlText w:val="%1."/>
      <w:lvlJc w:val="left"/>
      <w:pPr>
        <w:ind w:left="720" w:hanging="360"/>
      </w:pPr>
    </w:lvl>
  </w:abstractNum>
  <w:abstractNum w:abstractNumId="141" w15:restartNumberingAfterBreak="0">
    <w:multiLevelType w:val="hybridMultilevel"/>
    <w:lvl w:ilvl="0" w15:tentative="1">
      <w:start w:val="1"/>
      <w:numFmt w:val="decimal"/>
      <w:lvlText w:val="%1."/>
      <w:lvlJc w:val="left"/>
      <w:pPr>
        <w:ind w:left="720" w:hanging="360"/>
      </w:pPr>
    </w:lvl>
  </w:abstractNum>
  <w:abstractNum w:abstractNumId="142" w15:restartNumberingAfterBreak="0">
    <w:multiLevelType w:val="hybridMultilevel"/>
    <w:lvl w:ilvl="0" w15:tentative="1">
      <w:start w:val="1"/>
      <w:numFmt w:val="decimal"/>
      <w:lvlText w:val="%1."/>
      <w:lvlJc w:val="left"/>
      <w:pPr>
        <w:ind w:left="720" w:hanging="360"/>
      </w:pPr>
    </w:lvl>
  </w:abstractNum>
  <w:abstractNum w:abstractNumId="143" w15:restartNumberingAfterBreak="0">
    <w:multiLevelType w:val="hybridMultilevel"/>
    <w:lvl w:ilvl="0" w15:tentative="1">
      <w:start w:val="1"/>
      <w:numFmt w:val="decimal"/>
      <w:lvlText w:val="%1."/>
      <w:lvlJc w:val="left"/>
      <w:pPr>
        <w:ind w:left="720" w:hanging="360"/>
      </w:pPr>
    </w:lvl>
  </w:abstractNum>
  <w:abstractNum w:abstractNumId="144" w15:restartNumberingAfterBreak="0">
    <w:multiLevelType w:val="hybridMultilevel"/>
    <w:lvl w:ilvl="0" w15:tentative="1">
      <w:start w:val="1"/>
      <w:numFmt w:val="decimal"/>
      <w:lvlText w:val="%1."/>
      <w:lvlJc w:val="left"/>
      <w:pPr>
        <w:ind w:left="720" w:hanging="360"/>
      </w:pPr>
    </w:lvl>
  </w:abstractNum>
  <w:abstractNum w:abstractNumId="145" w15:restartNumberingAfterBreak="0">
    <w:multiLevelType w:val="hybridMultilevel"/>
    <w:lvl w:ilvl="0" w15:tentative="1">
      <w:start w:val="1"/>
      <w:numFmt w:val="decimal"/>
      <w:lvlText w:val="%1."/>
      <w:lvlJc w:val="left"/>
      <w:pPr>
        <w:ind w:left="720" w:hanging="360"/>
      </w:pPr>
    </w:lvl>
  </w:abstractNum>
  <w:abstractNum w:abstractNumId="146" w15:restartNumberingAfterBreak="0">
    <w:multiLevelType w:val="hybridMultilevel"/>
    <w:lvl w:ilvl="0" w15:tentative="1">
      <w:start w:val="1"/>
      <w:numFmt w:val="decimal"/>
      <w:lvlText w:val="%1."/>
      <w:lvlJc w:val="left"/>
      <w:pPr>
        <w:ind w:left="720" w:hanging="360"/>
      </w:pPr>
    </w:lvl>
  </w:abstractNum>
  <w:abstractNum w:abstractNumId="147" w15:restartNumberingAfterBreak="0">
    <w:multiLevelType w:val="hybridMultilevel"/>
    <w:lvl w:ilvl="0" w15:tentative="1">
      <w:start w:val="1"/>
      <w:numFmt w:val="decimal"/>
      <w:lvlText w:val="%1."/>
      <w:lvlJc w:val="left"/>
      <w:pPr>
        <w:ind w:left="720" w:hanging="360"/>
      </w:pPr>
    </w:lvl>
  </w:abstractNum>
  <w:abstractNum w:abstractNumId="148" w15:restartNumberingAfterBreak="0">
    <w:multiLevelType w:val="hybridMultilevel"/>
    <w:lvl w:ilvl="0" w15:tentative="1">
      <w:start w:val="1"/>
      <w:numFmt w:val="decimal"/>
      <w:lvlText w:val="%1."/>
      <w:lvlJc w:val="left"/>
      <w:pPr>
        <w:ind w:left="720" w:hanging="360"/>
      </w:pPr>
    </w:lvl>
  </w:abstractNum>
  <w:abstractNum w:abstractNumId="149" w15:restartNumberingAfterBreak="0">
    <w:multiLevelType w:val="hybridMultilevel"/>
    <w:lvl w:ilvl="0" w15:tentative="1">
      <w:start w:val="1"/>
      <w:numFmt w:val="decimal"/>
      <w:lvlText w:val="%1."/>
      <w:lvlJc w:val="left"/>
      <w:pPr>
        <w:ind w:left="720" w:hanging="360"/>
      </w:pPr>
    </w:lvl>
  </w:abstractNum>
  <w:abstractNum w:abstractNumId="150" w15:restartNumberingAfterBreak="0">
    <w:multiLevelType w:val="hybridMultilevel"/>
    <w:lvl w:ilvl="0" w15:tentative="1">
      <w:start w:val="1"/>
      <w:numFmt w:val="decimal"/>
      <w:lvlText w:val="%1."/>
      <w:lvlJc w:val="left"/>
      <w:pPr>
        <w:ind w:left="720" w:hanging="360"/>
      </w:pPr>
    </w:lvl>
  </w:abstractNum>
  <w:abstractNum w:abstractNumId="151" w15:restartNumberingAfterBreak="0">
    <w:multiLevelType w:val="hybridMultilevel"/>
    <w:lvl w:ilvl="0" w15:tentative="1">
      <w:start w:val="1"/>
      <w:numFmt w:val="decimal"/>
      <w:lvlText w:val="%1."/>
      <w:lvlJc w:val="left"/>
      <w:pPr>
        <w:ind w:left="720" w:hanging="360"/>
      </w:pPr>
    </w:lvl>
  </w:abstractNum>
  <w:abstractNum w:abstractNumId="152" w15:restartNumberingAfterBreak="0">
    <w:multiLevelType w:val="hybridMultilevel"/>
    <w:lvl w:ilvl="0" w15:tentative="1">
      <w:start w:val="1"/>
      <w:numFmt w:val="decimal"/>
      <w:lvlText w:val="%1."/>
      <w:lvlJc w:val="left"/>
      <w:pPr>
        <w:ind w:left="720" w:hanging="360"/>
      </w:pPr>
    </w:lvl>
  </w:abstractNum>
  <w:abstractNum w:abstractNumId="153" w15:restartNumberingAfterBreak="0">
    <w:multiLevelType w:val="hybridMultilevel"/>
    <w:lvl w:ilvl="0" w15:tentative="1">
      <w:start w:val="1"/>
      <w:numFmt w:val="decimal"/>
      <w:lvlText w:val="%1."/>
      <w:lvlJc w:val="left"/>
      <w:pPr>
        <w:ind w:left="720" w:hanging="360"/>
      </w:pPr>
    </w:lvl>
  </w:abstractNum>
  <w:abstractNum w:abstractNumId="154" w15:restartNumberingAfterBreak="0">
    <w:multiLevelType w:val="hybridMultilevel"/>
    <w:lvl w:ilvl="0" w15:tentative="1">
      <w:start w:val="1"/>
      <w:numFmt w:val="decimal"/>
      <w:lvlText w:val="%1."/>
      <w:lvlJc w:val="left"/>
      <w:pPr>
        <w:ind w:left="720" w:hanging="360"/>
      </w:pPr>
    </w:lvl>
  </w:abstractNum>
  <w:abstractNum w:abstractNumId="155" w15:restartNumberingAfterBreak="0">
    <w:multiLevelType w:val="hybridMultilevel"/>
    <w:lvl w:ilvl="0" w15:tentative="1">
      <w:start w:val="1"/>
      <w:numFmt w:val="decimal"/>
      <w:lvlText w:val="%1."/>
      <w:lvlJc w:val="left"/>
      <w:pPr>
        <w:ind w:left="720" w:hanging="360"/>
      </w:pPr>
    </w:lvl>
  </w:abstractNum>
  <w:abstractNum w:abstractNumId="156" w15:restartNumberingAfterBreak="0">
    <w:multiLevelType w:val="hybridMultilevel"/>
    <w:lvl w:ilvl="0" w15:tentative="1">
      <w:start w:val="1"/>
      <w:numFmt w:val="decimal"/>
      <w:lvlText w:val="%1."/>
      <w:lvlJc w:val="left"/>
      <w:pPr>
        <w:ind w:left="720" w:hanging="360"/>
      </w:pPr>
    </w:lvl>
  </w:abstractNum>
  <w:abstractNum w:abstractNumId="157" w15:restartNumberingAfterBreak="0">
    <w:multiLevelType w:val="hybridMultilevel"/>
    <w:lvl w:ilvl="0" w15:tentative="1">
      <w:start w:val="1"/>
      <w:numFmt w:val="decimal"/>
      <w:lvlText w:val="%1."/>
      <w:lvlJc w:val="left"/>
      <w:pPr>
        <w:ind w:left="720" w:hanging="360"/>
      </w:pPr>
    </w:lvl>
  </w:abstractNum>
  <w:abstractNum w:abstractNumId="158" w15:restartNumberingAfterBreak="0">
    <w:multiLevelType w:val="hybridMultilevel"/>
    <w:lvl w:ilvl="0" w15:tentative="1">
      <w:start w:val="1"/>
      <w:numFmt w:val="decimal"/>
      <w:lvlText w:val="%1."/>
      <w:lvlJc w:val="left"/>
      <w:pPr>
        <w:ind w:left="720" w:hanging="360"/>
      </w:pPr>
    </w:lvl>
  </w:abstractNum>
  <w:abstractNum w:abstractNumId="159" w15:restartNumberingAfterBreak="0">
    <w:multiLevelType w:val="hybridMultilevel"/>
    <w:lvl w:ilvl="0" w15:tentative="1">
      <w:start w:val="1"/>
      <w:numFmt w:val="decimal"/>
      <w:lvlText w:val="%1."/>
      <w:lvlJc w:val="left"/>
      <w:pPr>
        <w:ind w:left="720" w:hanging="360"/>
      </w:pPr>
    </w:lvl>
  </w:abstractNum>
  <w:abstractNum w:abstractNumId="160" w15:restartNumberingAfterBreak="0">
    <w:multiLevelType w:val="hybridMultilevel"/>
    <w:lvl w:ilvl="0" w15:tentative="1">
      <w:start w:val="1"/>
      <w:numFmt w:val="decimal"/>
      <w:lvlText w:val="%1."/>
      <w:lvlJc w:val="left"/>
      <w:pPr>
        <w:ind w:left="720" w:hanging="360"/>
      </w:pPr>
    </w:lvl>
  </w:abstractNum>
  <w:abstractNum w:abstractNumId="161" w15:restartNumberingAfterBreak="0">
    <w:multiLevelType w:val="hybridMultilevel"/>
    <w:lvl w:ilvl="0" w15:tentative="1">
      <w:start w:val="1"/>
      <w:numFmt w:val="decimal"/>
      <w:lvlText w:val="%1."/>
      <w:lvlJc w:val="left"/>
      <w:pPr>
        <w:ind w:left="720" w:hanging="360"/>
      </w:pPr>
    </w:lvl>
  </w:abstractNum>
  <w:abstractNum w:abstractNumId="162" w15:restartNumberingAfterBreak="0">
    <w:multiLevelType w:val="hybridMultilevel"/>
    <w:lvl w:ilvl="0" w15:tentative="1">
      <w:start w:val="1"/>
      <w:numFmt w:val="decimal"/>
      <w:lvlText w:val="%1."/>
      <w:lvlJc w:val="left"/>
      <w:pPr>
        <w:ind w:left="720" w:hanging="360"/>
      </w:pPr>
    </w:lvl>
  </w:abstractNum>
  <w:abstractNum w:abstractNumId="163" w15:restartNumberingAfterBreak="0">
    <w:multiLevelType w:val="hybridMultilevel"/>
    <w:lvl w:ilvl="0" w15:tentative="1">
      <w:start w:val="1"/>
      <w:numFmt w:val="decimal"/>
      <w:lvlText w:val="%1."/>
      <w:lvlJc w:val="left"/>
      <w:pPr>
        <w:ind w:left="720" w:hanging="360"/>
      </w:pPr>
    </w:lvl>
  </w:abstractNum>
  <w:abstractNum w:abstractNumId="164" w15:restartNumberingAfterBreak="0">
    <w:multiLevelType w:val="hybridMultilevel"/>
    <w:lvl w:ilvl="0" w15:tentative="1">
      <w:start w:val="1"/>
      <w:numFmt w:val="decimal"/>
      <w:lvlText w:val="%1."/>
      <w:lvlJc w:val="left"/>
      <w:pPr>
        <w:ind w:left="720" w:hanging="360"/>
      </w:pPr>
    </w:lvl>
  </w:abstractNum>
  <w:abstractNum w:abstractNumId="165" w15:restartNumberingAfterBreak="0">
    <w:multiLevelType w:val="hybridMultilevel"/>
    <w:lvl w:ilvl="0" w15:tentative="1">
      <w:start w:val="1"/>
      <w:numFmt w:val="decimal"/>
      <w:lvlText w:val="%1."/>
      <w:lvlJc w:val="left"/>
      <w:pPr>
        <w:ind w:left="720" w:hanging="360"/>
      </w:pPr>
    </w:lvl>
  </w:abstractNum>
  <w:abstractNum w:abstractNumId="166" w15:restartNumberingAfterBreak="0">
    <w:multiLevelType w:val="hybridMultilevel"/>
    <w:lvl w:ilvl="0" w15:tentative="1">
      <w:start w:val="1"/>
      <w:numFmt w:val="decimal"/>
      <w:lvlText w:val="%1."/>
      <w:lvlJc w:val="left"/>
      <w:pPr>
        <w:ind w:left="720" w:hanging="360"/>
      </w:pPr>
    </w:lvl>
  </w:abstractNum>
  <w:abstractNum w:abstractNumId="167" w15:restartNumberingAfterBreak="0">
    <w:multiLevelType w:val="hybridMultilevel"/>
    <w:lvl w:ilvl="0" w15:tentative="1">
      <w:start w:val="1"/>
      <w:numFmt w:val="decimal"/>
      <w:lvlText w:val="%1."/>
      <w:lvlJc w:val="left"/>
      <w:pPr>
        <w:ind w:left="720" w:hanging="360"/>
      </w:pPr>
    </w:lvl>
  </w:abstractNum>
  <w:abstractNum w:abstractNumId="168" w15:restartNumberingAfterBreak="0">
    <w:multiLevelType w:val="hybridMultilevel"/>
    <w:lvl w:ilvl="0" w15:tentative="1">
      <w:start w:val="1"/>
      <w:numFmt w:val="decimal"/>
      <w:lvlText w:val="%1."/>
      <w:lvlJc w:val="left"/>
      <w:pPr>
        <w:ind w:left="720" w:hanging="360"/>
      </w:pPr>
    </w:lvl>
  </w:abstractNum>
  <w:abstractNum w:abstractNumId="169" w15:restartNumberingAfterBreak="0">
    <w:multiLevelType w:val="hybridMultilevel"/>
    <w:lvl w:ilvl="0" w15:tentative="1">
      <w:start w:val="1"/>
      <w:numFmt w:val="decimal"/>
      <w:lvlText w:val="%1."/>
      <w:lvlJc w:val="left"/>
      <w:pPr>
        <w:ind w:left="720" w:hanging="360"/>
      </w:pPr>
    </w:lvl>
  </w:abstractNum>
  <w:abstractNum w:abstractNumId="170" w15:restartNumberingAfterBreak="0">
    <w:multiLevelType w:val="hybridMultilevel"/>
    <w:lvl w:ilvl="0" w15:tentative="1">
      <w:start w:val="1"/>
      <w:numFmt w:val="decimal"/>
      <w:lvlText w:val="%1."/>
      <w:lvlJc w:val="left"/>
      <w:pPr>
        <w:ind w:left="720" w:hanging="360"/>
      </w:pPr>
    </w:lvl>
  </w:abstractNum>
  <w:abstractNum w:abstractNumId="171" w15:restartNumberingAfterBreak="0">
    <w:multiLevelType w:val="hybridMultilevel"/>
    <w:lvl w:ilvl="0" w15:tentative="1">
      <w:start w:val="1"/>
      <w:numFmt w:val="decimal"/>
      <w:lvlText w:val="%1."/>
      <w:lvlJc w:val="left"/>
      <w:pPr>
        <w:ind w:left="720" w:hanging="360"/>
      </w:pPr>
    </w:lvl>
  </w:abstractNum>
  <w:abstractNum w:abstractNumId="172" w15:restartNumberingAfterBreak="0">
    <w:multiLevelType w:val="hybridMultilevel"/>
    <w:lvl w:ilvl="0" w15:tentative="1">
      <w:start w:val="1"/>
      <w:numFmt w:val="decimal"/>
      <w:lvlText w:val="%1."/>
      <w:lvlJc w:val="left"/>
      <w:pPr>
        <w:ind w:left="720" w:hanging="360"/>
      </w:pPr>
    </w:lvl>
  </w:abstractNum>
  <w:abstractNum w:abstractNumId="173" w15:restartNumberingAfterBreak="0">
    <w:multiLevelType w:val="hybridMultilevel"/>
    <w:lvl w:ilvl="0" w15:tentative="1">
      <w:start w:val="1"/>
      <w:numFmt w:val="decimal"/>
      <w:lvlText w:val="%1."/>
      <w:lvlJc w:val="left"/>
      <w:pPr>
        <w:ind w:left="720" w:hanging="360"/>
      </w:pPr>
    </w:lvl>
  </w:abstractNum>
  <w:abstractNum w:abstractNumId="174" w15:restartNumberingAfterBreak="0">
    <w:multiLevelType w:val="hybridMultilevel"/>
    <w:lvl w:ilvl="0" w15:tentative="1">
      <w:start w:val="1"/>
      <w:numFmt w:val="decimal"/>
      <w:lvlText w:val="%1."/>
      <w:lvlJc w:val="left"/>
      <w:pPr>
        <w:ind w:left="720" w:hanging="360"/>
      </w:pPr>
    </w:lvl>
  </w:abstractNum>
  <w:abstractNum w:abstractNumId="175" w15:restartNumberingAfterBreak="0">
    <w:multiLevelType w:val="hybridMultilevel"/>
    <w:lvl w:ilvl="0" w15:tentative="1">
      <w:start w:val="1"/>
      <w:numFmt w:val="decimal"/>
      <w:lvlText w:val="%1."/>
      <w:lvlJc w:val="left"/>
      <w:pPr>
        <w:ind w:left="720" w:hanging="360"/>
      </w:pPr>
    </w:lvl>
  </w:abstractNum>
  <w:abstractNum w:abstractNumId="176" w15:restartNumberingAfterBreak="0">
    <w:multiLevelType w:val="hybridMultilevel"/>
    <w:lvl w:ilvl="0" w15:tentative="1">
      <w:start w:val="1"/>
      <w:numFmt w:val="decimal"/>
      <w:lvlText w:val="%1."/>
      <w:lvlJc w:val="left"/>
      <w:pPr>
        <w:ind w:left="720" w:hanging="360"/>
      </w:pPr>
    </w:lvl>
  </w:abstractNum>
  <w:abstractNum w:abstractNumId="177" w15:restartNumberingAfterBreak="0">
    <w:multiLevelType w:val="hybridMultilevel"/>
    <w:lvl w:ilvl="0" w15:tentative="1">
      <w:start w:val="1"/>
      <w:numFmt w:val="decimal"/>
      <w:lvlText w:val="%1."/>
      <w:lvlJc w:val="left"/>
      <w:pPr>
        <w:ind w:left="720" w:hanging="360"/>
      </w:pPr>
    </w:lvl>
  </w:abstractNum>
  <w:abstractNum w:abstractNumId="178" w15:restartNumberingAfterBreak="0">
    <w:multiLevelType w:val="hybridMultilevel"/>
    <w:lvl w:ilvl="0" w15:tentative="1">
      <w:start w:val="1"/>
      <w:numFmt w:val="decimal"/>
      <w:lvlText w:val="%1."/>
      <w:lvlJc w:val="left"/>
      <w:pPr>
        <w:ind w:left="720" w:hanging="360"/>
      </w:pPr>
    </w:lvl>
  </w:abstractNum>
  <w:abstractNum w:abstractNumId="179" w15:restartNumberingAfterBreak="0">
    <w:multiLevelType w:val="hybridMultilevel"/>
    <w:lvl w:ilvl="0" w15:tentative="1">
      <w:start w:val="1"/>
      <w:numFmt w:val="decimal"/>
      <w:lvlText w:val="%1."/>
      <w:lvlJc w:val="left"/>
      <w:pPr>
        <w:ind w:left="720" w:hanging="360"/>
      </w:pPr>
    </w:lvl>
  </w:abstractNum>
  <w:abstractNum w:abstractNumId="180" w15:restartNumberingAfterBreak="0">
    <w:multiLevelType w:val="hybridMultilevel"/>
    <w:lvl w:ilvl="0" w15:tentative="1">
      <w:start w:val="1"/>
      <w:numFmt w:val="decimal"/>
      <w:lvlText w:val="%1."/>
      <w:lvlJc w:val="left"/>
      <w:pPr>
        <w:ind w:left="720" w:hanging="360"/>
      </w:pPr>
    </w:lvl>
  </w:abstractNum>
  <w:abstractNum w:abstractNumId="181" w15:restartNumberingAfterBreak="0">
    <w:multiLevelType w:val="hybridMultilevel"/>
    <w:lvl w:ilvl="0" w15:tentative="1">
      <w:start w:val="1"/>
      <w:numFmt w:val="decimal"/>
      <w:lvlText w:val="%1."/>
      <w:lvlJc w:val="left"/>
      <w:pPr>
        <w:ind w:left="720" w:hanging="360"/>
      </w:pPr>
    </w:lvl>
  </w:abstractNum>
  <w:abstractNum w:abstractNumId="182" w15:restartNumberingAfterBreak="0">
    <w:multiLevelType w:val="hybridMultilevel"/>
    <w:lvl w:ilvl="0" w15:tentative="1">
      <w:start w:val="1"/>
      <w:numFmt w:val="decimal"/>
      <w:lvlText w:val="%1."/>
      <w:lvlJc w:val="left"/>
      <w:pPr>
        <w:ind w:left="720" w:hanging="360"/>
      </w:pPr>
    </w:lvl>
  </w:abstractNum>
  <w:abstractNum w:abstractNumId="183" w15:restartNumberingAfterBreak="0">
    <w:multiLevelType w:val="hybridMultilevel"/>
    <w:lvl w:ilvl="0" w15:tentative="1">
      <w:start w:val="1"/>
      <w:numFmt w:val="decimal"/>
      <w:lvlText w:val="%1."/>
      <w:lvlJc w:val="left"/>
      <w:pPr>
        <w:ind w:left="720" w:hanging="360"/>
      </w:pPr>
    </w:lvl>
  </w:abstractNum>
  <w:abstractNum w:abstractNumId="184" w15:restartNumberingAfterBreak="0">
    <w:multiLevelType w:val="hybridMultilevel"/>
    <w:lvl w:ilvl="0" w15:tentative="1">
      <w:start w:val="1"/>
      <w:numFmt w:val="decimal"/>
      <w:lvlText w:val="%1."/>
      <w:lvlJc w:val="left"/>
      <w:pPr>
        <w:ind w:left="720" w:hanging="360"/>
      </w:pPr>
    </w:lvl>
  </w:abstractNum>
  <w:abstractNum w:abstractNumId="185" w15:restartNumberingAfterBreak="0">
    <w:multiLevelType w:val="hybridMultilevel"/>
    <w:lvl w:ilvl="0" w15:tentative="1">
      <w:start w:val="1"/>
      <w:numFmt w:val="decimal"/>
      <w:lvlText w:val="%1."/>
      <w:lvlJc w:val="left"/>
      <w:pPr>
        <w:ind w:left="720" w:hanging="360"/>
      </w:pPr>
    </w:lvl>
  </w:abstractNum>
  <w:abstractNum w:abstractNumId="186" w15:restartNumberingAfterBreak="0">
    <w:multiLevelType w:val="hybridMultilevel"/>
    <w:lvl w:ilvl="0" w15:tentative="1">
      <w:start w:val="1"/>
      <w:numFmt w:val="decimal"/>
      <w:lvlText w:val="%1."/>
      <w:lvlJc w:val="left"/>
      <w:pPr>
        <w:ind w:left="720" w:hanging="360"/>
      </w:pPr>
    </w:lvl>
  </w:abstractNum>
  <w:abstractNum w:abstractNumId="187" w15:restartNumberingAfterBreak="0">
    <w:multiLevelType w:val="hybridMultilevel"/>
    <w:lvl w:ilvl="0" w15:tentative="1">
      <w:start w:val="1"/>
      <w:numFmt w:val="decimal"/>
      <w:lvlText w:val="%1."/>
      <w:lvlJc w:val="left"/>
      <w:pPr>
        <w:ind w:left="720" w:hanging="360"/>
      </w:pPr>
    </w:lvl>
  </w:abstractNum>
  <w:abstractNum w:abstractNumId="188" w15:restartNumberingAfterBreak="0">
    <w:multiLevelType w:val="hybridMultilevel"/>
    <w:lvl w:ilvl="0" w15:tentative="1">
      <w:start w:val="1"/>
      <w:numFmt w:val="decimal"/>
      <w:lvlText w:val="%1."/>
      <w:lvlJc w:val="left"/>
      <w:pPr>
        <w:ind w:left="720" w:hanging="360"/>
      </w:pPr>
    </w:lvl>
  </w:abstractNum>
  <w:abstractNum w:abstractNumId="189" w15:restartNumberingAfterBreak="0">
    <w:multiLevelType w:val="hybridMultilevel"/>
    <w:lvl w:ilvl="0" w15:tentative="1">
      <w:start w:val="1"/>
      <w:numFmt w:val="decimal"/>
      <w:lvlText w:val="%1."/>
      <w:lvlJc w:val="left"/>
      <w:pPr>
        <w:ind w:left="720" w:hanging="360"/>
      </w:pPr>
    </w:lvl>
  </w:abstractNum>
  <w:abstractNum w:abstractNumId="190" w15:restartNumberingAfterBreak="0">
    <w:multiLevelType w:val="hybridMultilevel"/>
    <w:lvl w:ilvl="0" w15:tentative="1">
      <w:start w:val="1"/>
      <w:numFmt w:val="decimal"/>
      <w:lvlText w:val="%1."/>
      <w:lvlJc w:val="left"/>
      <w:pPr>
        <w:ind w:left="720" w:hanging="360"/>
      </w:pPr>
    </w:lvl>
  </w:abstractNum>
  <w:abstractNum w:abstractNumId="191" w15:restartNumberingAfterBreak="0">
    <w:multiLevelType w:val="hybridMultilevel"/>
    <w:lvl w:ilvl="0" w15:tentative="1">
      <w:start w:val="1"/>
      <w:numFmt w:val="decimal"/>
      <w:lvlText w:val="%1."/>
      <w:lvlJc w:val="left"/>
      <w:pPr>
        <w:ind w:left="720" w:hanging="360"/>
      </w:pPr>
    </w:lvl>
  </w:abstractNum>
  <w:abstractNum w:abstractNumId="192" w15:restartNumberingAfterBreak="0">
    <w:multiLevelType w:val="hybridMultilevel"/>
    <w:lvl w:ilvl="0" w15:tentative="1">
      <w:start w:val="1"/>
      <w:numFmt w:val="decimal"/>
      <w:lvlText w:val="%1."/>
      <w:lvlJc w:val="left"/>
      <w:pPr>
        <w:ind w:left="720" w:hanging="360"/>
      </w:pPr>
    </w:lvl>
  </w:abstractNum>
  <w:abstractNum w:abstractNumId="193" w15:restartNumberingAfterBreak="0">
    <w:multiLevelType w:val="hybridMultilevel"/>
    <w:lvl w:ilvl="0" w15:tentative="1">
      <w:start w:val="1"/>
      <w:numFmt w:val="decimal"/>
      <w:lvlText w:val="%1."/>
      <w:lvlJc w:val="left"/>
      <w:pPr>
        <w:ind w:left="720" w:hanging="360"/>
      </w:pPr>
    </w:lvl>
  </w:abstractNum>
  <w:abstractNum w:abstractNumId="194" w15:restartNumberingAfterBreak="0">
    <w:multiLevelType w:val="hybridMultilevel"/>
    <w:lvl w:ilvl="0" w15:tentative="1">
      <w:start w:val="1"/>
      <w:numFmt w:val="decimal"/>
      <w:lvlText w:val="%1."/>
      <w:lvlJc w:val="left"/>
      <w:pPr>
        <w:ind w:left="720" w:hanging="360"/>
      </w:pPr>
    </w:lvl>
  </w:abstractNum>
  <w:abstractNum w:abstractNumId="195" w15:restartNumberingAfterBreak="0">
    <w:multiLevelType w:val="hybridMultilevel"/>
    <w:lvl w:ilvl="0" w15:tentative="1">
      <w:start w:val="1"/>
      <w:numFmt w:val="decimal"/>
      <w:lvlText w:val="%1."/>
      <w:lvlJc w:val="left"/>
      <w:pPr>
        <w:ind w:left="720" w:hanging="360"/>
      </w:pPr>
    </w:lvl>
  </w:abstractNum>
  <w:abstractNum w:abstractNumId="196" w15:restartNumberingAfterBreak="0">
    <w:multiLevelType w:val="hybridMultilevel"/>
    <w:lvl w:ilvl="0" w15:tentative="1">
      <w:start w:val="1"/>
      <w:numFmt w:val="decimal"/>
      <w:lvlText w:val="%1."/>
      <w:lvlJc w:val="left"/>
      <w:pPr>
        <w:ind w:left="720" w:hanging="360"/>
      </w:pPr>
    </w:lvl>
  </w:abstractNum>
  <w:abstractNum w:abstractNumId="197" w15:restartNumberingAfterBreak="0">
    <w:multiLevelType w:val="hybridMultilevel"/>
    <w:lvl w:ilvl="0" w15:tentative="1">
      <w:start w:val="1"/>
      <w:numFmt w:val="decimal"/>
      <w:lvlText w:val="%1."/>
      <w:lvlJc w:val="left"/>
      <w:pPr>
        <w:ind w:left="720" w:hanging="360"/>
      </w:pPr>
    </w:lvl>
  </w:abstractNum>
  <w:abstractNum w:abstractNumId="198" w15:restartNumberingAfterBreak="0">
    <w:multiLevelType w:val="hybridMultilevel"/>
    <w:lvl w:ilvl="0" w15:tentative="1">
      <w:start w:val="1"/>
      <w:numFmt w:val="decimal"/>
      <w:lvlText w:val="%1."/>
      <w:lvlJc w:val="left"/>
      <w:pPr>
        <w:ind w:left="720" w:hanging="360"/>
      </w:pPr>
    </w:lvl>
  </w:abstractNum>
  <w:abstractNum w:abstractNumId="199" w15:restartNumberingAfterBreak="0">
    <w:multiLevelType w:val="hybridMultilevel"/>
    <w:lvl w:ilvl="0" w15:tentative="1">
      <w:start w:val="1"/>
      <w:numFmt w:val="decimal"/>
      <w:lvlText w:val="%1."/>
      <w:lvlJc w:val="left"/>
      <w:pPr>
        <w:ind w:left="720" w:hanging="360"/>
      </w:pPr>
    </w:lvl>
  </w:abstractNum>
  <w:abstractNum w:abstractNumId="200" w15:restartNumberingAfterBreak="0">
    <w:multiLevelType w:val="hybridMultilevel"/>
    <w:lvl w:ilvl="0" w15:tentative="1">
      <w:start w:val="1"/>
      <w:numFmt w:val="decimal"/>
      <w:lvlText w:val="%1."/>
      <w:lvlJc w:val="left"/>
      <w:pPr>
        <w:ind w:left="720" w:hanging="360"/>
      </w:pPr>
    </w:lvl>
  </w:abstractNum>
  <w:abstractNum w:abstractNumId="201" w15:restartNumberingAfterBreak="0">
    <w:multiLevelType w:val="hybridMultilevel"/>
    <w:lvl w:ilvl="0" w15:tentative="1">
      <w:start w:val="1"/>
      <w:numFmt w:val="decimal"/>
      <w:lvlText w:val="%1."/>
      <w:lvlJc w:val="left"/>
      <w:pPr>
        <w:ind w:left="720" w:hanging="360"/>
      </w:pPr>
    </w:lvl>
  </w:abstractNum>
  <w:abstractNum w:abstractNumId="20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2026-07-01T03:25:16.097Z</dcterms:created>
  <dcterms:modified xsi:type="dcterms:W3CDTF">2026-07-01T03:25:16.103Z</dcterms:modified>
</cp:coreProperties>
</file>

<file path=docProps/custom.xml><?xml version="1.0" encoding="utf-8"?>
<Properties xmlns="http://schemas.openxmlformats.org/officeDocument/2006/custom-properties" xmlns:vt="http://schemas.openxmlformats.org/officeDocument/2006/docPropsVTypes"/>
</file>