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jc w:val="center"/>
      </w:pPr>
      <w:r>
        <w:rPr>
          <w:rFonts w:ascii="Times New Roman" w:cs="Times New Roman" w:eastAsia="Times New Roman" w:hAnsi="Times New Roman"/>
          <w:b/>
          <w:bCs/>
          <w:caps w:val="false"/>
          <w:sz w:val="24"/>
          <w:szCs w:val="24"/>
        </w:rPr>
        <w:t xml:space="preserve">MAKALAH SEMINAR AKUNTANSI</w:t>
      </w:r>
    </w:p>
    <w:p>
      <w:pPr>
        <w:spacing w:after="24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96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0" w:before="0" w:line="480"/>
        <w:jc w:val="center"/>
      </w:pPr>
      <w:r>
        <w:rPr>
          <w:rFonts w:ascii="Times New Roman" w:cs="Times New Roman" w:eastAsia="Times New Roman" w:hAnsi="Times New Roman"/>
          <w:b/>
          <w:bCs/>
          <w:caps w:val="false"/>
          <w:sz w:val="24"/>
          <w:szCs w:val="24"/>
        </w:rPr>
        <w:t xml:space="preserve">PERSETUJUAN MAKALAH SEMINAR</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48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360"/>
      </w:pPr>
      <w:r>
        <w:t xml:space="preserve"/>
      </w:r>
    </w:p>
    <w:p>
      <w:pPr>
        <w:spacing w:after="240" w:before="0" w:line="480"/>
        <w:jc w:val="center"/>
      </w:pPr>
      <w:r>
        <w:rPr>
          <w:rFonts w:ascii="Times New Roman" w:cs="Times New Roman" w:eastAsia="Times New Roman" w:hAnsi="Times New Roman"/>
          <w:b/>
          <w:bCs/>
          <w:caps w:val="false"/>
          <w:sz w:val="24"/>
          <w:szCs w:val="24"/>
        </w:rPr>
        <w:t xml:space="preserve">LEMBAR KONSULTASI</w:t>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4937"/>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7 Juni 2026</w:t>
            </w:r>
          </w:p>
        </w:tc>
      </w:tr>
    </w:tbl>
    <w:p>
      <w:pPr>
        <w:spacing w:after="0" w:before="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pPr>
      <w:r>
        <w:t xml:space="preserve"/>
      </w:r>
    </w:p>
    <w:p>
      <w:pPr>
        <w:spacing w:after="0" w:before="0" w:line="360"/>
      </w:pPr>
      <w:r>
        <w:t xml:space="preserve"/>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Mengetahui,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Disetujui Oleh,</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Ketua Jurusan Akuntansi,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Narasumber,</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Risal, S.E., M.Si., Ak.CA</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Endang Kristiawati, S.E., Ak., M.Si</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1104068701</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2268" w:right="1701" w:bottom="1701" w:left="2268" w:header="708" w:footer="708" w:gutter="0"/>
          <w:pgNumType w:start="2"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pPr>
      <w:r>
        <w:t xml:space="preserve"/>
      </w:r>
    </w:p>
    <w:p>
      <w:pPr>
        <w:spacing w:after="0" w:before="0" w:line="480"/>
        <w:jc w:val="right"/>
      </w:pPr>
      <w:r>
        <w:rPr>
          <w:rFonts w:ascii="Times New Roman" w:cs="Times New Roman" w:eastAsia="Times New Roman" w:hAnsi="Times New Roman"/>
          <w:sz w:val="24"/>
          <w:szCs w:val="24"/>
        </w:rPr>
        <w:t xml:space="preserve">Pontianak, 4 Juni 2026</w:t>
      </w:r>
    </w:p>
    <w:p>
      <w:pPr>
        <w:spacing w:after="0" w:before="0" w:line="480"/>
        <w:jc w:val="right"/>
      </w:pPr>
      <w:r>
        <w:rPr>
          <w:rFonts w:ascii="Times New Roman" w:cs="Times New Roman" w:eastAsia="Times New Roman" w:hAnsi="Times New Roman"/>
          <w:sz w:val="24"/>
          <w:szCs w:val="24"/>
        </w:rPr>
        <w:t xml:space="preserve">Peneliti,</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2268" w:right="1701" w:bottom="1701" w:left="2268" w:header="708" w:footer="708" w:gutter="0"/>
          <w:pgNumType w:fmt="lowerRoman"/>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ISI</w:t>
      </w:r>
    </w:p>
    <w:p>
      <w:pPr>
        <w:spacing w:after="0" w:before="120" w:line="360"/>
        <w:ind w:left="0"/>
        <w:jc w:val="left"/>
      </w:pPr>
      <w:r>
        <w:rPr>
          <w:rFonts w:ascii="Times New Roman" w:cs="Times New Roman" w:eastAsia="Times New Roman" w:hAnsi="Times New Roman"/>
          <w:b/>
          <w:bCs/>
          <w:sz w:val="24"/>
          <w:szCs w:val="24"/>
        </w:rPr>
        <w:t xml:space="preserve">KATA PENGANTAR</w:t>
      </w:r>
      <w:r>
        <w:rPr>
          <w:rFonts w:ascii="Times New Roman" w:cs="Times New Roman" w:eastAsia="Times New Roman" w:hAnsi="Times New Roman"/>
          <w:b/>
          <w:bCs/>
          <w:sz w:val="24"/>
          <w:szCs w:val="24"/>
        </w:rPr>
        <w:ptab w:alignment="right" w:relativeTo="margin" w:leader="dot"/>
        <w:t xml:space="preserve">iv</w:t>
      </w:r>
    </w:p>
    <w:p>
      <w:pPr>
        <w:spacing w:after="0" w:before="120" w:line="360"/>
        <w:ind w:left="0"/>
        <w:jc w:val="left"/>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b/>
          <w:bCs/>
          <w:sz w:val="24"/>
          <w:szCs w:val="24"/>
        </w:rPr>
        <w:ptab w:alignment="right" w:relativeTo="margin" w:leader="dot"/>
        <w:t xml:space="preserve">v</w:t>
      </w:r>
    </w:p>
    <w:p>
      <w:pPr>
        <w:spacing w:after="0" w:before="120" w:line="360"/>
        <w:ind w:left="0"/>
        <w:jc w:val="left"/>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b/>
          <w:bCs/>
          <w:sz w:val="24"/>
          <w:szCs w:val="24"/>
        </w:rPr>
        <w:ptab w:alignment="right" w:relativeTo="margin" w:leader="dot"/>
        <w:t xml:space="preserve">vi</w:t>
      </w:r>
    </w:p>
    <w:p>
      <w:pPr>
        <w:spacing w:after="0" w:before="120" w:line="360"/>
        <w:ind w:left="0"/>
        <w:jc w:val="left"/>
      </w:pPr>
      <w:r>
        <w:rPr>
          <w:rFonts w:ascii="Times New Roman" w:cs="Times New Roman" w:eastAsia="Times New Roman" w:hAnsi="Times New Roman"/>
          <w:b/>
          <w:bCs/>
          <w:sz w:val="24"/>
          <w:szCs w:val="24"/>
        </w:rPr>
        <w:t xml:space="preserve">DAFTAR GAMBAR</w:t>
      </w:r>
      <w:r>
        <w:rPr>
          <w:rFonts w:ascii="Times New Roman" w:cs="Times New Roman" w:eastAsia="Times New Roman" w:hAnsi="Times New Roman"/>
          <w:b/>
          <w:bCs/>
          <w:sz w:val="24"/>
          <w:szCs w:val="24"/>
        </w:rPr>
        <w:ptab w:alignment="right" w:relativeTo="margin" w:leader="dot"/>
        <w:t xml:space="preserve">vii</w:t>
      </w:r>
    </w:p>
    <w:p>
      <w:pPr>
        <w:spacing w:after="0" w:before="120" w:line="360"/>
        <w:ind w:left="0"/>
        <w:jc w:val="left"/>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b/>
          <w:bCs/>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b w:val="false"/>
          <w:bCs w:val="false"/>
          <w:sz w:val="24"/>
          <w:szCs w:val="24"/>
        </w:rPr>
        <w:ptab w:alignment="right" w:relativeTo="margin" w:leader="dot"/>
        <w:t xml:space="preserve">1</w:t>
      </w:r>
    </w:p>
    <w:p>
      <w:pPr>
        <w:spacing w:after="0" w:before="0" w:line="360"/>
        <w:ind w:left="360"/>
        <w:jc w:val="left"/>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b w:val="false"/>
          <w:bCs w:val="false"/>
          <w:sz w:val="24"/>
          <w:szCs w:val="24"/>
        </w:rPr>
        <w:ptab w:alignment="right" w:relativeTo="margin" w:leader="dot"/>
        <w:t xml:space="preserve">9</w:t>
      </w:r>
    </w:p>
    <w:p>
      <w:pPr>
        <w:spacing w:after="0" w:before="0" w:line="360"/>
        <w:ind w:left="360"/>
        <w:jc w:val="left"/>
      </w:pPr>
      <w:r>
        <w:rPr>
          <w:rFonts w:ascii="Times New Roman" w:cs="Times New Roman" w:eastAsia="Times New Roman" w:hAnsi="Times New Roman"/>
          <w:b w:val="false"/>
          <w:bCs w:val="false"/>
          <w:sz w:val="24"/>
          <w:szCs w:val="24"/>
        </w:rPr>
        <w:t xml:space="preserve">1.3  Tujuan Penelitian</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0" w:line="360"/>
        <w:ind w:left="360"/>
        <w:jc w:val="left"/>
      </w:pPr>
      <w:r>
        <w:rPr>
          <w:rFonts w:ascii="Times New Roman" w:cs="Times New Roman" w:eastAsia="Times New Roman" w:hAnsi="Times New Roman"/>
          <w:b w:val="false"/>
          <w:bCs w:val="false"/>
          <w:sz w:val="24"/>
          <w:szCs w:val="24"/>
        </w:rPr>
        <w:t xml:space="preserve">1.4  Manfaat Penelitian</w:t>
      </w:r>
      <w:r>
        <w:rPr>
          <w:rFonts w:ascii="Times New Roman" w:cs="Times New Roman" w:eastAsia="Times New Roman" w:hAnsi="Times New Roman"/>
          <w:b w:val="false"/>
          <w:bCs w:val="false"/>
          <w:sz w:val="24"/>
          <w:szCs w:val="24"/>
        </w:rPr>
        <w:ptab w:alignment="right" w:relativeTo="margin" w:leader="dot"/>
        <w:t xml:space="preserve">10</w:t>
      </w:r>
    </w:p>
    <w:p>
      <w:pPr>
        <w:spacing w:after="0" w:before="120" w:line="360"/>
        <w:ind w:left="0"/>
        <w:jc w:val="left"/>
      </w:pPr>
      <w:r>
        <w:rPr>
          <w:rFonts w:ascii="Times New Roman" w:cs="Times New Roman" w:eastAsia="Times New Roman" w:hAnsi="Times New Roman"/>
          <w:b/>
          <w:bCs/>
          <w:sz w:val="24"/>
          <w:szCs w:val="24"/>
        </w:rPr>
        <w:t xml:space="preserve">BAB II TINJAUAN PUSTAKA</w:t>
      </w:r>
      <w:r>
        <w:rPr>
          <w:rFonts w:ascii="Times New Roman" w:cs="Times New Roman" w:eastAsia="Times New Roman" w:hAnsi="Times New Roman"/>
          <w:b/>
          <w:bCs/>
          <w:sz w:val="24"/>
          <w:szCs w:val="24"/>
        </w:rPr>
        <w:ptab w:alignment="right" w:relativeTo="margin" w:leader="dot"/>
        <w:t xml:space="preserve">13</w:t>
      </w:r>
    </w:p>
    <w:p>
      <w:pPr>
        <w:spacing w:after="0" w:before="0" w:line="360"/>
        <w:ind w:left="360"/>
        <w:jc w:val="left"/>
      </w:pPr>
      <w:r>
        <w:rPr>
          <w:rFonts w:ascii="Times New Roman" w:cs="Times New Roman" w:eastAsia="Times New Roman" w:hAnsi="Times New Roman"/>
          <w:b w:val="false"/>
          <w:bCs w:val="false"/>
          <w:sz w:val="24"/>
          <w:szCs w:val="24"/>
        </w:rPr>
        <w:t xml:space="preserve">2.1  Landasan Teori</w:t>
      </w:r>
      <w:r>
        <w:rPr>
          <w:rFonts w:ascii="Times New Roman" w:cs="Times New Roman" w:eastAsia="Times New Roman" w:hAnsi="Times New Roman"/>
          <w:b w:val="false"/>
          <w:bCs w:val="false"/>
          <w:sz w:val="24"/>
          <w:szCs w:val="24"/>
        </w:rPr>
        <w:ptab w:alignment="right" w:relativeTo="margin" w:leader="dot"/>
        <w:t xml:space="preserve">13</w:t>
      </w:r>
    </w:p>
    <w:p>
      <w:pPr>
        <w:spacing w:after="0" w:before="0" w:line="360"/>
        <w:ind w:left="360"/>
        <w:jc w:val="left"/>
      </w:pPr>
      <w:r>
        <w:rPr>
          <w:rFonts w:ascii="Times New Roman" w:cs="Times New Roman" w:eastAsia="Times New Roman" w:hAnsi="Times New Roman"/>
          <w:b w:val="false"/>
          <w:bCs w:val="false"/>
          <w:sz w:val="24"/>
          <w:szCs w:val="24"/>
        </w:rPr>
        <w:t xml:space="preserve">2.2  Ringkasan Penelitian Terdahulu</w:t>
      </w:r>
      <w:r>
        <w:rPr>
          <w:rFonts w:ascii="Times New Roman" w:cs="Times New Roman" w:eastAsia="Times New Roman" w:hAnsi="Times New Roman"/>
          <w:b w:val="false"/>
          <w:bCs w:val="false"/>
          <w:sz w:val="24"/>
          <w:szCs w:val="24"/>
        </w:rPr>
        <w:ptab w:alignment="right" w:relativeTo="margin" w:leader="dot"/>
        <w:t xml:space="preserve">24</w:t>
      </w:r>
    </w:p>
    <w:p>
      <w:pPr>
        <w:spacing w:after="0" w:before="0" w:line="360"/>
        <w:ind w:left="360"/>
        <w:jc w:val="left"/>
      </w:pPr>
      <w:r>
        <w:rPr>
          <w:rFonts w:ascii="Times New Roman" w:cs="Times New Roman" w:eastAsia="Times New Roman" w:hAnsi="Times New Roman"/>
          <w:b w:val="false"/>
          <w:bCs w:val="false"/>
          <w:sz w:val="24"/>
          <w:szCs w:val="24"/>
        </w:rPr>
        <w:t xml:space="preserve">2.3  Proposisi Penelitian</w:t>
      </w:r>
      <w:r>
        <w:rPr>
          <w:rFonts w:ascii="Times New Roman" w:cs="Times New Roman" w:eastAsia="Times New Roman" w:hAnsi="Times New Roman"/>
          <w:b w:val="false"/>
          <w:bCs w:val="false"/>
          <w:sz w:val="24"/>
          <w:szCs w:val="24"/>
        </w:rPr>
        <w:ptab w:alignment="right" w:relativeTo="margin" w:leader="dot"/>
        <w:t xml:space="preserve">27</w:t>
      </w:r>
    </w:p>
    <w:p>
      <w:pPr>
        <w:spacing w:after="0" w:before="0" w:line="360"/>
        <w:ind w:left="360"/>
        <w:jc w:val="left"/>
      </w:pPr>
      <w:r>
        <w:rPr>
          <w:rFonts w:ascii="Times New Roman" w:cs="Times New Roman" w:eastAsia="Times New Roman" w:hAnsi="Times New Roman"/>
          <w:b w:val="false"/>
          <w:bCs w:val="false"/>
          <w:sz w:val="24"/>
          <w:szCs w:val="24"/>
        </w:rPr>
        <w:t xml:space="preserve">2.4  Kerangka Penelitian</w:t>
      </w:r>
      <w:r>
        <w:rPr>
          <w:rFonts w:ascii="Times New Roman" w:cs="Times New Roman" w:eastAsia="Times New Roman" w:hAnsi="Times New Roman"/>
          <w:b w:val="false"/>
          <w:bCs w:val="false"/>
          <w:sz w:val="24"/>
          <w:szCs w:val="24"/>
        </w:rPr>
        <w:ptab w:alignment="right" w:relativeTo="margin" w:leader="dot"/>
        <w:t xml:space="preserve">28</w:t>
      </w:r>
    </w:p>
    <w:p>
      <w:pPr>
        <w:spacing w:after="0" w:before="120" w:line="360"/>
        <w:ind w:left="0"/>
        <w:jc w:val="left"/>
      </w:pPr>
      <w:r>
        <w:rPr>
          <w:rFonts w:ascii="Times New Roman" w:cs="Times New Roman" w:eastAsia="Times New Roman" w:hAnsi="Times New Roman"/>
          <w:b/>
          <w:bCs/>
          <w:sz w:val="24"/>
          <w:szCs w:val="24"/>
        </w:rPr>
        <w:t xml:space="preserve">BAB III METODE PENELITIAN</w:t>
      </w:r>
      <w:r>
        <w:rPr>
          <w:rFonts w:ascii="Times New Roman" w:cs="Times New Roman" w:eastAsia="Times New Roman" w:hAnsi="Times New Roman"/>
          <w:b/>
          <w:bCs/>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3.1  Bentuk dan Subjek Penelitian</w:t>
      </w:r>
      <w:r>
        <w:rPr>
          <w:rFonts w:ascii="Times New Roman" w:cs="Times New Roman" w:eastAsia="Times New Roman" w:hAnsi="Times New Roman"/>
          <w:b w:val="false"/>
          <w:bCs w:val="false"/>
          <w:sz w:val="24"/>
          <w:szCs w:val="24"/>
        </w:rPr>
        <w:ptab w:alignment="right" w:relativeTo="margin" w:leader="dot"/>
        <w:t xml:space="preserve">29</w:t>
      </w:r>
    </w:p>
    <w:p>
      <w:pPr>
        <w:spacing w:after="0" w:before="0" w:line="360"/>
        <w:ind w:left="360"/>
        <w:jc w:val="left"/>
      </w:pPr>
      <w:r>
        <w:rPr>
          <w:rFonts w:ascii="Times New Roman" w:cs="Times New Roman" w:eastAsia="Times New Roman" w:hAnsi="Times New Roman"/>
          <w:b w:val="false"/>
          <w:bCs w:val="false"/>
          <w:sz w:val="24"/>
          <w:szCs w:val="24"/>
        </w:rPr>
        <w:t xml:space="preserve">3.2  Teknik Pengumpulan Data</w:t>
      </w:r>
      <w:r>
        <w:rPr>
          <w:rFonts w:ascii="Times New Roman" w:cs="Times New Roman" w:eastAsia="Times New Roman" w:hAnsi="Times New Roman"/>
          <w:b w:val="false"/>
          <w:bCs w:val="false"/>
          <w:sz w:val="24"/>
          <w:szCs w:val="24"/>
        </w:rPr>
        <w:ptab w:alignment="right" w:relativeTo="margin" w:leader="dot"/>
        <w:t xml:space="preserve">31</w:t>
      </w:r>
    </w:p>
    <w:p>
      <w:pPr>
        <w:spacing w:after="0" w:before="0" w:line="360"/>
        <w:ind w:left="360"/>
        <w:jc w:val="left"/>
      </w:pPr>
      <w:r>
        <w:rPr>
          <w:rFonts w:ascii="Times New Roman" w:cs="Times New Roman" w:eastAsia="Times New Roman" w:hAnsi="Times New Roman"/>
          <w:b w:val="false"/>
          <w:bCs w:val="false"/>
          <w:sz w:val="24"/>
          <w:szCs w:val="24"/>
        </w:rPr>
        <w:t xml:space="preserve">3.3  Teknik Pengolahan dan Analisis Data</w:t>
      </w:r>
      <w:r>
        <w:rPr>
          <w:rFonts w:ascii="Times New Roman" w:cs="Times New Roman" w:eastAsia="Times New Roman" w:hAnsi="Times New Roman"/>
          <w:b w:val="false"/>
          <w:bCs w:val="false"/>
          <w:sz w:val="24"/>
          <w:szCs w:val="24"/>
        </w:rPr>
        <w:ptab w:alignment="right" w:relativeTo="margin" w:leader="dot"/>
        <w:t xml:space="preserve">35</w:t>
      </w:r>
    </w:p>
    <w:p>
      <w:pPr>
        <w:spacing w:after="0" w:before="120" w:line="360"/>
        <w:ind w:left="0"/>
        <w:jc w:val="left"/>
      </w:pPr>
      <w:r>
        <w:rPr>
          <w:rFonts w:ascii="Times New Roman" w:cs="Times New Roman" w:eastAsia="Times New Roman" w:hAnsi="Times New Roman"/>
          <w:b/>
          <w:bCs/>
          <w:sz w:val="24"/>
          <w:szCs w:val="24"/>
        </w:rPr>
        <w:t xml:space="preserve">DAFTAR PUSTAKA</w:t>
      </w:r>
      <w:r>
        <w:rPr>
          <w:rFonts w:ascii="Times New Roman" w:cs="Times New Roman" w:eastAsia="Times New Roman" w:hAnsi="Times New Roman"/>
          <w:b/>
          <w:bCs/>
          <w:sz w:val="24"/>
          <w:szCs w:val="24"/>
        </w:rPr>
        <w:ptab w:alignment="right" w:relativeTo="margin" w:leader="dot"/>
        <w:t xml:space="preserve">39</w:t>
      </w:r>
    </w:p>
    <w:p>
      <w:r>
        <w:br w:type="page"/>
      </w:r>
    </w:p>
    <w:p>
      <w:pPr>
        <w:spacing w:after="240" w:before="0" w:line="480"/>
        <w:jc w:val="center"/>
      </w:pPr>
      <w:r>
        <w:rPr>
          <w:rFonts w:ascii="Times New Roman" w:cs="Times New Roman" w:eastAsia="Times New Roman" w:hAnsi="Times New Roman"/>
          <w:b/>
          <w:bCs/>
          <w:caps w:val="false"/>
          <w:sz w:val="24"/>
          <w:szCs w:val="24"/>
        </w:rPr>
        <w:t xml:space="preserve">DAFTAR TABEL</w:t>
      </w:r>
    </w:p>
    <w:p>
      <w:pPr>
        <w:spacing w:after="80" w:line="360"/>
      </w:pPr>
      <w:r>
        <w:rPr>
          <w:rFonts w:ascii="Times New Roman" w:cs="Times New Roman" w:eastAsia="Times New Roman" w:hAnsi="Times New Roman"/>
          <w:sz w:val="24"/>
          <w:szCs w:val="24"/>
        </w:rPr>
        <w:t xml:space="preserve">Tabel 1.1  Indikator dan Bobot Penilaian IKPA Berdasarkan PER-5/PB/2024</w:t>
      </w:r>
    </w:p>
    <w:p>
      <w:pPr>
        <w:spacing w:after="80" w:line="360"/>
      </w:pPr>
      <w:r>
        <w:rPr>
          <w:rFonts w:ascii="Times New Roman" w:cs="Times New Roman" w:eastAsia="Times New Roman" w:hAnsi="Times New Roman"/>
          <w:sz w:val="24"/>
          <w:szCs w:val="24"/>
        </w:rPr>
        <w:t xml:space="preserve">Tabel 1.2  Kategorisasi Nilai IKPA</w:t>
      </w:r>
    </w:p>
    <w:p>
      <w:pPr>
        <w:spacing w:after="80" w:line="360"/>
      </w:pPr>
      <w:r>
        <w:rPr>
          <w:rFonts w:ascii="Times New Roman" w:cs="Times New Roman" w:eastAsia="Times New Roman" w:hAnsi="Times New Roman"/>
          <w:sz w:val="24"/>
          <w:szCs w:val="24"/>
        </w:rPr>
        <w:t xml:space="preserve">Tabel 1.3  Deviasi Halaman III DIPA Belanja Modal Rudenim Pontianak TA 2023–2025</w:t>
      </w:r>
    </w:p>
    <w:p>
      <w:pPr>
        <w:spacing w:after="80" w:line="360"/>
      </w:pPr>
      <w:r>
        <w:rPr>
          <w:rFonts w:ascii="Times New Roman" w:cs="Times New Roman" w:eastAsia="Times New Roman" w:hAnsi="Times New Roman"/>
          <w:sz w:val="24"/>
          <w:szCs w:val="24"/>
        </w:rPr>
        <w:t xml:space="preserve">Tabel 1.4  Bulan Kritis Deviasi Belanja Modal Rudenim Pontianak TA 2023–2025</w:t>
      </w:r>
    </w:p>
    <w:p>
      <w:pPr>
        <w:spacing w:after="80" w:line="360"/>
      </w:pPr>
      <w:r>
        <w:rPr>
          <w:rFonts w:ascii="Times New Roman" w:cs="Times New Roman" w:eastAsia="Times New Roman" w:hAnsi="Times New Roman"/>
          <w:sz w:val="24"/>
          <w:szCs w:val="24"/>
        </w:rPr>
        <w:t xml:space="preserve">Tabel 1.5  Contoh Paket Belanja Modal yang Mengalami Pergeseran Realisasi TA 2023–2025</w:t>
      </w:r>
    </w:p>
    <w:p>
      <w:pPr>
        <w:spacing w:after="80" w:line="360"/>
      </w:pPr>
      <w:r>
        <w:rPr>
          <w:rFonts w:ascii="Times New Roman" w:cs="Times New Roman" w:eastAsia="Times New Roman" w:hAnsi="Times New Roman"/>
          <w:sz w:val="24"/>
          <w:szCs w:val="24"/>
        </w:rPr>
        <w:t xml:space="preserve">Tabel 2.1  Ringkasan Penelitian Terdahulu dan Relevansinya dengan Pelaksanaan Anggaran Belanja Modal</w:t>
      </w:r>
    </w:p>
    <w:p>
      <w:pPr>
        <w:spacing w:after="80" w:line="360"/>
      </w:pPr>
      <w:r>
        <w:rPr>
          <w:rFonts w:ascii="Times New Roman" w:cs="Times New Roman" w:eastAsia="Times New Roman" w:hAnsi="Times New Roman"/>
          <w:sz w:val="24"/>
          <w:szCs w:val="24"/>
        </w:rPr>
        <w:t xml:space="preserve">Tabel 3.1  Daftar Informan Target Penelitian</w:t>
      </w:r>
    </w:p>
    <w:p>
      <w:pPr>
        <w:spacing w:after="80" w:line="360"/>
      </w:pPr>
      <w:r>
        <w:rPr>
          <w:rFonts w:ascii="Times New Roman" w:cs="Times New Roman" w:eastAsia="Times New Roman" w:hAnsi="Times New Roman"/>
          <w:sz w:val="24"/>
          <w:szCs w:val="24"/>
        </w:rPr>
        <w:t xml:space="preserve">Tabel 3.2  Daftar Dokumen Studi Dokumentasi</w:t>
      </w:r>
    </w:p>
    <w:p>
      <w:r>
        <w:br w:type="page"/>
      </w:r>
    </w:p>
    <w:p>
      <w:pPr>
        <w:spacing w:after="240" w:before="0" w:line="480"/>
        <w:jc w:val="center"/>
      </w:pPr>
      <w:r>
        <w:rPr>
          <w:rFonts w:ascii="Times New Roman" w:cs="Times New Roman" w:eastAsia="Times New Roman" w:hAnsi="Times New Roman"/>
          <w:b/>
          <w:bCs/>
          <w:caps w:val="false"/>
          <w:sz w:val="24"/>
          <w:szCs w:val="24"/>
        </w:rPr>
        <w:t xml:space="preserve">DAFTAR GAMBAR</w:t>
      </w:r>
    </w:p>
    <w:p>
      <w:pPr>
        <w:spacing w:after="80" w:line="360"/>
      </w:pPr>
      <w:r>
        <w:rPr>
          <w:rFonts w:ascii="Times New Roman" w:cs="Times New Roman" w:eastAsia="Times New Roman" w:hAnsi="Times New Roman"/>
          <w:sz w:val="24"/>
          <w:szCs w:val="24"/>
        </w:rPr>
        <w:t xml:space="preserve">Gambar 2.1  Kerangka Penelitian </w:t>
      </w:r>
      <w:r>
        <w:rPr>
          <w:rFonts w:ascii="Times New Roman" w:cs="Times New Roman" w:eastAsia="Times New Roman" w:hAnsi="Times New Roman"/>
          <w:sz w:val="24"/>
          <w:szCs w:val="24"/>
        </w:rPr>
        <w:ptab w:alignment="right" w:relativeTo="margin" w:leader="dot"/>
        <w:t xml:space="preserve">28</w:t>
      </w:r>
    </w:p>
    <w:p>
      <w:pPr>
        <w:spacing w:after="80" w:line="360"/>
      </w:pPr>
      <w:r>
        <w:rPr>
          <w:rFonts w:ascii="Times New Roman" w:cs="Times New Roman" w:eastAsia="Times New Roman" w:hAnsi="Times New Roman"/>
          <w:sz w:val="24"/>
          <w:szCs w:val="24"/>
        </w:rPr>
        <w:t xml:space="preserve">Gambar 3.1  Alur Pelaksanaan Anggaran Belanja </w:t>
      </w:r>
      <w:r>
        <w:rPr>
          <w:rFonts w:ascii="Times New Roman" w:cs="Times New Roman" w:eastAsia="Times New Roman" w:hAnsi="Times New Roman"/>
          <w:sz w:val="24"/>
          <w:szCs w:val="24"/>
        </w:rPr>
        <w:ptab w:alignment="right" w:relativeTo="margin" w:leader="dot"/>
        <w:t xml:space="preserve">38</w:t>
      </w:r>
    </w:p>
    <w:p>
      <w:pPr>
        <w:sectPr>
          <w:footerReference w:type="default" r:id="rId9"/>
          <w:pgSz w:w="11906" w:h="16838" w:orient="portrait"/>
          <w:pgMar w:top="2268" w:right="1701" w:bottom="1701" w:left="2268" w:header="708" w:footer="708" w:gutter="0"/>
          <w:pgNumType w:fmt="lowerRoman"/>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w:t>
      </w:r>
    </w:p>
    <w:p>
      <w:pPr>
        <w:spacing w:after="240" w:before="0" w:line="480"/>
        <w:jc w:val="center"/>
      </w:pPr>
      <w:r>
        <w:rPr>
          <w:rFonts w:ascii="Times New Roman" w:cs="Times New Roman" w:eastAsia="Times New Roman" w:hAnsi="Times New Roman"/>
          <w:b/>
          <w:bCs/>
          <w:caps w:val="false"/>
          <w:sz w:val="24"/>
          <w:szCs w:val="24"/>
        </w:rP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Kelima prinsip tersebut, yaitu efisiensi, efektivitas, transparansi, keadilan, dan kepatutan,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RPD bulanan ini bukan sekadar formalitas administratif; ia merupakan instrumen perencanaan kas yang memungkinkan pemerintah mengalokasikan likuiditas secara tepat waktu dan tepat jumlah kepada seluruh satker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kelima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signifikan.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0" w:before="0" w:line="480"/>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266"/>
        <w:gridCol w:w="1000"/>
      </w:tblGrid>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Aspek</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Bobot</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Revisi DIPA</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30%</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15%</w:t>
            </w:r>
          </w:p>
        </w:tc>
      </w:tr>
      <w:tr>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Total</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100%</w:t>
            </w:r>
          </w:p>
        </w:tc>
      </w:tr>
    </w:tbl>
    <w:p>
      <w:pPr>
        <w:spacing w:after="240" w:before="80" w:line="480"/>
        <w:jc w:val="left"/>
      </w:pPr>
      <w:r>
        <w:rPr>
          <w:rFonts w:ascii="Times New Roman" w:cs="Times New Roman" w:eastAsia="Times New Roman" w:hAnsi="Times New Roman"/>
          <w:i/>
          <w:iCs/>
          <w:sz w:val="22"/>
          <w:szCs w:val="22"/>
        </w:rPr>
        <w:t xml:space="preserve">Sumber: Peraturan Direktur Jenderal Perbendaharaan Nomor PER-5/PB/2024</w:t>
      </w:r>
    </w:p>
    <w:p>
      <w:pPr>
        <w:spacing w:after="0" w:before="0" w:line="480"/>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jc w:val="center"/>
      </w:pPr>
      <w:r>
        <w:rPr>
          <w:rFonts w:ascii="Times New Roman" w:cs="Times New Roman" w:eastAsia="Times New Roman" w:hAnsi="Times New Roman"/>
          <w:b/>
          <w:bCs/>
          <w:sz w:val="24"/>
          <w:szCs w:val="24"/>
        </w:rPr>
        <w:t xml:space="preserve">Tabel 1.2 Kategorisasi Nilai IKPA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IKPA</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Sangat Baik</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95</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Baik</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89 – 94</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Cukup</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70 – 88</w:t>
            </w:r>
          </w:p>
        </w:tc>
      </w:tr>
      <w:tr>
        <w:tc>
          <w:tcPr>
            <w:tcW w:type="dxa" w:w="396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Kurang</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jc w:val="left"/>
      </w:pPr>
      <w:r>
        <w:rPr>
          <w:rFonts w:ascii="Times New Roman" w:cs="Times New Roman" w:eastAsia="Times New Roman" w:hAnsi="Times New Roman"/>
          <w:i/>
          <w:iCs/>
          <w:sz w:val="22"/>
          <w:szCs w:val="22"/>
        </w:rPr>
        <w:t xml:space="preserve">Sumber: PER-5/PB/2024</w:t>
      </w:r>
    </w:p>
    <w:p>
      <w:pPr>
        <w:spacing w:after="0" w:before="0" w:line="480"/>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0" w:before="0" w:line="480"/>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Salah satu pola yang persisten bermasalah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0" w:before="0" w:line="480"/>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0" w:before="0" w:line="480"/>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0" w:before="0" w:line="480"/>
        <w:ind w:firstLine="709"/>
        <w:jc w:val="both"/>
      </w:pPr>
      <w:r>
        <w:rPr>
          <w:rFonts w:ascii="Times New Roman" w:cs="Times New Roman" w:eastAsia="Times New Roman" w:hAnsi="Times New Roman"/>
          <w:sz w:val="24"/>
          <w:szCs w:val="24"/>
        </w:rPr>
        <w:t xml:space="preserve">Komposisi Belanja Modal pada Rudenim Pontianak meningkat signifikan menjadi 60–70% dari total pagu DIPA pada Tahun Anggaran 2025, menjadikan Belanja Modal sebagai komponen dominan dan paling material dalam pelaksanaan anggaran satker pada periode tersebut.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0" w:before="0" w:line="480"/>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Kondisi ini membaik signifikan pada TA 2025 dengan rata-rata deviasi 5,41%, namun justru perbaikan tersebut memperkuat relevansi pertanyaan penelitian: faktor apa yang menyebabkan deviasi pada periode sebelumnya dan mekanisme apa yang mengubahnya — pertanyaan yang masih belum optimal dijawab melalui data agregat semata dan memerlukan eksplorasi kualitatif.</w:t>
      </w:r>
    </w:p>
    <w:p>
      <w:pPr>
        <w:spacing w:after="80" w:before="240" w:line="480"/>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1600"/>
        <w:gridCol w:w="1766"/>
        <w:gridCol w:w="600"/>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Proporsi Pagu Belanja Modal (%)*</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Belanja Modal (Rp)</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Rata-rata Deviasi Bulanan (%)**</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Indikator Deviasi Hal. III***</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11,50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362.282.510</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20,16</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89,80</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Baik</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27,87</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3.372.224.900</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28,77</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88,31</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Cukup</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65,92</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6.567.577.362</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5,41</w:t>
            </w:r>
          </w:p>
        </w:tc>
        <w:tc>
          <w:tcPr>
            <w:tcW w:type="dxa" w:w="17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Sangat Baik</w:t>
            </w:r>
          </w:p>
        </w:tc>
      </w:tr>
    </w:tbl>
    <w:p>
      <w:pPr>
        <w:spacing w:after="240" w:before="80" w:line="480"/>
        <w:jc w:val="left"/>
      </w:pPr>
      <w:r>
        <w:rPr>
          <w:rFonts w:ascii="Times New Roman" w:cs="Times New Roman" w:eastAsia="Times New Roman" w:hAnsi="Times New Roman"/>
          <w:i/>
          <w:iCs/>
          <w:sz w:val="22"/>
          <w:szCs w:val="22"/>
        </w:rPr>
        <w:t xml:space="preserve">*Rata-rata proporsi pagu Belanja Modal terhadap total pagu DIPA. **Rata-rata deviasi bulanan |RPD − Realisasi|/RPD Belanja Modal, sesuai basis perhitungan PER-5/PB/2024 Pasal 7. ***Nilai akhir tahun, seluruh jenis belanja. Sumber: OM-SPAN/MEBE (Monitoring and Evaluation of Budget Execution), diolah peneliti (2026).</w:t>
      </w:r>
    </w:p>
    <w:p>
      <w:pPr>
        <w:spacing w:after="0" w:before="0" w:line="480"/>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sama sekali tidak terealisasi pada bulan bersangkutan (deviasi 100%), yang mengindikasikan adanya pergeseran jadwal pengadaan dan pembayaran ke bulan berikutnya.</w:t>
      </w:r>
    </w:p>
    <w:p>
      <w:pPr>
        <w:spacing w:after="80" w:before="240" w:line="480"/>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66"/>
        <w:gridCol w:w="2200"/>
        <w:gridCol w:w="1200"/>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RPD (Rp)</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(Rp)</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Deviasi (%)</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222.000.000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274.778.000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17.250.000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93,72</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700.000.000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1.792.439.999</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194.511.000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100,00</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50.000.000</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35.587.371</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28,83</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22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697.466.021</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560.399.255</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80" w:before="240" w:line="480"/>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1300"/>
        <w:gridCol w:w="800"/>
        <w:gridCol w:w="800"/>
        <w:gridCol w:w="700"/>
        <w:gridCol w:w="2066"/>
      </w:tblGrid>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Nama Paket</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Pagu (Rp)</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 RPD</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SP2D Aktual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Geser (Bln)</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223.980.000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Maret</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April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191.216.000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November</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Desember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2.477.920.000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Maret</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April</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2.477.920.000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Agustus</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September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199.274.900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September</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Oktober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294.944.000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Juni</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Juni</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0</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505.462.000</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Agustus</w:t>
            </w:r>
          </w:p>
        </w:tc>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November</w:t>
            </w:r>
          </w:p>
        </w:tc>
        <w:tc>
          <w:tcPr>
            <w:tcW w:type="dxa" w:w="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0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jc w:val="left"/>
      </w:pPr>
      <w:r>
        <w:rPr>
          <w:rFonts w:ascii="Times New Roman" w:cs="Times New Roman" w:eastAsia="Times New Roman" w:hAnsi="Times New Roman"/>
          <w:i/>
          <w:iCs/>
          <w:sz w:val="22"/>
          <w:szCs w:val="22"/>
        </w:rPr>
        <w:t xml:space="preserve">Sumber: OM-SPAN/SAKTI, diolah peneliti (2026).</w:t>
      </w:r>
    </w:p>
    <w:p>
      <w:pPr>
        <w:spacing w:after="0" w:before="0" w:line="480"/>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Untuk memahami fenomena deviasi RPD ini secara lebih mendalam, penelitian ini menggunakan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sebagaimana diuraikan pada BAB II.</w:t>
      </w:r>
    </w:p>
    <w:p>
      <w:pPr>
        <w:spacing w:after="0" w:before="0" w:line="480"/>
        <w:ind w:firstLine="709"/>
        <w:jc w:val="both"/>
      </w:pPr>
      <w:r>
        <w:rPr>
          <w:rFonts w:ascii="Times New Roman" w:cs="Times New Roman" w:eastAsia="Times New Roman" w:hAnsi="Times New Roman"/>
          <w:sz w:val="24"/>
          <w:szCs w:val="24"/>
        </w:rPr>
        <w:t xml:space="preserve">Berdasarkan uraian di atas, dapat diidentifikasi tiga indikasi masalah yang melatarbelakangi penelitian ini. Pertama, terjadinya deviasi antara rencana dan penyerapan anggaran belanja modal pada Rumah Detensi Imigrasi Pontianak tahun 2023–2025. Kedua, perlunya menelaah penyebab terjadinya deviasi pelaksanaan anggaran belanja modal tersebut. Ketiga, perlunya menganalisis dampak dari terjadinya deviasi pelaksanaan anggaran belanja modal bagi pengelolaan anggaran satker.</w:t>
      </w:r>
    </w:p>
    <w:p>
      <w:pPr>
        <w:spacing w:after="0" w:before="0" w:line="480"/>
        <w:ind w:firstLine="709"/>
        <w:jc w:val="both"/>
      </w:pPr>
      <w:r>
        <w:rPr>
          <w:rFonts w:ascii="Times New Roman" w:cs="Times New Roman" w:eastAsia="Times New Roman" w:hAnsi="Times New Roman"/>
          <w:sz w:val="24"/>
          <w:szCs w:val="24"/>
        </w:rPr>
        <w:t xml:space="preserve">Penelitian ini berfokus pada pelaksanaan anggaran belanja Rudenim Pontianak periode Tahun Anggaran 2023–2025, dengan penekanan khusus pada Belanja Modal. Kerangka evaluasi merujuk pada PMK 62/2023 sebagai regulasi omnibus pelaksanaan anggaran dan PER-5/PB/2024 sebagai petunjuk teknis penilaian IKPA.</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Bagaimana implementasi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Apa penyebab terjadinya deviasi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Apa saja dampak dari terjadinya deviasi pelaksanaan anggaran belanja bagi Rumah Detensi Imigrasi Pontianak tahun 2023–2025?</w:t>
      </w:r>
    </w:p>
    <w:p>
      <w:pPr>
        <w:pStyle w:val="Heading2"/>
        <w:spacing w:after="160" w:before="240" w:line="480"/>
        <w:jc w:val="left"/>
      </w:pPr>
      <w:r>
        <w:rPr>
          <w:rFonts w:ascii="Times New Roman" w:cs="Times New Roman" w:eastAsia="Times New Roman" w:hAnsi="Times New Roman"/>
          <w:b/>
          <w:bCs/>
          <w:sz w:val="24"/>
          <w:szCs w:val="24"/>
        </w:rPr>
        <w:t xml:space="preserve">1.3  Tujuan Penelitian</w:t>
      </w:r>
    </w:p>
    <w:p>
      <w:pPr>
        <w:spacing w:after="0" w:before="0" w:line="480"/>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Mendeskripsikan implementasi pelaksanaan anggaran belanja, khususnya Belanja Modal,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Menganalisis penyebab terjadinya deviasi pelaksanaan anggaran belanja pada Rumah Detensi Imigrasi Pontianak tahun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Mengevaluasi dampak dari terjadinya deviasi pelaksanaan anggaran belanja bagi Rumah Detensi Imigrasi Pontianak tahun 2023–2025.</w:t>
      </w:r>
    </w:p>
    <w:p>
      <w:pPr>
        <w:pStyle w:val="Heading2"/>
        <w:spacing w:after="160" w:before="240" w:line="480"/>
        <w:jc w:val="left"/>
      </w:pPr>
      <w:r>
        <w:rPr>
          <w:rFonts w:ascii="Times New Roman" w:cs="Times New Roman" w:eastAsia="Times New Roman" w:hAnsi="Times New Roman"/>
          <w:b/>
          <w:bCs/>
          <w:sz w:val="24"/>
          <w:szCs w:val="24"/>
        </w:rPr>
        <w:t xml:space="preserve">1.4  Manfaat Penelitian</w:t>
      </w:r>
    </w:p>
    <w:p>
      <w:pPr>
        <w:pStyle w:val="Heading3"/>
        <w:spacing w:after="160" w:before="240" w:line="480"/>
        <w:jc w:val="left"/>
      </w:pPr>
      <w:r>
        <w:rPr>
          <w:rFonts w:ascii="Times New Roman" w:cs="Times New Roman" w:eastAsia="Times New Roman" w:hAnsi="Times New Roman"/>
          <w:b/>
          <w:bCs/>
          <w:sz w:val="24"/>
          <w:szCs w:val="24"/>
        </w:rPr>
        <w:t xml:space="preserve">1.4.1  Manfaat Teoritis</w:t>
      </w:r>
    </w:p>
    <w:p>
      <w:pPr>
        <w:spacing w:after="0" w:before="0" w:line="480"/>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jc w:val="left"/>
      </w:pPr>
      <w:r>
        <w:rPr>
          <w:rFonts w:ascii="Times New Roman" w:cs="Times New Roman" w:eastAsia="Times New Roman" w:hAnsi="Times New Roman"/>
          <w:b/>
          <w:bCs/>
          <w:sz w:val="24"/>
          <w:szCs w:val="24"/>
        </w:rPr>
        <w:t xml:space="preserve">1.4.2  Manfaat Praktis</w:t>
      </w:r>
    </w:p>
    <w:p>
      <w:pPr>
        <w:spacing w:after="0" w:before="0" w:line="480"/>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sectPr>
          <w:headerReference w:type="default" r:id="rId10"/>
          <w:headerReference w:type="first" r:id="rId11"/>
          <w:footerReference w:type="default" r:id="rId12"/>
          <w:footerReference w:type="first" r:id="rId13"/>
          <w:pgSz w:w="11906" w:h="16838" w:orient="portrait"/>
          <w:pgMar w:top="2268" w:right="1701" w:bottom="1701" w:left="2268" w:header="708" w:footer="708" w:gutter="0"/>
          <w:pgNumType w:start="1"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w:t>
      </w:r>
    </w:p>
    <w:p>
      <w:pPr>
        <w:spacing w:after="240" w:before="0" w:line="480"/>
        <w:jc w:val="center"/>
      </w:pPr>
      <w:r>
        <w:rPr>
          <w:rFonts w:ascii="Times New Roman" w:cs="Times New Roman" w:eastAsia="Times New Roman" w:hAnsi="Times New Roman"/>
          <w:b/>
          <w:bCs/>
          <w:caps w:val="false"/>
          <w:sz w:val="24"/>
          <w:szCs w:val="24"/>
        </w:rPr>
        <w:t xml:space="preserve">TINJAUAN PUSTAKA</w:t>
      </w:r>
    </w:p>
    <w:p>
      <w:pPr>
        <w:spacing w:after="0" w:before="0" w:line="480"/>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Belanja Modal, pada Rumah Detensi Imigrasi Pontianak. Pembahasan disusun secara berjenjang. Sub-bab 2.1 Landasan Teori menguraikan lima pokok bahasan yang saling melengkapi, yaitu pelaksanaan anggaran belanja negara, Belanja Modal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jc w:val="left"/>
      </w:pPr>
      <w:r>
        <w:rPr>
          <w:rFonts w:ascii="Times New Roman" w:cs="Times New Roman" w:eastAsia="Times New Roman" w:hAnsi="Times New Roman"/>
          <w:b/>
          <w:bCs/>
          <w:sz w:val="24"/>
          <w:szCs w:val="24"/>
        </w:rPr>
        <w:t xml:space="preserve">2.1  Landasan Teori</w:t>
      </w:r>
    </w:p>
    <w:p>
      <w:pPr>
        <w:pStyle w:val="Heading3"/>
        <w:spacing w:after="160" w:before="240" w:line="480"/>
        <w:jc w:val="left"/>
      </w:pPr>
      <w:r>
        <w:rPr>
          <w:rFonts w:ascii="Times New Roman" w:cs="Times New Roman" w:eastAsia="Times New Roman" w:hAnsi="Times New Roman"/>
          <w:b/>
          <w:bCs/>
          <w:sz w:val="24"/>
          <w:szCs w:val="24"/>
        </w:rPr>
        <w:t xml:space="preserve">2.1.1  Pelaksanaan Anggaran Belanja Negara</w:t>
      </w:r>
    </w:p>
    <w:p>
      <w:pPr>
        <w:spacing w:after="0" w:before="0" w:line="480"/>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efisien, ekonomis, efektif, transparan, dan bertanggung jawab. Mardiasmo (2018) menegaskan bahwa dalam kerangka penganggaran berbasis kinerja, kualitas pelaksanaan anggaran tidak hanya diukur dari besarnya serapan, melainkan juga dari ketepatan antara rencana dan realisasi sebagai cerminan akuntabilitas atas penggunaan sumber daya publik.</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omnibus yang menyatukan pengaturan perencanaan, pelaksanaan, serta akuntansi dan pelaporan keuangan. 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0" w:before="0" w:line="480"/>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0" w:before="0" w:line="480"/>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jc w:val="left"/>
      </w:pPr>
      <w:r>
        <w:rPr>
          <w:rFonts w:ascii="Times New Roman" w:cs="Times New Roman" w:eastAsia="Times New Roman" w:hAnsi="Times New Roman"/>
          <w:b/>
          <w:bCs/>
          <w:sz w:val="24"/>
          <w:szCs w:val="24"/>
        </w:rPr>
        <w:t xml:space="preserve">2.1.2  Belanja Modal: Konsep, Mekanisme, dan Pengadaan Barang/Jasa</w:t>
      </w:r>
    </w:p>
    <w:p>
      <w:pPr>
        <w:spacing w:after="0" w:before="0" w:line="480"/>
        <w:ind w:firstLine="709"/>
        <w:jc w:val="both"/>
      </w:pPr>
      <w:r>
        <w:rPr>
          <w:rFonts w:ascii="Times New Roman" w:cs="Times New Roman" w:eastAsia="Times New Roman" w:hAnsi="Times New Roman"/>
          <w:sz w:val="24"/>
          <w:szCs w:val="24"/>
        </w:rPr>
        <w:t xml:space="preserve">Belanja Modal merupakan pengeluaran anggaran untuk perolehan aset tetap dan/atau aset lainnya yang memberi manfaat lebih dari satu periode akuntansi. Dalam bagan akun standar pemerintah pusat,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inilah yang menjadikan pelaksanaan Belanja Modal lebih kompleks dan lebih rentan terhadap pergeseran realisasi dibandingkan jenis belanja lainnya.</w:t>
      </w:r>
    </w:p>
    <w:p>
      <w:pPr>
        <w:spacing w:after="0" w:before="0" w:line="480"/>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Belanja Modal, mekanisme tersebut diperkaya dengan tahapan pemilihan penyedia yang mengikuti Peraturan Presiden Nomor 16 Tahun 2018 sebagaimana telah diubah dengan Peraturan Presiden Nomor 12 Tahun 2021 tentang Pengadaan Barang/Jasa Pemerintah. Dengan demikian, pelaksanaan Belanja Modal berada pada irisan dua kerangka regulasi sekaligus, yakni regulasi pelaksanaan anggaran dan regulasi pengadaan barang/jasa.</w:t>
      </w:r>
    </w:p>
    <w:p>
      <w:pPr>
        <w:spacing w:after="0" w:before="0" w:line="480"/>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dipakai untuk merealisasikan Belanja Modal,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Belanja Modal dapat direalisasikan.</w:t>
      </w:r>
    </w:p>
    <w:p>
      <w:pPr>
        <w:spacing w:after="0" w:before="0" w:line="480"/>
        <w:ind w:firstLine="709"/>
        <w:jc w:val="both"/>
      </w:pPr>
      <w:r>
        <w:rPr>
          <w:rFonts w:ascii="Times New Roman" w:cs="Times New Roman" w:eastAsia="Times New Roman" w:hAnsi="Times New Roman"/>
          <w:sz w:val="24"/>
          <w:szCs w:val="24"/>
        </w:rPr>
        <w:t xml:space="preserve">Pembayaran Belanja Modal pada umumnya dilakukan melalui mekanisme Pembayaran Langsung (LS) karena nilainya berada di atas batas penggunaan Uang Persediaan.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Belanja Modal, sehingga keterlambatan pada salah satu mata rantai, misalnya kelengkapan dokumen tagihan atau hasil verifikasi, akan langsung menggeser waktu realisasi dari rencana yang tertuang pada Halaman III DIPA.</w:t>
      </w:r>
    </w:p>
    <w:p>
      <w:pPr>
        <w:spacing w:after="0" w:before="0" w:line="480"/>
        <w:ind w:firstLine="709"/>
        <w:jc w:val="both"/>
      </w:pPr>
      <w:r>
        <w:rPr>
          <w:rFonts w:ascii="Times New Roman" w:cs="Times New Roman" w:eastAsia="Times New Roman" w:hAnsi="Times New Roman"/>
          <w:sz w:val="24"/>
          <w:szCs w:val="24"/>
        </w:rPr>
        <w:t xml:space="preserve">Karakteristik kontraktual dan multi-pihak menjadikan Belanja Modal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Belanja Modal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jc w:val="left"/>
      </w:pPr>
      <w:r>
        <w:rPr>
          <w:rFonts w:ascii="Times New Roman" w:cs="Times New Roman" w:eastAsia="Times New Roman" w:hAnsi="Times New Roman"/>
          <w:b/>
          <w:bCs/>
          <w:sz w:val="24"/>
          <w:szCs w:val="24"/>
        </w:rPr>
        <w:t xml:space="preserve">2.1.3  Deviasi Pelaksanaan Anggaran: Konsep, Penyebab, dan Dampak</w:t>
      </w:r>
    </w:p>
    <w:p>
      <w:pPr>
        <w:spacing w:after="0" w:before="0" w:line="480"/>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w:t>
      </w:r>
    </w:p>
    <w:p>
      <w:pPr>
        <w:spacing w:after="0" w:before="0" w:line="480"/>
        <w:ind w:firstLine="709"/>
        <w:jc w:val="both"/>
      </w:pPr>
      <w:r>
        <w:rPr>
          <w:rFonts w:ascii="Times New Roman" w:cs="Times New Roman" w:eastAsia="Times New Roman" w:hAnsi="Times New Roman"/>
          <w:sz w:val="24"/>
          <w:szCs w:val="24"/>
        </w:rPr>
        <w:t xml:space="preserve">Namun demikian, formulasi resmi penilaian IKPA berdasarkan PER-5/PB/2024 menggunakan nilai mutlak (absolut) dalam menghitung deviasi bulanan per jenis belanja. Formula deviasi bulanan tersebut secara eksplisit dirumuskan sebagai berikut: Deviasi Bulanan = (|RPD Bulanan - Realisasi Anggaran| / RPD Bulanan) * 100%.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Belanja Modal,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lebih sering muncul karena pergeseran jadwal pengadaan, kontrak, dan pembayaran termin yang bergantung pada kesiapan pihak ketiga.</w:t>
      </w:r>
    </w:p>
    <w:p>
      <w:pPr>
        <w:spacing w:after="0" w:before="0" w:line="480"/>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Belanja Modal.</w:t>
      </w:r>
    </w:p>
    <w:p>
      <w:pPr>
        <w:spacing w:after="0" w:before="0" w:line="480"/>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Belanja Modal,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Belanja Modal menuntut kompetensi teknis dalam menyusun spesifikasi, harga perkiraan sendiri, dan dokumen kontrak.</w:t>
      </w:r>
    </w:p>
    <w:p>
      <w:pPr>
        <w:spacing w:after="0" w:before="0" w:line="480"/>
        <w:ind w:firstLine="709"/>
        <w:jc w:val="both"/>
      </w:pPr>
      <w:r>
        <w:rPr>
          <w:rFonts w:ascii="Times New Roman" w:cs="Times New Roman" w:eastAsia="Times New Roman" w:hAnsi="Times New Roman"/>
          <w:sz w:val="24"/>
          <w:szCs w:val="24"/>
        </w:rPr>
        <w:t xml:space="preserve">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menegaskan bahwa kompetensi pengelola keuangan dan pejabat pengadaan merupakan faktor penentu kualitas pelaksanaan anggaran. Pada Belanja Modal,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0" w:before="0" w:line="480"/>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kerap menggeser realisasi dari bulan yang direncanakan; hambatan ini terutama dirasakan pada kegiatan kontraktual bernilai besar yang pencairannya bergantung pada kesiapan dokumen pihak ketiga (PP Nomor 50 Tahun 2018; PMK Nomor 62 Tahun 2023). Keempat, faktor operasional dan pihak ketiga. 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menekankan bahwa keterlambatan penyedia, perubahan prioritas kebijakan, dan fluktuasi permintaan layanan publik merupakan sumber deviasi yang bersifat struktural; pada Belanja Modal, ketergantungan pada progres fisik penyedia dan kondisi lapangan menjadikan jadwal termin pembayaran sangat rawan bergeser.</w:t>
      </w:r>
    </w:p>
    <w:p>
      <w:pPr>
        <w:spacing w:after="0" w:before="0" w:line="480"/>
        <w:ind w:firstLine="709"/>
        <w:jc w:val="both"/>
      </w:pPr>
      <w:r>
        <w:rPr>
          <w:rFonts w:ascii="Times New Roman" w:cs="Times New Roman" w:eastAsia="Times New Roman" w:hAnsi="Times New Roman"/>
          <w:sz w:val="24"/>
          <w:szCs w:val="24"/>
        </w:rPr>
        <w:t xml:space="preserve">Pelaksanaan Belanja Modal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w:t>
      </w:r>
    </w:p>
    <w:p>
      <w:pPr>
        <w:spacing w:after="0" w:before="0" w:line="480"/>
        <w:ind w:firstLine="709"/>
        <w:jc w:val="both"/>
      </w:pPr>
      <w:r>
        <w:rPr>
          <w:rFonts w:ascii="Times New Roman" w:cs="Times New Roman" w:eastAsia="Times New Roman" w:hAnsi="Times New Roman"/>
          <w:sz w:val="24"/>
          <w:szCs w:val="24"/>
        </w:rPr>
        <w:t xml:space="preserve">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0" w:before="0" w:line="480"/>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w:t>
      </w:r>
    </w:p>
    <w:p>
      <w:pPr>
        <w:pStyle w:val="Heading3"/>
        <w:spacing w:after="160" w:before="240" w:line="480"/>
        <w:jc w:val="left"/>
      </w:pPr>
      <w:r>
        <w:rPr>
          <w:rFonts w:ascii="Times New Roman" w:cs="Times New Roman" w:eastAsia="Times New Roman" w:hAnsi="Times New Roman"/>
          <w:b/>
          <w:bCs/>
          <w:sz w:val="24"/>
          <w:szCs w:val="24"/>
        </w:rPr>
        <w:t xml:space="preserve">2.1.4  Agency Theory sebagai Lensa Analitis</w:t>
      </w:r>
    </w:p>
    <w:p>
      <w:pPr>
        <w:spacing w:after="0" w:before="0" w:line="480"/>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kontraktual antara prinsipal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sebagai pihak yang mendelegasikan wewenang dan agen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asimetri informasi,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0" w:before="0" w:line="480"/>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0" w:before="0" w:line="480"/>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Belanja Modal,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Ratnasari, 2022).</w:t>
      </w:r>
    </w:p>
    <w:p>
      <w:pPr>
        <w:pStyle w:val="Heading3"/>
        <w:spacing w:after="160" w:before="240" w:line="480"/>
        <w:jc w:val="left"/>
      </w:pPr>
      <w:r>
        <w:rPr>
          <w:rFonts w:ascii="Times New Roman" w:cs="Times New Roman" w:eastAsia="Times New Roman" w:hAnsi="Times New Roman"/>
          <w:b/>
          <w:bCs/>
          <w:sz w:val="24"/>
          <w:szCs w:val="24"/>
        </w:rPr>
        <w:t xml:space="preserve">2.1.5  Indikator Kinerja Pelaksanaan Anggaran (IKPA)</w:t>
      </w:r>
    </w:p>
    <w:p>
      <w:pPr>
        <w:spacing w:after="0" w:before="0" w:line="480"/>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0" w:before="0" w:line="480"/>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Belanja Modal; deviasi dihitung sebagai persentase simpangan antara RPD dan realisasi aktual dengan formula: Deviasi = (|Realisasi - RPD| / RPD) * 100%, sesuai Peraturan Dirjen Perbendaharaan Nomor PER-5/PB/2024. Semakin besar simpangan, semakin rendah nilai indikatornya.</w:t>
      </w:r>
    </w:p>
    <w:p>
      <w:pPr>
        <w:spacing w:after="0" w:before="0" w:line="480"/>
        <w:ind w:firstLine="709"/>
        <w:jc w:val="both"/>
      </w:pPr>
      <w:r>
        <w:rPr>
          <w:rFonts w:ascii="Times New Roman" w:cs="Times New Roman" w:eastAsia="Times New Roman" w:hAnsi="Times New Roman"/>
          <w:sz w:val="24"/>
          <w:szCs w:val="24"/>
        </w:rPr>
        <w:t xml:space="preserve">Nugroho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Belanja Modal yang termin realisasinya paling sering bergeser.</w:t>
      </w:r>
    </w:p>
    <w:p>
      <w:pPr>
        <w:pStyle w:val="Heading2"/>
        <w:spacing w:after="160" w:before="240" w:line="480"/>
        <w:jc w:val="left"/>
      </w:pPr>
      <w:r>
        <w:rPr>
          <w:rFonts w:ascii="Times New Roman" w:cs="Times New Roman" w:eastAsia="Times New Roman" w:hAnsi="Times New Roman"/>
          <w:b/>
          <w:bCs/>
          <w:sz w:val="24"/>
          <w:szCs w:val="24"/>
        </w:rPr>
        <w:t xml:space="preserve">2.2  Ringkasan Penelitian Terdahulu</w:t>
      </w:r>
    </w:p>
    <w:p>
      <w:pPr>
        <w:spacing w:after="0" w:before="0" w:line="480"/>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Belanja Modal.</w:t>
      </w:r>
    </w:p>
    <w:p>
      <w:pPr>
        <w:spacing w:after="0" w:before="0" w:line="480"/>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Belanja Modal yang menuntut pejabat pengadaan bersertifikat dan estimasi harga yang akurat dalam menyusun rencana penarikan dana.</w:t>
      </w:r>
    </w:p>
    <w:p>
      <w:pPr>
        <w:spacing w:after="0" w:before="0" w:line="480"/>
        <w:ind w:firstLine="709"/>
        <w:jc w:val="both"/>
      </w:pPr>
      <w:r>
        <w:rPr>
          <w:rFonts w:ascii="Times New Roman" w:cs="Times New Roman" w:eastAsia="Times New Roman" w:hAnsi="Times New Roman"/>
          <w:sz w:val="24"/>
          <w:szCs w:val="24"/>
        </w:rPr>
        <w:t xml:space="preserve">Manangin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Belanja Modal yang sarat pengambilan keputusan kontraktual.</w:t>
      </w:r>
    </w:p>
    <w:p>
      <w:pPr>
        <w:spacing w:after="0" w:before="0" w:line="480"/>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Belanja Modal.</w:t>
      </w:r>
    </w:p>
    <w:p>
      <w:pPr>
        <w:spacing w:after="0" w:before="0" w:line="480"/>
        <w:ind w:firstLine="709"/>
        <w:jc w:val="both"/>
      </w:pPr>
      <w:r>
        <w:rPr>
          <w:rFonts w:ascii="Times New Roman" w:cs="Times New Roman" w:eastAsia="Times New Roman" w:hAnsi="Times New Roman"/>
          <w:sz w:val="24"/>
          <w:szCs w:val="24"/>
        </w:rPr>
        <w:t xml:space="preserve">Nugroho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(2023) mengkaji hubungan antara akurasi RPD dengan nilai IKPA total melalui studi kasus pada 20 satuan kerja di Jawa Tengah dengan pendekatan kuantitatif-kualitatif, dan menemukan korelasi positif yang signifikan. Akurasi RPD untuk Belanja Modal yang bersifat kontraktual lebih sulit dicapai dibandingkan Belanja Pegawai dan Belanja Barang, sehingga temuan ini memotivasi penelaahan yang lebih mendalam pada belanja kontraktual.</w:t>
      </w:r>
    </w:p>
    <w:p>
      <w:pPr>
        <w:spacing w:after="0" w:before="0" w:line="480"/>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komponen musiman yang dapat diidentifikasi dan dimodelkan. Pola musiman tersebut, terutama pada triwulan III–IV, sangat khas pada Belanja Modal yang termin pembayarannya bergeser mengikuti progres fisik pekerjaan.</w:t>
      </w:r>
    </w:p>
    <w:p>
      <w:pPr>
        <w:spacing w:after="0" w:before="0" w:line="480"/>
        <w:ind w:firstLine="709"/>
        <w:jc w:val="both"/>
      </w:pPr>
      <w:r>
        <w:rPr>
          <w:rFonts w:ascii="Times New Roman" w:cs="Times New Roman" w:eastAsia="Times New Roman" w:hAnsi="Times New Roman"/>
          <w:sz w:val="24"/>
          <w:szCs w:val="24"/>
        </w:rPr>
        <w:t xml:space="preserve">Dari kelima penelitian tersebut dapat diidentifikasi tiga kesenjangan yang menjadi justifikasi akademis penelitian ini. Pertama, dari sisi objek, belum terdapat studi yang secara khusus mengkaji pelaksanaan anggaran Belanja Modal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Belanja Modal sebagai jenis belanja yang paling kompleks dan kontraktual. Ringkasan kelima penelitian beserta relevansinya disajikan pada Tabel 2.1.</w:t>
      </w:r>
    </w:p>
    <w:p>
      <w:pPr>
        <w:spacing w:after="80" w:before="240" w:line="480"/>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166"/>
        <w:gridCol w:w="2000"/>
      </w:tblGrid>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Peneliti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Judul Penelitian</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Hasil Penelitian</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Faktor-Faktor yang Memengaruhi Pencapaian Nilai IKPA Satuan Kerja di Lingkup KPPN Manado</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21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jc w:val="left"/>
      </w:pPr>
      <w:r>
        <w:rPr>
          <w:rFonts w:ascii="Times New Roman" w:cs="Times New Roman" w:eastAsia="Times New Roman" w:hAnsi="Times New Roman"/>
          <w:b/>
          <w:bCs/>
          <w:sz w:val="24"/>
          <w:szCs w:val="24"/>
        </w:rPr>
        <w:t xml:space="preserve">2.3  Proposisi Penelitian</w:t>
      </w:r>
    </w:p>
    <w:p>
      <w:pPr>
        <w:spacing w:after="0" w:before="0" w:line="480"/>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berikut.</w:t>
      </w:r>
    </w:p>
    <w:p>
      <w:pPr>
        <w:spacing w:after="0" w:before="0" w:line="480"/>
        <w:ind w:firstLine="709"/>
        <w:jc w:val="both"/>
      </w:pPr>
      <w:r>
        <w:rPr>
          <w:rFonts w:ascii="Times New Roman" w:cs="Times New Roman" w:eastAsia="Times New Roman" w:hAnsi="Times New Roman"/>
          <w:sz w:val="24"/>
          <w:szCs w:val="24"/>
        </w:rPr>
        <w:t xml:space="preserve">Pertama, regulasi pelaksanaan anggaran yang diatur dalam PMK 62/2023 memiliki hubungan langsung dengan kualitas pelaksanaan Belanja Modal pada satuan kerja. Kepatuhan terhadap mekanisme perencanaan (RPD Halaman III DIPA), pelaksanaan (pengadaan, kontrak, BAST), dan pelaporan (SPP–SPM–SP2D) yang ditetapkan regulasi akan memengaruhi tingkat deviasi antara rencana dan realisasi anggaran.</w:t>
      </w:r>
    </w:p>
    <w:p>
      <w:pPr>
        <w:spacing w:after="0" w:before="0" w:line="480"/>
        <w:ind w:firstLine="709"/>
        <w:jc w:val="both"/>
      </w:pPr>
      <w:r>
        <w:rPr>
          <w:rFonts w:ascii="Times New Roman" w:cs="Times New Roman" w:eastAsia="Times New Roman" w:hAnsi="Times New Roman"/>
          <w:sz w:val="24"/>
          <w:szCs w:val="24"/>
        </w:rPr>
        <w:t xml:space="preserve">Kedua, faktor-faktor internal satuan kerja—meliputi kualitas SDM pengadaan, kematangan perencanaan RPD, dan komitmen pimpinan—berhubungan dengan terjadinya deviasi pelaksanaan anggaran Belanja Modal. Semakin rendah kapasitas perencanaan dan kompetensi pengadaan, semakin besar potensi deviasi antara RPD dan realisasi.</w:t>
      </w:r>
    </w:p>
    <w:p>
      <w:pPr>
        <w:spacing w:after="0" w:before="0" w:line="480"/>
        <w:ind w:firstLine="709"/>
        <w:jc w:val="both"/>
      </w:pPr>
      <w:r>
        <w:rPr>
          <w:rFonts w:ascii="Times New Roman" w:cs="Times New Roman" w:eastAsia="Times New Roman" w:hAnsi="Times New Roman"/>
          <w:sz w:val="24"/>
          <w:szCs w:val="24"/>
        </w:rPr>
        <w:t xml:space="preserve">Ketiga, deviasi pelaksanaan anggaran Belanja Modal berhubungan dengan penurunan nilai Indikator Kinerja Pelaksanaan Anggaran (IKPA) satuan kerja, yang selanjutnya memengaruhi akuntabilitas dan reputasi satuan kerja di hadapan Kementerian Keuangan selaku prinsipal dalam hubungan keagenan.</w:t>
      </w:r>
    </w:p>
    <w:p>
      <w:pPr>
        <w:pStyle w:val="Heading2"/>
        <w:spacing w:after="160" w:before="240" w:line="480"/>
        <w:jc w:val="left"/>
      </w:pPr>
      <w:r>
        <w:rPr>
          <w:rFonts w:ascii="Times New Roman" w:cs="Times New Roman" w:eastAsia="Times New Roman" w:hAnsi="Times New Roman"/>
          <w:b/>
          <w:bCs/>
          <w:sz w:val="24"/>
          <w:szCs w:val="24"/>
        </w:rPr>
        <w:t xml:space="preserve">2.4  Kerangka Penelitian</w:t>
      </w:r>
    </w:p>
    <w:p>
      <w:pPr>
        <w:spacing w:after="0" w:before="0" w:line="480"/>
        <w:ind w:firstLine="709"/>
        <w:jc w:val="both"/>
      </w:pPr>
      <w:r>
        <w:rPr>
          <w:rFonts w:ascii="Times New Roman" w:cs="Times New Roman" w:eastAsia="Times New Roman" w:hAnsi="Times New Roman"/>
          <w:sz w:val="24"/>
          <w:szCs w:val="24"/>
        </w:rPr>
        <w:t xml:space="preserve">Adapun kerangka pemikiran pada penelitian ini yaitu:</w:t>
      </w:r>
    </w:p>
    <w:p>
      <w:pPr>
        <w:spacing w:after="80" w:before="240" w:line="480"/>
        <w:jc w:val="center"/>
      </w:pPr>
      <w:r>
        <w:rPr>
          <w:rFonts w:ascii="Times New Roman" w:cs="Times New Roman" w:eastAsia="Times New Roman" w:hAnsi="Times New Roman"/>
          <w:i/>
          <w:iCs/>
          <w:sz w:val="24"/>
          <w:szCs w:val="24"/>
        </w:rPr>
        <w:t xml:space="preserve">Gambar 2.1 Kerangka Penelitian</w:t>
      </w:r>
    </w:p>
    <w:p>
      <w:pPr>
        <w:spacing w:after="240" w:before="80" w:line="48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1714500"/>
                    </a:xfrm>
                    <a:prstGeom prst="rect">
                      <a:avLst/>
                    </a:prstGeom>
                  </pic:spPr>
                </pic:pic>
              </a:graphicData>
            </a:graphic>
          </wp:inline>
        </w:drawing>
      </w:r>
    </w:p>
    <w:p>
      <w:pPr>
        <w:sectPr>
          <w:headerReference w:type="default" r:id="rId14"/>
          <w:headerReference w:type="first" r:id="rId15"/>
          <w:footerReference w:type="default" r:id="rId16"/>
          <w:footerReference w:type="first" r:id="rId17"/>
          <w:pgSz w:w="11906" w:h="16838" w:orient="portrait"/>
          <w:pgMar w:top="2268" w:right="1701" w:bottom="1701" w:left="2268" w:header="708" w:footer="708" w:gutter="0"/>
          <w:pgNumType w:fmt="decimal"/>
          <w:titlePg/>
          <w:docGrid w:linePitch="360"/>
        </w:sectPr>
      </w:pPr>
    </w:p>
    <w:p>
      <w:pPr>
        <w:spacing w:after="0" w:before="0" w:line="480"/>
        <w:jc w:val="center"/>
      </w:pPr>
      <w:r>
        <w:rPr>
          <w:rFonts w:ascii="Times New Roman" w:cs="Times New Roman" w:eastAsia="Times New Roman" w:hAnsi="Times New Roman"/>
          <w:b/>
          <w:bCs/>
          <w:caps w:val="false"/>
          <w:sz w:val="24"/>
          <w:szCs w:val="24"/>
        </w:rPr>
        <w:t xml:space="preserve">BAB III</w:t>
      </w:r>
    </w:p>
    <w:p>
      <w:pPr>
        <w:spacing w:after="240" w:before="0" w:line="480"/>
        <w:jc w:val="center"/>
      </w:pPr>
      <w:r>
        <w:rPr>
          <w:rFonts w:ascii="Times New Roman" w:cs="Times New Roman" w:eastAsia="Times New Roman" w:hAnsi="Times New Roman"/>
          <w:b/>
          <w:bCs/>
          <w:caps w:val="false"/>
          <w:sz w:val="24"/>
          <w:szCs w:val="24"/>
        </w:rPr>
        <w:t xml:space="preserve">METODE PENELITIAN</w:t>
      </w:r>
    </w:p>
    <w:p>
      <w:pPr>
        <w:pStyle w:val="Heading2"/>
        <w:spacing w:after="160" w:before="240" w:line="480"/>
        <w:jc w:val="left"/>
      </w:pPr>
      <w:r>
        <w:rPr>
          <w:rFonts w:ascii="Times New Roman" w:cs="Times New Roman" w:eastAsia="Times New Roman" w:hAnsi="Times New Roman"/>
          <w:b/>
          <w:bCs/>
          <w:sz w:val="24"/>
          <w:szCs w:val="24"/>
        </w:rPr>
        <w:t xml:space="preserve">3.1  Bentuk dan Subjek Penelitian</w:t>
      </w:r>
    </w:p>
    <w:p>
      <w:pPr>
        <w:spacing w:after="0" w:before="0" w:line="480"/>
        <w:ind w:firstLine="709"/>
        <w:jc w:val="both"/>
      </w:pPr>
      <w:r>
        <w:rPr>
          <w:rFonts w:ascii="Times New Roman" w:cs="Times New Roman" w:eastAsia="Times New Roman" w:hAnsi="Times New Roman"/>
          <w:sz w:val="24"/>
          <w:szCs w:val="24"/>
        </w:rPr>
        <w:t xml:space="preserve">Metode yang digunakan dalam penelitian ini adalah pendekatan kualitatif dengan jenis penelitian deskriptif. Creswell (2014, hlm. 4) mendefinisikan penelitian kualitatif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kualitatif deskriptif memungkinkan peneliti memahami secara mendalam bagaimana para pengelola anggaran Rudenim Pontianak melaksanakan anggaran belanja, khususnya Belanja Modal, mulai dari perencanaan hingga pencairan, apa yang terjadi saat rencana berbenturan dengan realitas operasional, dan mengapa deviasi pelaksanaan anggaran terjadi secara berulang.</w:t>
      </w:r>
    </w:p>
    <w:p>
      <w:pPr>
        <w:spacing w:after="0" w:before="0" w:line="480"/>
        <w:ind w:firstLine="709"/>
        <w:jc w:val="both"/>
      </w:pPr>
      <w:r>
        <w:rPr>
          <w:rFonts w:ascii="Times New Roman" w:cs="Times New Roman" w:eastAsia="Times New Roman" w:hAnsi="Times New Roman"/>
          <w:sz w:val="24"/>
          <w:szCs w:val="24"/>
        </w:rPr>
        <w:t xml:space="preserve">Pemilihan pendekatan kualitatif didasarkan pada karakter ketiga rumusan masalah yang hendak dijawab. RM 1 mengarahkan pada pertanyaan deskriptif tentang bagaimana implementasi pelaksanaan anggaran belanja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tidak memungkinkan generalisasi statistik, dan pertanyaan mengenai penyebab deviasi bersifat eksploratif yang belum memiliki hipotesis mapan untuk diuji (Creswell, 2014, hlm. 14–17).</w:t>
      </w:r>
    </w:p>
    <w:p>
      <w:pPr>
        <w:spacing w:after="0" w:before="0" w:line="480"/>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Perlu dicatat bahwa selama periode penelitian, Rudenim Pontianak mengalami transisi kelembagaan: pada Tahun Anggaran 2023 dan 2024, satker ini berada di bawah Kementerian Hukum dan Hak Asasi Manusia (kode satker 664650), kemudian beralih ke Kementerian Imigrasi dan Pemasyarakatan (kode satker 692965) pada Tahun Anggaran 2025 seiring pembentukan kementerian baru berdasarkan Peraturan Presiden Nomor 139 Tahun 2024. Periode data yang dikaji mencakup Tahun Anggaran 2023, 2024, dan 2025, rentang tiga tahun yang memberikan variasi antar-tahun yang cukup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0" w:before="0" w:line="480"/>
        <w:ind w:firstLine="709"/>
        <w:jc w:val="both"/>
      </w:pPr>
      <w:r>
        <w:rPr>
          <w:rFonts w:ascii="Times New Roman" w:cs="Times New Roman" w:eastAsia="Times New Roman" w:hAnsi="Times New Roman"/>
          <w:sz w:val="24"/>
          <w:szCs w:val="24"/>
        </w:rPr>
        <w:t xml:space="preserve">Pendekatan kualitatif secara khusus relevan dengan fokus penelitian pada pelaksanaan anggaran Belanja Modal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kualitatif mendalam yang mampu menangkap dinamika proses, hambatan, dan konteks keputusan yang melatarbelakangi deviasi.</w:t>
      </w:r>
    </w:p>
    <w:p>
      <w:pPr>
        <w:spacing w:after="0" w:before="0" w:line="480"/>
        <w:ind w:firstLine="709"/>
        <w:jc w:val="both"/>
      </w:pPr>
      <w:r>
        <w:rPr>
          <w:rFonts w:ascii="Times New Roman" w:cs="Times New Roman" w:eastAsia="Times New Roman" w:hAnsi="Times New Roman"/>
          <w:sz w:val="24"/>
          <w:szCs w:val="24"/>
        </w:rPr>
        <w:t xml:space="preserve">Untuk memperoleh data primer yang kredibel dan mendalam mengenai pelaksanaan anggaran Belanja Modal,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Belanja Modal Rudenim Pontianak.</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2"/>
        </w:numPr>
        <w:spacing w:after="0" w:before="0" w:line="480"/>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w:t>
      </w:r>
    </w:p>
    <w:p>
      <w:pPr>
        <w:spacing w:after="80" w:before="240" w:line="480"/>
        <w:jc w:val="center"/>
      </w:pPr>
      <w:r>
        <w:rPr>
          <w:rFonts w:ascii="Times New Roman" w:cs="Times New Roman" w:eastAsia="Times New Roman" w:hAnsi="Times New Roman"/>
          <w:b/>
          <w:bCs/>
          <w:sz w:val="24"/>
          <w:szCs w:val="24"/>
        </w:rPr>
        <w:t xml:space="preserve">Tabel 3.1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366"/>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Otoritas tertinggi pengelolaan anggaran satker; penetapan DIPA dan RPD; perspektif strategis pelaksanaan Belanja Modal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komitmen pengadaan Belanja Modal; touchpoint utama kontrak, BAST, dan SPP-LS</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BPG</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53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jc w:val="left"/>
      </w:pPr>
      <w:r>
        <w:rPr>
          <w:rFonts w:ascii="Times New Roman" w:cs="Times New Roman" w:eastAsia="Times New Roman" w:hAnsi="Times New Roman"/>
          <w:b/>
          <w:bCs/>
          <w:sz w:val="24"/>
          <w:szCs w:val="24"/>
        </w:rPr>
        <w:t xml:space="preserve">3.2  Teknik Pengumpulan Data</w:t>
      </w:r>
    </w:p>
    <w:p>
      <w:pPr>
        <w:spacing w:after="0" w:before="0" w:line="480"/>
        <w:ind w:firstLine="709"/>
        <w:jc w:val="both"/>
      </w:pPr>
      <w:r>
        <w:rPr>
          <w:rFonts w:ascii="Times New Roman" w:cs="Times New Roman" w:eastAsia="Times New Roman" w:hAnsi="Times New Roman"/>
          <w:sz w:val="24"/>
          <w:szCs w:val="24"/>
        </w:rPr>
        <w:t xml:space="preserve">Penelitian ini menggunakan dua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dan studi dokumentasi, yang saling melengkapi untuk menjawab ketiga rumusan masalah. Kombinasi kedua teknik ini memungkinkan triangulasi sumber secara struktural: data primer dari wawancara memberikan kedalaman interpretatif dan eksplanatif, sementara data sekunder dari dokumen menyediakan landasan faktual yang terverifikasi sistem.</w:t>
      </w:r>
    </w:p>
    <w:p>
      <w:pPr>
        <w:pStyle w:val="Heading3"/>
        <w:spacing w:after="160" w:before="240" w:line="480"/>
        <w:jc w:val="left"/>
      </w:pPr>
      <w:r>
        <w:rPr>
          <w:rFonts w:ascii="Times New Roman" w:cs="Times New Roman" w:eastAsia="Times New Roman" w:hAnsi="Times New Roman"/>
          <w:b/>
          <w:bCs/>
          <w:sz w:val="24"/>
          <w:szCs w:val="24"/>
        </w:rPr>
        <w:t xml:space="preserve">3.2.1  In-depth Interview (Wawancara Mendalam)</w:t>
      </w:r>
    </w:p>
    <w:p>
      <w:pPr>
        <w:spacing w:after="0" w:before="0" w:line="480"/>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Belanja Modal, proses pengambilan keputusan pengadaan, dinamika koordinasi antar-pejabat keuangan, dan hambatan yang menyebabkan deviasi merupakan informasi yang hanya dapat diperoleh melalui narasi para pelakunya.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w:t>
      </w:r>
    </w:p>
    <w:p>
      <w:pPr>
        <w:spacing w:after="0" w:before="0" w:line="480"/>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pPr>
        <w:spacing w:after="0" w:before="0" w:line="480"/>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verbatim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3.2.2  Studi Dokumentasi</w:t>
      </w:r>
    </w:p>
    <w:p>
      <w:pPr>
        <w:spacing w:after="0" w:before="0" w:line="480"/>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akan diakses disajikan pada Tabel 3.2.</w:t>
      </w:r>
    </w:p>
    <w:p>
      <w:pPr>
        <w:spacing w:after="80" w:before="240" w:line="480"/>
        <w:jc w:val="center"/>
      </w:pPr>
      <w:r>
        <w:rPr>
          <w:rFonts w:ascii="Times New Roman" w:cs="Times New Roman" w:eastAsia="Times New Roman" w:hAnsi="Times New Roman"/>
          <w:b/>
          <w:bCs/>
          <w:sz w:val="24"/>
          <w:szCs w:val="24"/>
        </w:rPr>
        <w:t xml:space="preserve">Tabel 3.2 Daftar Dokumen Studi Dokumentasi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7137"/>
      </w:tblGrid>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per semester (OM-SPAN/MEBE - Monitoring and Evaluation of Budget Execution)</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RKA-K/L Ditjen Imigrasi</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713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jc w:val="left"/>
      </w:pPr>
      <w:r>
        <w:rPr>
          <w:rFonts w:ascii="Times New Roman" w:cs="Times New Roman" w:eastAsia="Times New Roman" w:hAnsi="Times New Roman"/>
          <w:b/>
          <w:bCs/>
          <w:sz w:val="24"/>
          <w:szCs w:val="24"/>
        </w:rPr>
        <w:t xml:space="preserve">3.2.3  Observasi Non-Partisipatif</w:t>
      </w:r>
    </w:p>
    <w:p>
      <w:pPr>
        <w:spacing w:after="0" w:before="0" w:line="480"/>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Belanja Modal.</w:t>
      </w:r>
    </w:p>
    <w:p>
      <w:pPr>
        <w:pStyle w:val="Heading2"/>
        <w:spacing w:after="160" w:before="240" w:line="480"/>
        <w:jc w:val="left"/>
      </w:pPr>
      <w:r>
        <w:rPr>
          <w:rFonts w:ascii="Times New Roman" w:cs="Times New Roman" w:eastAsia="Times New Roman" w:hAnsi="Times New Roman"/>
          <w:b/>
          <w:bCs/>
          <w:sz w:val="24"/>
          <w:szCs w:val="24"/>
        </w:rPr>
        <w:t xml:space="preserve">3.3  Teknik Pengolahan dan Analisis Data</w:t>
      </w:r>
    </w:p>
    <w:p>
      <w:pPr>
        <w:spacing w:after="0" w:before="0" w:line="480"/>
        <w:ind w:firstLine="709"/>
        <w:jc w:val="both"/>
      </w:pPr>
      <w:r>
        <w:rPr>
          <w:rFonts w:ascii="Times New Roman" w:cs="Times New Roman" w:eastAsia="Times New Roman" w:hAnsi="Times New Roman"/>
          <w:sz w:val="24"/>
          <w:szCs w:val="24"/>
        </w:rPr>
        <w:t xml:space="preserve">Sub-bab ini menguraikan tiga komponen teknik pengolahan dan analisis data: pertama, alur pelaksanaan anggaran Belanja Modal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kedua, model analisis interaktif Miles dan Huberman (1994) sebagai prosedur analisis data kualitatif; dan ketiga, uji keabsahan data berdasarkan kriteria Lincoln dan Guba (1985).</w:t>
      </w:r>
    </w:p>
    <w:p>
      <w:pPr>
        <w:pStyle w:val="Heading3"/>
        <w:spacing w:after="160" w:before="240" w:line="480"/>
        <w:jc w:val="left"/>
      </w:pPr>
      <w:r>
        <w:rPr>
          <w:rFonts w:ascii="Times New Roman" w:cs="Times New Roman" w:eastAsia="Times New Roman" w:hAnsi="Times New Roman"/>
          <w:b/>
          <w:bCs/>
          <w:sz w:val="24"/>
          <w:szCs w:val="24"/>
        </w:rPr>
        <w:t xml:space="preserve">3.3.1  Alur Pelaksanaan Anggaran: Perencanaan, Penyusunan, dan Pelaksanaan (Flowchart)</w:t>
      </w:r>
    </w:p>
    <w:p>
      <w:pPr>
        <w:spacing w:after="0" w:before="0" w:line="480"/>
        <w:ind w:firstLine="709"/>
        <w:jc w:val="both"/>
      </w:pPr>
      <w:r>
        <w:rPr>
          <w:rFonts w:ascii="Times New Roman" w:cs="Times New Roman" w:eastAsia="Times New Roman" w:hAnsi="Times New Roman"/>
          <w:sz w:val="24"/>
          <w:szCs w:val="24"/>
        </w:rPr>
        <w:t xml:space="preserve">Untuk memberikan kerangka analisis yang sistematis terhadap pelaksanaan anggaran Belanja Modal,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Belanja Modal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Belanja Modal.</w:t>
      </w:r>
    </w:p>
    <w:p>
      <w:pPr>
        <w:spacing w:after="80" w:before="240" w:line="480"/>
        <w:jc w:val="center"/>
      </w:pPr>
      <w:r>
        <w:rPr>
          <w:rFonts w:ascii="Times New Roman" w:cs="Times New Roman" w:eastAsia="Times New Roman" w:hAnsi="Times New Roman"/>
          <w:i/>
          <w:iCs/>
          <w:sz w:val="24"/>
          <w:szCs w:val="24"/>
        </w:rPr>
        <w:t xml:space="preserve">Gambar 3.1 Alur Pelaksanaan Anggaran Belanja</w:t>
      </w:r>
    </w:p>
    <w:p>
      <w:pPr>
        <w:spacing w:after="80" w:line="480"/>
        <w:jc w:val="center"/>
      </w:pPr>
      <w:r>
        <w:rPr>
          <w:rFonts w:ascii="Times New Roman" w:cs="Times New Roman" w:eastAsia="Times New Roman" w:hAnsi="Times New Roman"/>
          <w:sz w:val="24"/>
          <w:szCs w:val="24"/>
        </w:rPr>
        <w:t xml:space="preserve">[Flowchart dimasukkan manual]</w:t>
      </w:r>
    </w:p>
    <w:p>
      <w:pPr>
        <w:spacing w:after="240" w:before="80" w:line="480"/>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0" w:before="0" w:line="480"/>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signifikan dari harga pasar aktual pada saat pelaksanaan pengadaan, sehingga memaksa revisi atau bahkan pembatalan paket Belanja Modal. Selain itu, TOR dan RAB yang tidak cukup mendetail dalam spesifikasi teknis menimbulkan gap antara kebutuhan unit teknis dan penawaran penyedia pada tahap pengadaan. Asumsi waktu pengadaan yang terlalu optimistik, misalnya mengasumsikan kontrak sudah ditandatangani pada Q1 padahal proses tender memerlukan waktu minimal tiga bulan, juga berkontribusi pada ketidaksesuaian antara RPD dan realisasi.</w:t>
      </w:r>
    </w:p>
    <w:p>
      <w:pPr>
        <w:spacing w:after="0" w:before="0" w:line="480"/>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Belanja Modal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Belanja Modal.</w:t>
      </w:r>
    </w:p>
    <w:p>
      <w:pPr>
        <w:spacing w:after="0" w:before="0" w:line="480"/>
        <w:ind w:firstLine="709"/>
        <w:jc w:val="both"/>
      </w:pPr>
      <w:r>
        <w:rPr>
          <w:rFonts w:ascii="Times New Roman" w:cs="Times New Roman" w:eastAsia="Times New Roman" w:hAnsi="Times New Roman"/>
          <w:sz w:val="24"/>
          <w:szCs w:val="24"/>
        </w:rPr>
        <w:t xml:space="preserve">Pada Fase Pelaksanaan Anggaran Belanja Modal, fase yang memiliki titik kritis paling banyak,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Perpres 16/2018 Pasal 38);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jc w:val="left"/>
      </w:pPr>
      <w:r>
        <w:rPr>
          <w:rFonts w:ascii="Times New Roman" w:cs="Times New Roman" w:eastAsia="Times New Roman" w:hAnsi="Times New Roman"/>
          <w:b/>
          <w:bCs/>
          <w:sz w:val="24"/>
          <w:szCs w:val="24"/>
        </w:rPr>
        <w:t xml:space="preserve">3.3.2  Model Analisis Miles dan Huberman (1994)</w:t>
      </w:r>
    </w:p>
    <w:p>
      <w:pPr>
        <w:spacing w:after="0" w:before="0" w:line="480"/>
        <w:ind w:firstLine="709"/>
        <w:jc w:val="both"/>
      </w:pPr>
      <w:r>
        <w:rPr>
          <w:rFonts w:ascii="Times New Roman" w:cs="Times New Roman" w:eastAsia="Times New Roman" w:hAnsi="Times New Roman"/>
          <w:sz w:val="24"/>
          <w:szCs w:val="24"/>
        </w:rPr>
        <w:t xml:space="preserve">Analisis data dalam penelitian ini dilaksanakan menggunakan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yang dikembangkan Miles dan Huberman (1994, hlm. 10–12). Model ini dipilih karena sesuai dengan karakter penelitian kualitatif yang prosesnya bersifat iteratif dan simultan: pengumpulan data, reduksi data, penyajian data, dan penarikan kesimpulan berlangsung dalam siklus yang saling mengisi. Temuan awal mendorong pengumpulan data tambahan, reduksi yang sedang berjalan memengaruhi fokus pengumpulan berikutnya, dan kesimpulan tentatif selalu diuji ulang terhadap data baru.</w:t>
      </w:r>
    </w:p>
    <w:p>
      <w:pPr>
        <w:spacing w:after="0" w:before="0" w:line="480"/>
        <w:ind w:firstLine="709"/>
        <w:jc w:val="both"/>
      </w:pPr>
      <w:r>
        <w:rPr>
          <w:rFonts w:ascii="Times New Roman" w:cs="Times New Roman" w:eastAsia="Times New Roman" w:hAnsi="Times New Roman"/>
          <w:sz w:val="24"/>
          <w:szCs w:val="24"/>
        </w:rPr>
        <w:t xml:space="preserve">Tahap pertama adalah reduksi data, yakni proses memilih, memfokuskan, menyederhanakan, mengabstraksi, dan mentransformasi data mentah menjadi satuan-satuan makna yang dapat dianalisis (Miles dan Huberman, 1994, hlm. 10–11). Reduksi dilaksanakan melalui transkripsi verbatim rekaman wawancara, kemudian pengkodean bertahap dari </w:t>
      </w:r>
      <w:r>
        <w:rPr>
          <w:rFonts w:ascii="Times New Roman" w:cs="Times New Roman" w:eastAsia="Times New Roman" w:hAnsi="Times New Roman"/>
          <w:i/>
          <w:iCs/>
          <w:sz w:val="24"/>
          <w:szCs w:val="24"/>
        </w:rPr>
        <w:t xml:space="preserve">open coding</w:t>
      </w:r>
      <w:r>
        <w:rPr>
          <w:rFonts w:ascii="Times New Roman" w:cs="Times New Roman" w:eastAsia="Times New Roman" w:hAnsi="Times New Roman"/>
          <w:sz w:val="24"/>
          <w:szCs w:val="24"/>
        </w:rPr>
        <w:t xml:space="preserve"> (label pada unit makna), </w:t>
      </w:r>
      <w:r>
        <w:rPr>
          <w:rFonts w:ascii="Times New Roman" w:cs="Times New Roman" w:eastAsia="Times New Roman" w:hAnsi="Times New Roman"/>
          <w:i/>
          <w:iCs/>
          <w:sz w:val="24"/>
          <w:szCs w:val="24"/>
        </w:rPr>
        <w:t xml:space="preserve">axial coding</w:t>
      </w:r>
      <w:r>
        <w:rPr>
          <w:rFonts w:ascii="Times New Roman" w:cs="Times New Roman" w:eastAsia="Times New Roman" w:hAnsi="Times New Roman"/>
          <w:sz w:val="24"/>
          <w:szCs w:val="24"/>
        </w:rPr>
        <w:t xml:space="preserve"> (pengelompokan ke kategori yang dipetakan ke faktor-faktor deviasi pada kerangka penelitian), hingga </w:t>
      </w:r>
      <w:r>
        <w:rPr>
          <w:rFonts w:ascii="Times New Roman" w:cs="Times New Roman" w:eastAsia="Times New Roman" w:hAnsi="Times New Roman"/>
          <w:i/>
          <w:iCs/>
          <w:sz w:val="24"/>
          <w:szCs w:val="24"/>
        </w:rPr>
        <w:t xml:space="preserve">selective coding</w:t>
      </w:r>
      <w:r>
        <w:rPr>
          <w:rFonts w:ascii="Times New Roman" w:cs="Times New Roman" w:eastAsia="Times New Roman" w:hAnsi="Times New Roman"/>
          <w:sz w:val="24"/>
          <w:szCs w:val="24"/>
        </w:rPr>
        <w:t xml:space="preserve"> (identifikasi kategori inti yang menjawab tiap RM).</w:t>
      </w:r>
    </w:p>
    <w:p>
      <w:pPr>
        <w:spacing w:after="0" w:before="0" w:line="480"/>
        <w:ind w:firstLine="709"/>
        <w:jc w:val="both"/>
      </w:pPr>
      <w:r>
        <w:rPr>
          <w:rFonts w:ascii="Times New Roman" w:cs="Times New Roman" w:eastAsia="Times New Roman" w:hAnsi="Times New Roman"/>
          <w:sz w:val="24"/>
          <w:szCs w:val="24"/>
        </w:rPr>
        <w:t xml:space="preserve">Tahap kedua adalah penyajian data (</w:t>
      </w:r>
      <w:r>
        <w:rPr>
          <w:rFonts w:ascii="Times New Roman" w:cs="Times New Roman" w:eastAsia="Times New Roman" w:hAnsi="Times New Roman"/>
          <w:i/>
          <w:iCs/>
          <w:sz w:val="24"/>
          <w:szCs w:val="24"/>
        </w:rPr>
        <w:t xml:space="preserve">data display</w:t>
      </w:r>
      <w:r>
        <w:rPr>
          <w:rFonts w:ascii="Times New Roman" w:cs="Times New Roman" w:eastAsia="Times New Roman" w:hAnsi="Times New Roman"/>
          <w:sz w:val="24"/>
          <w:szCs w:val="24"/>
        </w:rPr>
        <w:t xml:space="preserve">), yakni mengorganisasikan informasi yang telah direduksi ke dalam bentuk matriks, tabel, dan diagram yang memungkinkan penarikan kesimpulan. Penelitian ini menggunakan matriks faktor-informan-bukti dokumen, matriks pola deviasi per tahun per bulan kritis, serta diagram hubungan antar-faktor yang memetakan kausalitas dari penyebab menuju deviasi dan dari deviasi menuju dampak.</w:t>
      </w:r>
    </w:p>
    <w:p>
      <w:pPr>
        <w:spacing w:after="0" w:before="0" w:line="480"/>
        <w:ind w:firstLine="709"/>
        <w:jc w:val="both"/>
      </w:pPr>
      <w:r>
        <w:rPr>
          <w:rFonts w:ascii="Times New Roman" w:cs="Times New Roman" w:eastAsia="Times New Roman" w:hAnsi="Times New Roman"/>
          <w:sz w:val="24"/>
          <w:szCs w:val="24"/>
        </w:rPr>
        <w:t xml:space="preserve">Tahap ketiga adalah penarikan kesimpulan dan verifikasi.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pStyle w:val="Heading3"/>
        <w:spacing w:after="160" w:before="240" w:line="480"/>
        <w:jc w:val="left"/>
      </w:pPr>
      <w:r>
        <w:rPr>
          <w:rFonts w:ascii="Times New Roman" w:cs="Times New Roman" w:eastAsia="Times New Roman" w:hAnsi="Times New Roman"/>
          <w:b/>
          <w:bCs/>
          <w:sz w:val="24"/>
          <w:szCs w:val="24"/>
        </w:rPr>
        <w:t xml:space="preserve">3.3.3  Uji Keabsahan Data (Lincoln dan Guba, 1985)</w:t>
      </w:r>
    </w:p>
    <w:p>
      <w:pPr>
        <w:spacing w:after="0" w:before="0" w:line="480"/>
        <w:ind w:firstLine="709"/>
        <w:jc w:val="both"/>
      </w:pPr>
      <w:r>
        <w:rPr>
          <w:rFonts w:ascii="Times New Roman" w:cs="Times New Roman" w:eastAsia="Times New Roman" w:hAnsi="Times New Roman"/>
          <w:sz w:val="24"/>
          <w:szCs w:val="24"/>
        </w:rPr>
        <w:t xml:space="preserve">Kualitas penelitian kualitatif dinilai melalui empat kriteria yang diajukan Lincoln dan Guba (1985, hlm. 289–331) sebagai alternatif dari kriteria positivistik: </w:t>
      </w: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Belanja Modal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0" w:before="0" w:line="480"/>
        <w:ind w:firstLine="709"/>
        <w:jc w:val="both"/>
      </w:pP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0" w:before="0" w:line="480"/>
        <w:ind w:firstLine="709"/>
        <w:jc w:val="both"/>
      </w:pPr>
      <w:r>
        <w:rPr>
          <w:rFonts w:ascii="Times New Roman" w:cs="Times New Roman" w:eastAsia="Times New Roman" w:hAnsi="Times New Roman"/>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log metodologis dan dapat diakses oleh auditor eksternal. Dosen pembimbing berperan sebagai auditor primer.</w:t>
      </w:r>
    </w:p>
    <w:p>
      <w:pPr>
        <w:spacing w:after="0" w:before="0" w:line="480"/>
        <w:ind w:firstLine="709"/>
        <w:jc w:val="both"/>
      </w:pPr>
      <w:r>
        <w:rPr>
          <w:rFonts w:ascii="Times New Roman" w:cs="Times New Roman" w:eastAsia="Times New Roman" w:hAnsi="Times New Roman"/>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sectPr>
          <w:headerReference w:type="default" r:id="rId18"/>
          <w:headerReference w:type="first" r:id="rId19"/>
          <w:footerReference w:type="default" r:id="rId20"/>
          <w:footerReference w:type="first" r:id="rId21"/>
          <w:pgSz w:w="11906" w:h="16838" w:orient="portrait"/>
          <w:pgMar w:top="2268" w:right="1701" w:bottom="1701" w:left="2268" w:header="708" w:footer="708" w:gutter="0"/>
          <w:pgNumType w:fmt="decimal"/>
          <w:titlePg/>
          <w:docGrid w:linePitch="360"/>
        </w:sectPr>
      </w:pPr>
    </w:p>
    <w:p>
      <w:pPr>
        <w:spacing w:after="240" w:before="0" w:line="480"/>
        <w:jc w:val="center"/>
      </w:pPr>
      <w:r>
        <w:rPr>
          <w:rFonts w:ascii="Times New Roman" w:cs="Times New Roman" w:eastAsia="Times New Roman" w:hAnsi="Times New Roman"/>
          <w:b/>
          <w:bCs/>
          <w:caps w:val="false"/>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Direktorat Jenderal Imigrasi. (2025). </w:t>
      </w:r>
      <w:r>
        <w:rPr>
          <w:rFonts w:ascii="Times New Roman" w:cs="Times New Roman" w:eastAsia="Times New Roman" w:hAnsi="Times New Roman"/>
          <w:i/>
          <w:iCs/>
          <w:sz w:val="24"/>
          <w:szCs w:val="24"/>
        </w:rPr>
        <w:t xml:space="preserve">Rencana kerja dan anggaran Kementerian/Lembaga Direktorat Jenderal Imigrasi Tahun Anggaran 2025</w:t>
      </w:r>
      <w:r>
        <w:rPr>
          <w:rFonts w:ascii="Times New Roman" w:cs="Times New Roman" w:eastAsia="Times New Roman" w:hAnsi="Times New Roman"/>
          <w:sz w:val="24"/>
          <w:szCs w:val="24"/>
        </w:rPr>
        <w:t xml:space="preserve">. Kementerian Imigrasi dan Pemasyarakatan Republik Indonesia.</w:t>
      </w:r>
    </w:p>
    <w:p>
      <w:pPr>
        <w:spacing w:after="360" w:before="0" w:line="240"/>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360" w:before="0" w:line="240"/>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360" w:before="0" w:line="240"/>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Working paper</w:t>
      </w:r>
      <w:r>
        <w:rPr>
          <w:rFonts w:ascii="Times New Roman" w:cs="Times New Roman" w:eastAsia="Times New Roman" w:hAnsi="Times New Roman"/>
          <w:sz w:val="24"/>
          <w:szCs w:val="24"/>
        </w:rPr>
        <w:t xml:space="preserve">]. University of Geneva.</w:t>
      </w:r>
    </w:p>
    <w:p>
      <w:pPr>
        <w:spacing w:after="360" w:before="0" w:line="240"/>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360" w:before="0" w:line="240"/>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360" w:before="0" w:line="240"/>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(Edisi terbaru). Andi.</w:t>
      </w:r>
    </w:p>
    <w:p>
      <w:pPr>
        <w:spacing w:after="360" w:before="0" w:line="240"/>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360" w:before="0" w:line="240"/>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360" w:before="0" w:line="240"/>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360" w:before="0" w:line="240"/>
        <w:ind w:left="709" w:hanging="709"/>
        <w:jc w:val="both"/>
      </w:pPr>
      <w:r>
        <w:rPr>
          <w:rFonts w:ascii="Times New Roman" w:cs="Times New Roman" w:eastAsia="Times New Roman" w:hAnsi="Times New Roman"/>
          <w:sz w:val="24"/>
          <w:szCs w:val="24"/>
        </w:rPr>
        <w:t xml:space="preserve">Rumah Detensi Imigrasi Pontianak. (2025). </w:t>
      </w:r>
      <w:r>
        <w:rPr>
          <w:rFonts w:ascii="Times New Roman" w:cs="Times New Roman" w:eastAsia="Times New Roman" w:hAnsi="Times New Roman"/>
          <w:i/>
          <w:iCs/>
          <w:sz w:val="24"/>
          <w:szCs w:val="24"/>
        </w:rPr>
        <w:t xml:space="preserve">Database rencana penarikan dana dan realisasi anggaran TA 2023–2025</w:t>
      </w:r>
      <w:r>
        <w:rPr>
          <w:rFonts w:ascii="Times New Roman" w:cs="Times New Roman" w:eastAsia="Times New Roman" w:hAnsi="Times New Roman"/>
          <w:sz w:val="24"/>
          <w:szCs w:val="24"/>
        </w:rPr>
        <w:t xml:space="preserve">. Dokumen internal tidak dipublikasikan.</w:t>
      </w:r>
    </w:p>
    <w:p>
      <w:pPr>
        <w:spacing w:after="360" w:before="0" w:line="240"/>
        <w:ind w:left="709" w:hanging="709"/>
        <w:jc w:val="both"/>
      </w:pPr>
      <w:r>
        <w:rPr>
          <w:rFonts w:ascii="Times New Roman" w:cs="Times New Roman" w:eastAsia="Times New Roman" w:hAnsi="Times New Roman"/>
          <w:sz w:val="24"/>
          <w:szCs w:val="24"/>
        </w:rPr>
        <w:t xml:space="preserve">Rumah Detensi Imigrasi Pontianak. (2025). </w:t>
      </w:r>
      <w:r>
        <w:rPr>
          <w:rFonts w:ascii="Times New Roman" w:cs="Times New Roman" w:eastAsia="Times New Roman" w:hAnsi="Times New Roman"/>
          <w:i/>
          <w:iCs/>
          <w:sz w:val="24"/>
          <w:szCs w:val="24"/>
        </w:rPr>
        <w:t xml:space="preserve">Laporan Kinerja Instansi Pemerintah (LKjIP) Rudenim Pontianak Tahun Anggaran 2023, 2024, dan 2025</w:t>
      </w:r>
      <w:r>
        <w:rPr>
          <w:rFonts w:ascii="Times New Roman" w:cs="Times New Roman" w:eastAsia="Times New Roman" w:hAnsi="Times New Roman"/>
          <w:sz w:val="24"/>
          <w:szCs w:val="24"/>
        </w:rPr>
        <w:t xml:space="preserve">. Dokumen internal tidak dipublikasikan.</w:t>
      </w:r>
    </w:p>
    <w:p>
      <w:pPr>
        <w:spacing w:after="360" w:before="0" w:line="240"/>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30 Tahun 2014 tentang Administrasi Pemerintahan. (2014). </w:t>
      </w:r>
      <w:r>
        <w:rPr>
          <w:rFonts w:ascii="Times New Roman" w:cs="Times New Roman" w:eastAsia="Times New Roman" w:hAnsi="Times New Roman"/>
          <w:i/>
          <w:iCs/>
          <w:sz w:val="24"/>
          <w:szCs w:val="24"/>
        </w:rPr>
        <w:t xml:space="preserve">Lembaran Negara Republik Indonesia Tahun 2014 Nomor 292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sectPr>
      <w:headerReference w:type="default" r:id="rId22"/>
      <w:headerReference w:type="first" r:id="rId23"/>
      <w:footerReference w:type="default" r:id="rId24"/>
      <w:footerReference w:type="first" r:id="rId25"/>
      <w:pgSz w:w="11906" w:h="16838" w:orient="portrait"/>
      <w:pgMar w:top="2268" w:right="1701" w:bottom="1701" w:left="2268" w:header="708" w:footer="708"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image" Target="media/f6596d8742fe8f537d073e2068ad5a3bbce6d49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2026-06-22T04:02:03.806Z</dcterms:created>
  <dcterms:modified xsi:type="dcterms:W3CDTF">2026-06-22T04:02:03.809Z</dcterms:modified>
</cp:coreProperties>
</file>

<file path=docProps/custom.xml><?xml version="1.0" encoding="utf-8"?>
<Properties xmlns="http://schemas.openxmlformats.org/officeDocument/2006/custom-properties" xmlns:vt="http://schemas.openxmlformats.org/officeDocument/2006/docPropsVTypes"/>
</file>