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c>
          <w:tcPr>
            <w:tcW w:type="dxa" w:w="3969"/>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ISI</w:t>
      </w:r>
    </w:p>
    <w:p>
      <w:pPr>
        <w:spacing w:after="0" w:before="120" w:line="360"/>
        <w:ind w:left="0"/>
        <w:jc w:val="left"/>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b/>
          <w:bCs/>
          <w:sz w:val="24"/>
          <w:szCs w:val="24"/>
        </w:rPr>
        <w:ptab w:alignment="right" w:relativeTo="margin" w:leader="dot"/>
        <w:t xml:space="preserve">iv</w:t>
      </w:r>
    </w:p>
    <w:p>
      <w:pPr>
        <w:spacing w:after="0" w:before="120" w:line="360"/>
        <w:ind w:left="0"/>
        <w:jc w:val="left"/>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ptab w:alignment="right" w:relativeTo="margin" w:leader="dot"/>
        <w:t xml:space="preserve">v</w:t>
      </w:r>
    </w:p>
    <w:p>
      <w:pPr>
        <w:spacing w:after="0" w:before="120" w:line="360"/>
        <w:ind w:left="0"/>
        <w:jc w:val="left"/>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ptab w:alignment="right" w:relativeTo="margin" w:leader="dot"/>
        <w:t xml:space="preserve">vi</w:t>
      </w:r>
    </w:p>
    <w:p>
      <w:pPr>
        <w:spacing w:after="0" w:before="120" w:line="360"/>
        <w:ind w:left="0"/>
        <w:jc w:val="left"/>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b/>
          <w:bCs/>
          <w:sz w:val="24"/>
          <w:szCs w:val="24"/>
        </w:rPr>
        <w:ptab w:alignment="right" w:relativeTo="margin" w:leader="dot"/>
        <w:t xml:space="preserve">vii</w:t>
      </w:r>
    </w:p>
    <w:p>
      <w:pPr>
        <w:spacing w:after="0" w:before="120" w:line="360"/>
        <w:ind w:left="0"/>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b w:val="false"/>
          <w:bCs w:val="false"/>
          <w:sz w:val="24"/>
          <w:szCs w:val="24"/>
        </w:rPr>
        <w:ptab w:alignment="right" w:relativeTo="margin" w:leader="dot"/>
        <w:t xml:space="preserve">9</w:t>
      </w:r>
    </w:p>
    <w:p>
      <w:pPr>
        <w:spacing w:after="0" w:before="0" w:line="360"/>
        <w:ind w:left="360"/>
        <w:jc w:val="left"/>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0" w:line="360"/>
        <w:ind w:left="360"/>
        <w:jc w:val="left"/>
      </w:pPr>
      <w:r>
        <w:rPr>
          <w:rFonts w:ascii="Times New Roman" w:cs="Times New Roman" w:eastAsia="Times New Roman" w:hAnsi="Times New Roman"/>
          <w:b w:val="false"/>
          <w:bCs w:val="false"/>
          <w:sz w:val="24"/>
          <w:szCs w:val="24"/>
        </w:rPr>
        <w:t xml:space="preserve">1.4  Manfaat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120" w:line="360"/>
        <w:ind w:left="0"/>
        <w:jc w:val="left"/>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b/>
          <w:bCs/>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2.1  Landasan Teori</w:t>
      </w:r>
      <w:r>
        <w:rPr>
          <w:rFonts w:ascii="Times New Roman" w:cs="Times New Roman" w:eastAsia="Times New Roman" w:hAnsi="Times New Roman"/>
          <w:b w:val="false"/>
          <w:bCs w:val="false"/>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2.2  Ringkasan Penelitian Terdahulu</w:t>
      </w:r>
      <w:r>
        <w:rPr>
          <w:rFonts w:ascii="Times New Roman" w:cs="Times New Roman" w:eastAsia="Times New Roman" w:hAnsi="Times New Roman"/>
          <w:b w:val="false"/>
          <w:bCs w:val="false"/>
          <w:sz w:val="24"/>
          <w:szCs w:val="24"/>
        </w:rPr>
        <w:ptab w:alignment="right" w:relativeTo="margin" w:leader="dot"/>
        <w:t xml:space="preserve">24</w:t>
      </w:r>
    </w:p>
    <w:p>
      <w:pPr>
        <w:spacing w:after="0" w:before="0" w:line="360"/>
        <w:ind w:left="360"/>
        <w:jc w:val="left"/>
      </w:pPr>
      <w:r>
        <w:rPr>
          <w:rFonts w:ascii="Times New Roman" w:cs="Times New Roman" w:eastAsia="Times New Roman" w:hAnsi="Times New Roman"/>
          <w:b w:val="false"/>
          <w:bCs w:val="false"/>
          <w:sz w:val="24"/>
          <w:szCs w:val="24"/>
        </w:rPr>
        <w:t xml:space="preserve">2.3  Proposisi Penelitian</w:t>
      </w:r>
      <w:r>
        <w:rPr>
          <w:rFonts w:ascii="Times New Roman" w:cs="Times New Roman" w:eastAsia="Times New Roman" w:hAnsi="Times New Roman"/>
          <w:b w:val="false"/>
          <w:bCs w:val="false"/>
          <w:sz w:val="24"/>
          <w:szCs w:val="24"/>
        </w:rPr>
        <w:ptab w:alignment="right" w:relativeTo="margin" w:leader="dot"/>
        <w:t xml:space="preserve">27</w:t>
      </w:r>
    </w:p>
    <w:p>
      <w:pPr>
        <w:spacing w:after="0" w:before="0" w:line="360"/>
        <w:ind w:left="360"/>
        <w:jc w:val="left"/>
      </w:pPr>
      <w:r>
        <w:rPr>
          <w:rFonts w:ascii="Times New Roman" w:cs="Times New Roman" w:eastAsia="Times New Roman" w:hAnsi="Times New Roman"/>
          <w:b w:val="false"/>
          <w:bCs w:val="false"/>
          <w:sz w:val="24"/>
          <w:szCs w:val="24"/>
        </w:rPr>
        <w:t xml:space="preserve">2.4  Kerangka Penelitian</w:t>
      </w:r>
      <w:r>
        <w:rPr>
          <w:rFonts w:ascii="Times New Roman" w:cs="Times New Roman" w:eastAsia="Times New Roman" w:hAnsi="Times New Roman"/>
          <w:b w:val="false"/>
          <w:bCs w:val="false"/>
          <w:sz w:val="24"/>
          <w:szCs w:val="24"/>
        </w:rPr>
        <w:ptab w:alignment="right" w:relativeTo="margin" w:leader="dot"/>
        <w:t xml:space="preserve">28</w:t>
      </w:r>
    </w:p>
    <w:p>
      <w:pPr>
        <w:spacing w:after="0" w:before="120" w:line="360"/>
        <w:ind w:left="0"/>
        <w:jc w:val="left"/>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b/>
          <w:bCs/>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3.1  Bentuk dan Subjek Penelitian</w:t>
      </w:r>
      <w:r>
        <w:rPr>
          <w:rFonts w:ascii="Times New Roman" w:cs="Times New Roman" w:eastAsia="Times New Roman" w:hAnsi="Times New Roman"/>
          <w:b w:val="false"/>
          <w:bCs w:val="false"/>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3.2  Sumber dan Teknik Pengumpulan Data</w:t>
      </w:r>
      <w:r>
        <w:rPr>
          <w:rFonts w:ascii="Times New Roman" w:cs="Times New Roman" w:eastAsia="Times New Roman" w:hAnsi="Times New Roman"/>
          <w:b w:val="false"/>
          <w:bCs w:val="false"/>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3.3  Teknik Analisis Data</w:t>
      </w:r>
      <w:r>
        <w:rPr>
          <w:rFonts w:ascii="Times New Roman" w:cs="Times New Roman" w:eastAsia="Times New Roman" w:hAnsi="Times New Roman"/>
          <w:b w:val="false"/>
          <w:bCs w:val="false"/>
          <w:sz w:val="24"/>
          <w:szCs w:val="24"/>
        </w:rPr>
        <w:ptab w:alignment="right" w:relativeTo="margin" w:leader="dot"/>
        <w:t xml:space="preserve">30</w:t>
      </w:r>
    </w:p>
    <w:p>
      <w:pPr>
        <w:spacing w:after="0" w:before="120" w:line="360"/>
        <w:ind w:left="0"/>
        <w:jc w:val="left"/>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b/>
          <w:bCs/>
          <w:sz w:val="24"/>
          <w:szCs w:val="24"/>
        </w:rPr>
        <w:ptab w:alignment="right" w:relativeTo="margin" w:leader="dot"/>
        <w:t xml:space="preserve">32</w:t>
      </w:r>
    </w:p>
    <w:p>
      <w:pPr>
        <w:sectPr>
          <w:footerReference w:type="default" r:id="rId9"/>
          <w:pgSz w:w="11906" w:h="16838" w:orient="portrait"/>
          <w:pgMar w:top="2268" w:right="1701" w:bottom="1701" w:left="2268" w:header="708" w:footer="708" w:gutter="0"/>
          <w:pgNumType w:fmt="lowerRoman"/>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w:t>
      </w:r>
    </w:p>
    <w:p>
      <w:pPr>
        <w:spacing w:after="0" w:before="0" w:line="480"/>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w:t>
      </w:r>
      <w:r>
        <w:rPr>
          <w:rFonts w:ascii="Times New Roman" w:cs="Times New Roman" w:eastAsia="Times New Roman" w:hAnsi="Times New Roman"/>
          <w:b/>
          <w:bCs/>
          <w:sz w:val="24"/>
          <w:szCs w:val="24"/>
        </w:rPr>
        <w:t xml:space="preserve">Ketujuh prinsip tersebut tidak bersifat opsional, melainkan merupakan standar minimum yang harus dipenuhi oleh setiap entitas pemerintah dalam mengelola sumber daya publik yang dipercayakan kepadanya</w:t>
      </w:r>
      <w:r>
        <w:rPr>
          <w:rFonts w:ascii="Times New Roman" w:cs="Times New Roman" w:eastAsia="Times New Roman" w:hAnsi="Times New Roman"/>
          <w:sz w:val="24"/>
          <w:szCs w:val="24"/>
        </w:rPr>
        <w:t xml:space="preserve">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hlm. xx),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w:t>
      </w:r>
      <w:r>
        <w:rPr>
          <w:rFonts w:ascii="Times New Roman" w:cs="Times New Roman" w:eastAsia="Times New Roman" w:hAnsi="Times New Roman"/>
          <w:b/>
          <w:bCs/>
          <w:sz w:val="24"/>
          <w:szCs w:val="24"/>
        </w:rPr>
        <w:t xml:space="preserve">RPD bulanan ini bukan sekadar formalitas administratif, melainkan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30%</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Total</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98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w:t>
      </w:r>
      <w:r>
        <w:rPr>
          <w:rFonts w:ascii="Times New Roman" w:cs="Times New Roman" w:eastAsia="Times New Roman" w:hAnsi="Times New Roman"/>
          <w:b/>
          <w:bCs/>
          <w:sz w:val="24"/>
          <w:szCs w:val="24"/>
        </w:rPr>
        <w:t xml:space="preserve">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b/>
          <w:bCs/>
          <w:sz w:val="24"/>
          <w:szCs w:val="24"/>
        </w:rPr>
        <w:t xml:space="preserve">Komposisi Belanja Modal pada Rudenim Pontianak meningkat secara tajam mencapai 65,92% dari total pagu DIPA pada Tahun Anggaran 2025 (lihat Tabel 1.3), menjadikan Belanja Modal sebagai komponen dominan dan paling material dalam pelaksanaan anggaran satker pada periode tersebut.</w:t>
      </w:r>
      <w:r>
        <w:rPr>
          <w:rFonts w:ascii="Times New Roman" w:cs="Times New Roman" w:eastAsia="Times New Roman" w:hAnsi="Times New Roman"/>
          <w:sz w:val="24"/>
          <w:szCs w:val="24"/>
        </w:rPr>
        <w:t xml:space="preserve">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w:t>
      </w:r>
      <w:r>
        <w:rPr>
          <w:rFonts w:ascii="Times New Roman" w:cs="Times New Roman" w:eastAsia="Times New Roman" w:hAnsi="Times New Roman"/>
          <w:b/>
          <w:bCs/>
          <w:sz w:val="24"/>
          <w:szCs w:val="24"/>
        </w:rPr>
        <w:t xml:space="preserve">Kondisi ini mengalami perbaikan yang substansial pada TA 2025 dengan rata-rata deviasi 5,41%, namun justru perbaikan drastis tersebut memperkuat relevansi pertanyaan penelitian: faktor apa yang menyebabkan deviasi tinggi pada periode sebelumnya dan mekanisme apa yang mengubahnya — pertanyaan yang belum dapat dijawab secara memadai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11,50</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362.282.510</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20,16</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89,80</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27,87</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3.372.224.900</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28,77</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88,31</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65,92</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6.567.577.362</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5,41</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r>
    </w:tbl>
    <w:p>
      <w:pPr>
        <w:spacing w:after="0" w:before="0" w:line="480"/>
        <w:ind w:firstLine="709"/>
        <w:jc w:val="both"/>
      </w:pPr>
      <w:r>
        <w:rPr>
          <w:rFonts w:ascii="Times New Roman" w:cs="Times New Roman" w:eastAsia="Times New Roman" w:hAnsi="Times New Roman"/>
          <w:i/>
          <w:iCs/>
          <w:sz w:val="24"/>
          <w:szCs w:val="24"/>
        </w:rPr>
        <w:t xml:space="preserve">Rata-rata proporsi pagu Belanja Modal terhadap total pagu DIPA. </w:t>
      </w:r>
      <w:r>
        <w:rPr>
          <w:rFonts w:ascii="Times New Roman" w:cs="Times New Roman" w:eastAsia="Times New Roman" w:hAnsi="Times New Roman"/>
          <w:i/>
          <w:iCs/>
          <w:sz w:val="24"/>
          <w:szCs w:val="24"/>
        </w:rPr>
        <w:t xml:space="preserve">Rata-rata deviasi bulanan \|RPD − Realisasi\|/RPD Belanja Modal, sesuai basis perhitungan PER-5/PB/2024 Pasal 7. </w:t>
      </w:r>
      <w:r>
        <w:rPr>
          <w:rFonts w:ascii="Times New Roman" w:cs="Times New Roman" w:eastAsia="Times New Roman" w:hAnsi="Times New Roman"/>
          <w:sz w:val="24"/>
          <w:szCs w:val="24"/>
        </w:rPr>
        <w:t xml:space="preserve">**Nilai akhir tahun, seluruh jenis belanja. 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w:t>
      </w:r>
      <w:r>
        <w:rPr>
          <w:rFonts w:ascii="Times New Roman" w:cs="Times New Roman" w:eastAsia="Times New Roman" w:hAnsi="Times New Roman"/>
          <w:b/>
          <w:bCs/>
          <w:sz w:val="24"/>
          <w:szCs w:val="24"/>
        </w:rPr>
        <w:t xml:space="preserve">tidak terealisasi sepenuhnya</w:t>
      </w:r>
      <w:r>
        <w:rPr>
          <w:rFonts w:ascii="Times New Roman" w:cs="Times New Roman" w:eastAsia="Times New Roman" w:hAnsi="Times New Roman"/>
          <w:sz w:val="24"/>
          <w:szCs w:val="24"/>
        </w:rPr>
        <w:t xml:space="preserve">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222.000.000</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274.778.000</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17.250.000</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93,72</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700.000.000</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1.792.439.999</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194.511.000</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50.000.000</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35.587.371</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28,83</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697.466.021</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560.399.255</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3"/>
      </w:tblGrid>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223.980.000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191.216.000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Desember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199.274.900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Oktober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294.944.000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505.462.000</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w:t>
            </w:r>
          </w:p>
        </w:tc>
        <w:tc>
          <w:tcPr>
            <w:tcW w:type="dxa" w:w="99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w:t>
      </w:r>
      <w:r>
        <w:rPr>
          <w:rFonts w:ascii="Times New Roman" w:cs="Times New Roman" w:eastAsia="Times New Roman" w:hAnsi="Times New Roman"/>
          <w:b/>
          <w:bCs/>
          <w:sz w:val="24"/>
          <w:szCs w:val="24"/>
        </w:rPr>
        <w:t xml:space="preserve">Untuk memahami dinamika relasi keagenan di balik deviasi tersebut, penelitian ini memanfaatkan *Agency Theory* sebagai lensa analitis sebagaimana diuraikan pada BAB II.</w:t>
      </w:r>
      <w:r>
        <w:rPr>
          <w:rFonts w:ascii="Times New Roman" w:cs="Times New Roman" w:eastAsia="Times New Roman" w:hAnsi="Times New Roman"/>
          <w:sz w:val="24"/>
          <w:szCs w:val="24"/>
        </w:rPr>
        <w:t xml:space="preserve"> Berdasarkan uraian di atas, dapat diidentifikasi tiga indikasi masalah yang melatarbelakangi penelitian ini. Pertama, terjadinya deviasi antara rencana dan penyerapan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tahun 2023–2025. Kedua, perlunya menelaah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tersebut. Ketiga, perlunya menganalisis dampak dari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bagi pengelolaan anggaran satker. Penelitian ini berfokus pada pelaksanaan anggaran belanja Rudenim Pontianak periode Tahun Anggaran 2023–2025, dengan penekanan khusus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Apa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Apa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Mendeskripsikan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Menganalisis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Mengevaluasi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pStyle w:val="Heading2"/>
        <w:spacing w:after="160" w:before="240" w:line="480"/>
        <w:jc w:val="left"/>
      </w:pPr>
      <w:r>
        <w:rPr>
          <w:rFonts w:ascii="Times New Roman" w:cs="Times New Roman" w:eastAsia="Times New Roman" w:hAnsi="Times New Roman"/>
          <w:b/>
          <w:bCs/>
          <w:sz w:val="24"/>
          <w:szCs w:val="24"/>
        </w:rPr>
        <w:t xml:space="preserve">1.5 Batasan Masalah</w:t>
      </w:r>
    </w:p>
    <w:p>
      <w:pPr>
        <w:spacing w:after="0" w:before="0" w:line="480"/>
        <w:ind w:firstLine="709"/>
        <w:jc w:val="both"/>
      </w:pPr>
      <w:r>
        <w:rPr>
          <w:rFonts w:ascii="Times New Roman" w:cs="Times New Roman" w:eastAsia="Times New Roman" w:hAnsi="Times New Roman"/>
          <w:sz w:val="24"/>
          <w:szCs w:val="24"/>
        </w:rPr>
        <w:t xml:space="preserve">Agar penelitian terfokus dan terarah, batasan masalah ditetapkan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Penelitian difokuskan pada analisis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(kode akun 53) di Rumah Detensi Imigrasi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Periode penelitian mencakup Tahun Anggaran 2023, 2024, dan 2025, yang mencakup fase transisi kelembagaan dari Kementerian Hukum dan Hak Asasi Manusia ke Kementerian Imigrasi dan Pemasyarakatan.</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Analisis deviasi difokuskan pada indikator </w:t>
      </w:r>
      <w:r>
        <w:rPr>
          <w:rFonts w:ascii="Times New Roman" w:cs="Times New Roman" w:eastAsia="Times New Roman" w:hAnsi="Times New Roman"/>
          <w:b/>
          <w:bCs/>
          <w:sz w:val="24"/>
          <w:szCs w:val="24"/>
        </w:rPr>
        <w:t xml:space="preserve">Deviasi Halaman III DIPA</w:t>
      </w:r>
      <w:r>
        <w:rPr>
          <w:rFonts w:ascii="Times New Roman" w:cs="Times New Roman" w:eastAsia="Times New Roman" w:hAnsi="Times New Roman"/>
          <w:sz w:val="24"/>
          <w:szCs w:val="24"/>
        </w:rPr>
        <w:t xml:space="preserve"> sebagai bagian dari IKPA berdasarkan PER-5/PB/2024.</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Lensa analisis utama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untuk membedah relasi keagenan antara prinsipal (Kemenkeu/DJPb/KPPN) dan agen (KPA/PPK/Penyedia) dalam konteks pelaksanaan Belanja Modal.</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Subjek penelitian dibatasi pada pejabat pengelola anggaran dan pengadaan di Rudenim Pontianak (KPA, PPK, PPSPM, BPG, SRKA, PBJ) serta dokumen anggaran terkait.</w:t>
      </w:r>
    </w:p>
    <w:p>
      <w:pPr>
        <w:pStyle w:val="Heading2"/>
        <w:spacing w:after="160" w:before="240" w:line="480"/>
        <w:jc w:val="left"/>
      </w:pPr>
      <w:r>
        <w:rPr>
          <w:rFonts w:ascii="Times New Roman" w:cs="Times New Roman" w:eastAsia="Times New Roman" w:hAnsi="Times New Roman"/>
          <w:b/>
          <w:bCs/>
          <w:sz w:val="24"/>
          <w:szCs w:val="24"/>
        </w:rPr>
        <w:t xml:space="preserve">1.6 Definisi Operasional</w:t>
      </w:r>
    </w:p>
    <w:p>
      <w:pPr>
        <w:spacing w:after="0" w:before="0" w:line="480"/>
        <w:ind w:firstLine="709"/>
        <w:jc w:val="both"/>
      </w:pPr>
      <w:r>
        <w:rPr>
          <w:rFonts w:ascii="Times New Roman" w:cs="Times New Roman" w:eastAsia="Times New Roman" w:hAnsi="Times New Roman"/>
          <w:sz w:val="24"/>
          <w:szCs w:val="24"/>
        </w:rPr>
        <w:t xml:space="preserve">Untuk menghindari ambiguitas makna, istilah-istilah kunci dalam penelitian ini didefinisikan secara operasional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Pelaksanaan Anggaran Belanja Modal</w:t>
      </w:r>
      <w:r>
        <w:rPr>
          <w:rFonts w:ascii="Times New Roman" w:cs="Times New Roman" w:eastAsia="Times New Roman" w:hAnsi="Times New Roman"/>
          <w:sz w:val="24"/>
          <w:szCs w:val="24"/>
        </w:rPr>
        <w:t xml:space="preserve"> adalah serangkaian proses kegiatan mulai dari perencanaan (penyusunan RKA-K/L, DIPA, RPD), pengadaan (pemilihan penyedia, penandatanganan kontrak), pelaksanaan fisik (progres pekerjaan, BAST), hingga pencairan dana (SPP, SPM, SP2D) untuk memperoleh aset tetap/aset lain (kode akun 53) di Rudenim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Deviasi Halaman III DIPA</w:t>
      </w:r>
      <w:r>
        <w:rPr>
          <w:rFonts w:ascii="Times New Roman" w:cs="Times New Roman" w:eastAsia="Times New Roman" w:hAnsi="Times New Roman"/>
          <w:sz w:val="24"/>
          <w:szCs w:val="24"/>
        </w:rPr>
        <w:t xml:space="preserve"> adalah persentase simpangan absolut antara Rencana Penarikan Dana (RPD) bulanan pada Halaman III DIPA dengan realisasi anggaran aktual pada bulan yang sama untuk jenis Belanja Modal, dihitung dengan rumus: $\frac{|RPD - Realisasi|}{RPD} \times 100\%$ sesuai PER-5/PB/2024.</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Faktor Penyebab Deviasi</w:t>
      </w:r>
      <w:r>
        <w:rPr>
          <w:rFonts w:ascii="Times New Roman" w:cs="Times New Roman" w:eastAsia="Times New Roman" w:hAnsi="Times New Roman"/>
          <w:sz w:val="24"/>
          <w:szCs w:val="24"/>
        </w:rPr>
        <w:t xml:space="preserve"> adalah kondisi atau peristiwa (internal: perencanaan, SDM, administratif; eksternal: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regulasi) yang mengakibatkan terjadinya pergeseran realisasi dari rencana bulanan pada Belanja Modal.</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Dampak Deviasi</w:t>
      </w:r>
      <w:r>
        <w:rPr>
          <w:rFonts w:ascii="Times New Roman" w:cs="Times New Roman" w:eastAsia="Times New Roman" w:hAnsi="Times New Roman"/>
          <w:sz w:val="24"/>
          <w:szCs w:val="24"/>
        </w:rPr>
        <w:t xml:space="preserve"> adalah konsekuensi dari terjadinya deviasi terhadap kinerja pengelolaan anggaran satker, diukur melalui nilai IKPA (khususnya indikator Deviasi Halaman III), beban kerja revisi administrasi, keterlambatan penyelesaian aset, serta implikasi akuntabilitas terhadap prinsipal (KPPN/DJPb).</w:t>
      </w:r>
    </w:p>
    <w:p>
      <w:pPr>
        <w:pStyle w:val="ListParagraph"/>
        <w:numPr>
          <w:ilvl w:val="0"/>
          <w:numId w:val="2"/>
        </w:numPr>
        <w:spacing w:after="0" w:before="0" w:line="480"/>
        <w:ind w:left="720" w:hanging="360"/>
        <w:jc w:val="both"/>
      </w:pP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sz w:val="24"/>
          <w:szCs w:val="24"/>
        </w:rPr>
        <w:t xml:space="preserve"> adalah kerangka teori yang digunakan untuk menganalisis hubungan kontrak antara prinsipal yang mendelegasikan wewenang pengelolaan anggaran dan agen yang melaksanakannya, dengan fokus pada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dalam konteks pelaksanaan Belanja Modal.</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w:t>
      </w:r>
    </w:p>
    <w:p>
      <w:pPr>
        <w:spacing w:after="0" w:before="0" w:line="480"/>
        <w:jc w:val="center"/>
      </w:pPr>
      <w:r>
        <w:rPr>
          <w:rFonts w:ascii="Times New Roman" w:cs="Times New Roman" w:eastAsia="Times New Roman" w:hAnsi="Times New Roman"/>
          <w:b/>
          <w:bCs/>
          <w:caps w:val="false"/>
          <w:sz w:val="24"/>
          <w:szCs w:val="24"/>
        </w:rP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Pembahasan disusun secara berjenjang. Sub-bab 2.1 Landasan Teori menguraikan lima pokok bahasan yang saling melengkapi, yaitu pelaksanaan anggaran belanja negara,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rFonts w:ascii="Times New Roman" w:cs="Times New Roman" w:eastAsia="Times New Roman" w:hAnsi="Times New Roman"/>
          <w:i/>
          <w:iCs/>
          <w:sz w:val="24"/>
          <w:szCs w:val="24"/>
        </w:rPr>
        <w:t xml:space="preserve">omnibus</w:t>
      </w:r>
      <w:r>
        <w:rPr>
          <w:rFonts w:ascii="Times New Roman" w:cs="Times New Roman" w:eastAsia="Times New Roman" w:hAnsi="Times New Roman"/>
          <w:sz w:val="24"/>
          <w:szCs w:val="24"/>
        </w:rPr>
        <w:t xml:space="preserve"> yang menyatukan pengaturan perencanaan, pelaksanaan, serta akuntansi dan pelaporan keuangan.</w:t>
      </w:r>
    </w:p>
    <w:p>
      <w:pPr>
        <w:spacing w:after="0" w:before="0" w:line="480"/>
        <w:ind w:firstLine="709"/>
        <w:jc w:val="both"/>
      </w:pPr>
      <w:r>
        <w:rPr>
          <w:rFonts w:ascii="Times New Roman" w:cs="Times New Roman" w:eastAsia="Times New Roman" w:hAnsi="Times New Roman"/>
          <w:sz w:val="24"/>
          <w:szCs w:val="24"/>
        </w:rPr>
        <w:t xml:space="preserve">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mekanisme tersebut diperkaya dengan tahapan pemilihan penyedia yang mengikuti Peraturan Presiden Nomor 16 Tahun 2018 sebagaimana telah diubah dengan Peraturan Presiden Nomor 12 Tahun 2021 tentang Pengadaan Barang/Jasa Pemerintah. Dengan demikian,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w:t>
      </w:r>
      <w:r>
        <w:rPr>
          <w:rFonts w:ascii="Times New Roman" w:cs="Times New Roman" w:eastAsia="Times New Roman" w:hAnsi="Times New Roman"/>
          <w:b/>
          <w:bCs/>
          <w:sz w:val="24"/>
          <w:szCs w:val="24"/>
        </w:rPr>
        <w:t xml:space="preserve">digunakan</w:t>
      </w:r>
      <w:r>
        <w:rPr>
          <w:rFonts w:ascii="Times New Roman" w:cs="Times New Roman" w:eastAsia="Times New Roman" w:hAnsi="Times New Roman"/>
          <w:sz w:val="24"/>
          <w:szCs w:val="24"/>
        </w:rPr>
        <w:t xml:space="preserve"> untuk merealisasikan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dapat direalisasikan.</w:t>
      </w:r>
    </w:p>
    <w:p>
      <w:pPr>
        <w:spacing w:after="0" w:before="0" w:line="480"/>
        <w:ind w:firstLine="709"/>
        <w:jc w:val="both"/>
      </w:pPr>
      <w:r>
        <w:rPr>
          <w:rFonts w:ascii="Times New Roman" w:cs="Times New Roman" w:eastAsia="Times New Roman" w:hAnsi="Times New Roman"/>
          <w:sz w:val="24"/>
          <w:szCs w:val="24"/>
        </w:rPr>
        <w:t xml:space="preserve">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w:t>
      </w:r>
      <w:r>
        <w:rPr>
          <w:rFonts w:ascii="Times New Roman" w:cs="Times New Roman" w:eastAsia="Times New Roman" w:hAnsi="Times New Roman"/>
          <w:b/>
          <w:bCs/>
          <w:sz w:val="24"/>
          <w:szCs w:val="24"/>
        </w:rPr>
        <w:t xml:space="preserve">lebih kerap terjadi</w:t>
      </w:r>
      <w:r>
        <w:rPr>
          <w:rFonts w:ascii="Times New Roman" w:cs="Times New Roman" w:eastAsia="Times New Roman" w:hAnsi="Times New Roman"/>
          <w:sz w:val="24"/>
          <w:szCs w:val="24"/>
        </w:rPr>
        <w:t xml:space="preserve">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menuntut kompetensi teknis dalam menyusun spesifikasi, harga perkiraan sendiri, dan dokumen kontrak. Manangin et al. (2023) menegaskan bahwa kompetensi pengelola keuangan dan pejabat pengadaan merupakan faktor penentu kualitas pelaksanaan anggaran.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w:t>
      </w:r>
      <w:r>
        <w:rPr>
          <w:rFonts w:ascii="Times New Roman" w:cs="Times New Roman" w:eastAsia="Times New Roman" w:hAnsi="Times New Roman"/>
          <w:b/>
          <w:bCs/>
          <w:sz w:val="24"/>
          <w:szCs w:val="24"/>
        </w:rPr>
        <w:t xml:space="preserve">berpotensi menggeser</w:t>
      </w:r>
      <w:r>
        <w:rPr>
          <w:rFonts w:ascii="Times New Roman" w:cs="Times New Roman" w:eastAsia="Times New Roman" w:hAnsi="Times New Roman"/>
          <w:sz w:val="24"/>
          <w:szCs w:val="24"/>
        </w:rPr>
        <w:t xml:space="preserve">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ketergantungan pada progres fisik penyedia dan kondisi lapangan menjadikan jadwal termin pembayaran </w:t>
      </w:r>
      <w:r>
        <w:rPr>
          <w:rFonts w:ascii="Times New Roman" w:cs="Times New Roman" w:eastAsia="Times New Roman" w:hAnsi="Times New Roman"/>
          <w:b/>
          <w:bCs/>
          <w:sz w:val="24"/>
          <w:szCs w:val="24"/>
        </w:rPr>
        <w:t xml:space="preserve">rentan mengalami pergeseran</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w:t>
      </w:r>
      <w:r>
        <w:rPr>
          <w:rFonts w:ascii="Times New Roman" w:cs="Times New Roman" w:eastAsia="Times New Roman" w:hAnsi="Times New Roman"/>
          <w:b/>
          <w:bCs/>
          <w:sz w:val="24"/>
          <w:szCs w:val="24"/>
        </w:rPr>
        <w:t xml:space="preserve">diduga berisiko lebih tinggi</w:t>
      </w:r>
      <w:r>
        <w:rPr>
          <w:rFonts w:ascii="Times New Roman" w:cs="Times New Roman" w:eastAsia="Times New Roman" w:hAnsi="Times New Roman"/>
          <w:sz w:val="24"/>
          <w:szCs w:val="24"/>
        </w:rPr>
        <w:t xml:space="preserve">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2.1.4 *Agency Theory*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kontrakual antara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(prinsipal) sebagai pihak yang mendelegasikan wewenang dan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rFonts w:ascii="Times New Roman" w:cs="Times New Roman" w:eastAsia="Times New Roman" w:hAnsi="Times New Roman"/>
          <w:i/>
          <w:iCs/>
          <w:sz w:val="24"/>
          <w:szCs w:val="24"/>
        </w:rPr>
        <w:t xml:space="preserve">asimetri informasi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asymmetric information</w:t>
      </w:r>
      <w:r>
        <w:rPr>
          <w:rFonts w:ascii="Times New Roman" w:cs="Times New Roman" w:eastAsia="Times New Roman" w:hAnsi="Times New Roman"/>
          <w:sz w:val="24"/>
          <w:szCs w:val="24"/>
        </w:rPr>
        <w:t xml:space="preserve">),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et al.,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Nugroho et al. (2023) mengkaji hubungan antara akurasi RPD dengan nilai IKPA total melalui studi kasus pada 20 satuan kerja di Jawa Tengah dengan pendekatan kuantitatif-kualitatif, dan menemukan korelasi positif yang signifikan. Akurasi RPD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yang menjadi justifikasi akademis penelitian ini. Pertama, dari sisi objek, belum terdapat studi yang secara khusus mengkaji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Mempengaruhi Pencapaian Nilai IKPA Satuan Kerja di Lingkup KPPN Manado</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158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158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pPr>
        <w:spacing w:after="0" w:before="0" w:line="480"/>
        <w:ind w:firstLine="709"/>
        <w:jc w:val="both"/>
      </w:pPr>
      <w:r>
        <w:rPr>
          <w:rFonts w:ascii="Times New Roman" w:cs="Times New Roman" w:eastAsia="Times New Roman" w:hAnsi="Times New Roman"/>
          <w:sz w:val="24"/>
          <w:szCs w:val="24"/>
        </w:rPr>
        <w:t xml:space="preserve">Pertama, kepatuhan terhadap regulasi pelaksanaan anggaran yang diatur dalam PMK 62/2023 </w:t>
      </w:r>
      <w:r>
        <w:rPr>
          <w:rFonts w:ascii="Times New Roman" w:cs="Times New Roman" w:eastAsia="Times New Roman" w:hAnsi="Times New Roman"/>
          <w:b/>
          <w:bCs/>
          <w:sz w:val="24"/>
          <w:szCs w:val="24"/>
        </w:rPr>
        <w:t xml:space="preserve">diduga memperkuat</w:t>
      </w:r>
      <w:r>
        <w:rPr>
          <w:rFonts w:ascii="Times New Roman" w:cs="Times New Roman" w:eastAsia="Times New Roman" w:hAnsi="Times New Roman"/>
          <w:sz w:val="24"/>
          <w:szCs w:val="24"/>
        </w:rPr>
        <w:t xml:space="preserve"> kualitas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satuan kerja. Kepatuhan terhadap mekanisme perencanaan (RPD Halaman III DIPA), pelaksanaan (pengadaan, kontrak, BAST), dan pelaporan (SPP–SPM–SP2D) yang ditetapkan regulasi </w:t>
      </w:r>
      <w:r>
        <w:rPr>
          <w:rFonts w:ascii="Times New Roman" w:cs="Times New Roman" w:eastAsia="Times New Roman" w:hAnsi="Times New Roman"/>
          <w:b/>
          <w:bCs/>
          <w:sz w:val="24"/>
          <w:szCs w:val="24"/>
        </w:rPr>
        <w:t xml:space="preserve">diperkirakan menurunkan</w:t>
      </w:r>
      <w:r>
        <w:rPr>
          <w:rFonts w:ascii="Times New Roman" w:cs="Times New Roman" w:eastAsia="Times New Roman" w:hAnsi="Times New Roman"/>
          <w:sz w:val="24"/>
          <w:szCs w:val="24"/>
        </w:rPr>
        <w:t xml:space="preserve">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w:t>
      </w:r>
      <w:r>
        <w:rPr>
          <w:rFonts w:ascii="Times New Roman" w:cs="Times New Roman" w:eastAsia="Times New Roman" w:hAnsi="Times New Roman"/>
          <w:b/>
          <w:bCs/>
          <w:sz w:val="24"/>
          <w:szCs w:val="24"/>
        </w:rPr>
        <w:t xml:space="preserve">berperan dalam terbentuknya</w:t>
      </w:r>
      <w:r>
        <w:rPr>
          <w:rFonts w:ascii="Times New Roman" w:cs="Times New Roman" w:eastAsia="Times New Roman" w:hAnsi="Times New Roman"/>
          <w:sz w:val="24"/>
          <w:szCs w:val="24"/>
        </w:rPr>
        <w:t xml:space="preserve">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diduga menurunkan</w:t>
      </w:r>
      <w:r>
        <w:rPr>
          <w:rFonts w:ascii="Times New Roman" w:cs="Times New Roman" w:eastAsia="Times New Roman" w:hAnsi="Times New Roman"/>
          <w:sz w:val="24"/>
          <w:szCs w:val="24"/>
        </w:rPr>
        <w:t xml:space="preserve"> nilai Indikator Kinerja Pelaksanaan Anggaran (IKPA) satuan kerja, yang selanjutnya </w:t>
      </w:r>
      <w:r>
        <w:rPr>
          <w:rFonts w:ascii="Times New Roman" w:cs="Times New Roman" w:eastAsia="Times New Roman" w:hAnsi="Times New Roman"/>
          <w:b/>
          <w:bCs/>
          <w:sz w:val="24"/>
          <w:szCs w:val="24"/>
        </w:rPr>
        <w:t xml:space="preserve">memperkuat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monitoring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dan kerugian sisa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serta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Kerangka pemikiran pada penelitian ini disusun untuk mengintegrasikan konteks regulasi,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fenomena deviasi, dampak terhadap IKPA, serta 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ke dalam alur logis yang menjawab ketiga rumusan masalah. Secara naratif, kerangka tersebut dapat digambarkan sebagai berikut:</w:t>
      </w:r>
    </w:p>
    <w:p>
      <w:pPr>
        <w:spacing w:after="0" w:before="0" w:line="480"/>
        <w:ind w:firstLine="709"/>
        <w:jc w:val="both"/>
      </w:pPr>
      <w:r>
        <w:rPr>
          <w:rFonts w:ascii="Times New Roman" w:cs="Times New Roman" w:eastAsia="Times New Roman" w:hAnsi="Times New Roman"/>
          <w:b/>
          <w:bCs/>
          <w:sz w:val="24"/>
          <w:szCs w:val="24"/>
        </w:rPr>
        <w:t xml:space="preserve">Input (Konteks &amp; Regulasi):</w:t>
      </w:r>
      <w:r>
        <w:rPr>
          <w:rFonts w:ascii="Times New Roman" w:cs="Times New Roman" w:eastAsia="Times New Roman" w:hAnsi="Times New Roman"/>
          <w:sz w:val="24"/>
          <w:szCs w:val="24"/>
        </w:rPr>
        <w:t xml:space="preserve"> Kerangka dimulai dari fondasi regulasi yang mengatur pengelolaan keuangan negara (UU 17/2003, UU 1/2004), tata cara pelaksanaan anggaran (PMK 62/2023, PP 50/2018), pengadaan barang/jasa (Perpres 16/2018 jo. Perpres 12/2021), serta evaluasi kinerja (PER-5/PB/2024). Konteks spesifik objek penelitian—Rudenim Pontianak sebagai UPT di bawah Direktorat Jenderal Imigrasi dengan karakteristik wilayah perbatasan, dominasi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(60–70% pagu TA 2025), dan transisi kelembagaan TA 2025—menjadi </w:t>
      </w:r>
      <w:r>
        <w:rPr>
          <w:rFonts w:ascii="Times New Roman" w:cs="Times New Roman" w:eastAsia="Times New Roman" w:hAnsi="Times New Roman"/>
          <w:i/>
          <w:iCs/>
          <w:sz w:val="24"/>
          <w:szCs w:val="24"/>
        </w:rPr>
        <w:t xml:space="preserve">boundary condition</w:t>
      </w:r>
      <w:r>
        <w:rPr>
          <w:rFonts w:ascii="Times New Roman" w:cs="Times New Roman" w:eastAsia="Times New Roman" w:hAnsi="Times New Roman"/>
          <w:sz w:val="24"/>
          <w:szCs w:val="24"/>
        </w:rPr>
        <w:t xml:space="preserve"> yang memengaruhi dinamika pelaksanaan anggaran.</w:t>
      </w:r>
    </w:p>
    <w:p>
      <w:pPr>
        <w:spacing w:after="0" w:before="0" w:line="480"/>
        <w:ind w:firstLine="709"/>
        <w:jc w:val="both"/>
      </w:pPr>
      <w:r>
        <w:rPr>
          <w:rFonts w:ascii="Times New Roman" w:cs="Times New Roman" w:eastAsia="Times New Roman" w:hAnsi="Times New Roman"/>
          <w:b/>
          <w:bCs/>
          <w:sz w:val="24"/>
          <w:szCs w:val="24"/>
        </w:rPr>
        <w:t xml:space="preserve">Proses (Pelaksanaan Belanja Modal &amp; Titik Kritis):</w:t>
      </w:r>
      <w:r>
        <w:rPr>
          <w:rFonts w:ascii="Times New Roman" w:cs="Times New Roman" w:eastAsia="Times New Roman" w:hAnsi="Times New Roman"/>
          <w:sz w:val="24"/>
          <w:szCs w:val="24"/>
        </w:rPr>
        <w:t xml:space="preserve">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dibagi menjadi tiga fase utama berdasarkan PMK 62/2023 yang disesuaikan dengan siklus pengadaan: (1) Fase Perencanaan (penyusunan RKA-K/L, RPD Halaman III), (2) Fase Penyusunan Dokumen Pelaksanaan (pemilihan penyedia, penetapan kontrak, penetapan termin), dan (3) Fase Pelaksanaan Operasional (progres fisik, BAST, SPP-SPM-SP2D). Pada setiap fase, diidentifikasi </w:t>
      </w:r>
      <w:r>
        <w:rPr>
          <w:rFonts w:ascii="Times New Roman" w:cs="Times New Roman" w:eastAsia="Times New Roman" w:hAnsi="Times New Roman"/>
          <w:i/>
          <w:iCs/>
          <w:sz w:val="24"/>
          <w:szCs w:val="24"/>
        </w:rPr>
        <w:t xml:space="preserve">titik kritis deviasi</w:t>
      </w:r>
      <w:r>
        <w:rPr>
          <w:rFonts w:ascii="Times New Roman" w:cs="Times New Roman" w:eastAsia="Times New Roman" w:hAnsi="Times New Roman"/>
          <w:sz w:val="24"/>
          <w:szCs w:val="24"/>
        </w:rPr>
        <w:t xml:space="preserve"> (seperti ketidakakuratan estimasi harga, asumsi waktu pengadaan optimistik,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verifikasi, keterlambatan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kendala sistem) yang menjadi fokus eksplorasi untuk menjawab RM 1 dan RM 2.</w:t>
      </w:r>
    </w:p>
    <w:p>
      <w:pPr>
        <w:spacing w:after="0" w:before="0" w:line="480"/>
        <w:ind w:firstLine="709"/>
        <w:jc w:val="both"/>
      </w:pPr>
      <w:r>
        <w:rPr>
          <w:rFonts w:ascii="Times New Roman" w:cs="Times New Roman" w:eastAsia="Times New Roman" w:hAnsi="Times New Roman"/>
          <w:b/>
          <w:bCs/>
          <w:sz w:val="24"/>
          <w:szCs w:val="24"/>
        </w:rPr>
        <w:t xml:space="preserve">Output (Deviasi Halaman III DIPA):</w:t>
      </w:r>
      <w:r>
        <w:rPr>
          <w:rFonts w:ascii="Times New Roman" w:cs="Times New Roman" w:eastAsia="Times New Roman" w:hAnsi="Times New Roman"/>
          <w:sz w:val="24"/>
          <w:szCs w:val="24"/>
        </w:rPr>
        <w:t xml:space="preserve"> Interaksi antara input regulasi, konteks organisasi, dan proses pelaksanaan menghasilkan output berupa deviasi antara RPD dan realisasi yang diukur melalui indikator Deviasi Halaman III DIPA IKPA. Arah deviasi (utama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dan pola temporalnya (bulan kritis, tren TA 2023–2025) menjadi deskripsi fenomenon yang menjawab RM 1.</w:t>
      </w:r>
    </w:p>
    <w:p>
      <w:pPr>
        <w:spacing w:after="0" w:before="0" w:line="480"/>
        <w:ind w:firstLine="709"/>
        <w:jc w:val="both"/>
      </w:pPr>
      <w:r>
        <w:rPr>
          <w:rFonts w:ascii="Times New Roman" w:cs="Times New Roman" w:eastAsia="Times New Roman" w:hAnsi="Times New Roman"/>
          <w:b/>
          <w:bCs/>
          <w:sz w:val="24"/>
          <w:szCs w:val="24"/>
        </w:rPr>
        <w:t xml:space="preserve">Outcome (Dampak IKPA &amp; *Agency Cost*):</w:t>
      </w:r>
      <w:r>
        <w:rPr>
          <w:rFonts w:ascii="Times New Roman" w:cs="Times New Roman" w:eastAsia="Times New Roman" w:hAnsi="Times New Roman"/>
          <w:sz w:val="24"/>
          <w:szCs w:val="24"/>
        </w:rPr>
        <w:t xml:space="preserve"> Deviasi yang berkelanjutan menurunkan skor IKPA (khususnya indikator Deviasi Halaman III DIPA), memicu pembinaan ketat KPPN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membatasi fleksibilitas pencairan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dan melemah akuntabilitas pengelolaan anggaran. Analisis </w:t>
      </w:r>
      <w:r>
        <w:rPr>
          <w:rFonts w:ascii="Times New Roman" w:cs="Times New Roman" w:eastAsia="Times New Roman" w:hAnsi="Times New Roman"/>
          <w:i/>
          <w:iCs/>
          <w:sz w:val="24"/>
          <w:szCs w:val="24"/>
        </w:rPr>
        <w:t xml:space="preserve">outcome</w:t>
      </w:r>
      <w:r>
        <w:rPr>
          <w:rFonts w:ascii="Times New Roman" w:cs="Times New Roman" w:eastAsia="Times New Roman" w:hAnsi="Times New Roman"/>
          <w:sz w:val="24"/>
          <w:szCs w:val="24"/>
        </w:rPr>
        <w:t xml:space="preserve"> ini menggunakan lensa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penyedia, rantai keagenan berlapis) untuk menjawab RM 3.</w:t>
      </w:r>
    </w:p>
    <w:p>
      <w:pPr>
        <w:spacing w:after="0" w:before="0" w:line="480"/>
        <w:ind w:firstLine="709"/>
        <w:jc w:val="both"/>
      </w:pPr>
      <w:r>
        <w:rPr>
          <w:rFonts w:ascii="Times New Roman" w:cs="Times New Roman" w:eastAsia="Times New Roman" w:hAnsi="Times New Roman"/>
          <w:b/>
          <w:bCs/>
          <w:sz w:val="24"/>
          <w:szCs w:val="24"/>
        </w:rPr>
        <w:t xml:space="preserve">Lensa Analisis: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diterapkan secara menyeluruh untuk memetakan hubungan </w:t>
      </w:r>
      <w:r>
        <w:rPr>
          <w:rFonts w:ascii="Times New Roman" w:cs="Times New Roman" w:eastAsia="Times New Roman" w:hAnsi="Times New Roman"/>
          <w:i/>
          <w:iCs/>
          <w:sz w:val="24"/>
          <w:szCs w:val="24"/>
        </w:rPr>
        <w:t xml:space="preserve">principal-agent</w:t>
      </w:r>
      <w:r>
        <w:rPr>
          <w:rFonts w:ascii="Times New Roman" w:cs="Times New Roman" w:eastAsia="Times New Roman" w:hAnsi="Times New Roman"/>
          <w:sz w:val="24"/>
          <w:szCs w:val="24"/>
        </w:rPr>
        <w:t xml:space="preserve"> pada setiap lapisan (Rakyat → DPR/Pemerintah → Kemenkeu/DJ Pb → Kanwil/KPPN → Rudenim/KPA/PPK → Penyedia) serta menginterpretasikan deviasi bukan sekadar kesalahan teknis, melainkan manifestasi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yang memerlukan respons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melalui IKPA.</w:t>
      </w:r>
    </w:p>
    <w:p>
      <w:pPr>
        <w:spacing w:after="0" w:before="0" w:line="480"/>
        <w:ind w:firstLine="709"/>
        <w:jc w:val="both"/>
      </w:pPr>
      <w:r>
        <w:rPr>
          <w:rFonts w:ascii="Times New Roman" w:cs="Times New Roman" w:eastAsia="Times New Roman" w:hAnsi="Times New Roman"/>
          <w:sz w:val="24"/>
          <w:szCs w:val="24"/>
        </w:rPr>
        <w:t xml:space="preserve">Kerangka ini divisualisasikan pada Gambar 2.1 yang memetakan alur dari Input → Proses (Fase &amp; Titik Kritis) → Output (Deviasi) → Outcome (IKPA,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analytical lens</w:t>
      </w:r>
      <w:r>
        <w:rPr>
          <w:rFonts w:ascii="Times New Roman" w:cs="Times New Roman" w:eastAsia="Times New Roman" w:hAnsi="Times New Roman"/>
          <w:sz w:val="24"/>
          <w:szCs w:val="24"/>
        </w:rPr>
        <w:t xml:space="preserve"> yang mengawasi seluruh alur.</w:t>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III</w:t>
      </w:r>
    </w:p>
    <w:p>
      <w:pPr>
        <w:spacing w:after="0" w:before="0" w:line="480"/>
        <w:jc w:val="center"/>
      </w:pPr>
      <w:r>
        <w:rPr>
          <w:rFonts w:ascii="Times New Roman" w:cs="Times New Roman" w:eastAsia="Times New Roman" w:hAnsi="Times New Roman"/>
          <w:b/>
          <w:bCs/>
          <w:caps w:val="false"/>
          <w:sz w:val="24"/>
          <w:szCs w:val="24"/>
        </w:rP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dengan jenis penelitian </w:t>
      </w:r>
      <w:r>
        <w:rPr>
          <w:rFonts w:ascii="Times New Roman" w:cs="Times New Roman" w:eastAsia="Times New Roman" w:hAnsi="Times New Roman"/>
          <w:i/>
          <w:iCs/>
          <w:sz w:val="24"/>
          <w:szCs w:val="24"/>
        </w:rPr>
        <w:t xml:space="preserve">deskriptif</w:t>
      </w:r>
      <w:r>
        <w:rPr>
          <w:rFonts w:ascii="Times New Roman" w:cs="Times New Roman" w:eastAsia="Times New Roman" w:hAnsi="Times New Roman"/>
          <w:sz w:val="24"/>
          <w:szCs w:val="24"/>
        </w:rPr>
        <w:t xml:space="preserve">. Creswell (2014, hlm. 4) mendefinisikan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w:t>
      </w:r>
      <w:r>
        <w:rPr>
          <w:rFonts w:ascii="Times New Roman" w:cs="Times New Roman" w:eastAsia="Times New Roman" w:hAnsi="Times New Roman"/>
          <w:i/>
          <w:iCs/>
          <w:sz w:val="24"/>
          <w:szCs w:val="24"/>
        </w:rPr>
        <w:t xml:space="preserve">kualitatif deskriptif</w:t>
      </w:r>
      <w:r>
        <w:rPr>
          <w:rFonts w:ascii="Times New Roman" w:cs="Times New Roman" w:eastAsia="Times New Roman" w:hAnsi="Times New Roman"/>
          <w:sz w:val="24"/>
          <w:szCs w:val="24"/>
        </w:rPr>
        <w:t xml:space="preserve"> memungkinkan peneliti memahami secara mendalam bagaimana para pengelola anggaran Rudenim Pontianak melaksanakan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mulai dari perencanaan hingga pencairan, apa yang terjadi saat rencana </w:t>
      </w:r>
      <w:r>
        <w:rPr>
          <w:rFonts w:ascii="Times New Roman" w:cs="Times New Roman" w:eastAsia="Times New Roman" w:hAnsi="Times New Roman"/>
          <w:b/>
          <w:bCs/>
          <w:sz w:val="24"/>
          <w:szCs w:val="24"/>
        </w:rPr>
        <w:t xml:space="preserve">tidak selaras dengan realitas operasional</w:t>
      </w:r>
      <w:r>
        <w:rPr>
          <w:rFonts w:ascii="Times New Roman" w:cs="Times New Roman" w:eastAsia="Times New Roman" w:hAnsi="Times New Roman"/>
          <w:sz w:val="24"/>
          <w:szCs w:val="24"/>
        </w:rPr>
        <w:t xml:space="preserve">,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didasarkan pada karakter ketiga rumusan masalah yang hendak dijawab. RM 1 mengarahkan pada pertanyaan deskriptif tentang 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rFonts w:ascii="Times New Roman" w:cs="Times New Roman" w:eastAsia="Times New Roman" w:hAnsi="Times New Roman"/>
          <w:i/>
          <w:iCs/>
          <w:sz w:val="24"/>
          <w:szCs w:val="24"/>
        </w:rPr>
        <w:t xml:space="preserve">single case study</w:t>
      </w:r>
      <w:r>
        <w:rPr>
          <w:rFonts w:ascii="Times New Roman" w:cs="Times New Roman" w:eastAsia="Times New Roman" w:hAnsi="Times New Roman"/>
          <w:sz w:val="24"/>
          <w:szCs w:val="24"/>
        </w:rPr>
        <w:t xml:space="preserve">)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b/>
          <w:bCs/>
          <w:sz w:val="24"/>
          <w:szCs w:val="24"/>
        </w:rPr>
        <w:t xml:space="preserve">Populasi Penelitian</w:t>
      </w:r>
      <w:r>
        <w:rPr>
          <w:rFonts w:ascii="Times New Roman" w:cs="Times New Roman" w:eastAsia="Times New Roman" w:hAnsi="Times New Roman"/>
          <w:sz w:val="24"/>
          <w:szCs w:val="24"/>
        </w:rPr>
        <w:t xml:space="preserve"> dalam studi ini adalah seluruh pejabat struktural dan fungsional yang terlibat langsung dalam siklus perencanaan, pengadaan, pelaksanaan, pencairan, dan pengendalian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 Rudenim Pontianak selama periode Tahun Anggaran 2023–2025, serta seluruh arsip dokumen pelaksanaan anggaran periode tersebut.</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w:t>
      </w:r>
      <w:r>
        <w:rPr>
          <w:rFonts w:ascii="Times New Roman" w:cs="Times New Roman" w:eastAsia="Times New Roman" w:hAnsi="Times New Roman"/>
          <w:b/>
          <w:bCs/>
          <w:sz w:val="24"/>
          <w:szCs w:val="24"/>
        </w:rPr>
        <w:t xml:space="preserve">memadai</w:t>
      </w:r>
      <w:r>
        <w:rPr>
          <w:rFonts w:ascii="Times New Roman" w:cs="Times New Roman" w:eastAsia="Times New Roman" w:hAnsi="Times New Roman"/>
          <w:sz w:val="24"/>
          <w:szCs w:val="24"/>
        </w:rPr>
        <w:t xml:space="preserve">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secara khusus relevan dengan fokus penelitian pada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Rudenim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 Jumlah informan ini </w:t>
      </w:r>
      <w:r>
        <w:rPr>
          <w:rFonts w:ascii="Times New Roman" w:cs="Times New Roman" w:eastAsia="Times New Roman" w:hAnsi="Times New Roman"/>
          <w:b/>
          <w:bCs/>
          <w:sz w:val="24"/>
          <w:szCs w:val="24"/>
        </w:rPr>
        <w:t xml:space="preserve">dijustifikasikan</w:t>
      </w:r>
      <w:r>
        <w:rPr>
          <w:rFonts w:ascii="Times New Roman" w:cs="Times New Roman" w:eastAsia="Times New Roman" w:hAnsi="Times New Roman"/>
          <w:sz w:val="24"/>
          <w:szCs w:val="24"/>
        </w:rPr>
        <w:t xml:space="preserve"> dengan pertimbangan </w:t>
      </w:r>
      <w:r>
        <w:rPr>
          <w:rFonts w:ascii="Times New Roman" w:cs="Times New Roman" w:eastAsia="Times New Roman" w:hAnsi="Times New Roman"/>
          <w:i/>
          <w:iCs/>
          <w:sz w:val="24"/>
          <w:szCs w:val="24"/>
        </w:rPr>
        <w:t xml:space="preserve">non-redundancy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information power</w:t>
      </w:r>
      <w:r>
        <w:rPr>
          <w:rFonts w:ascii="Times New Roman" w:cs="Times New Roman" w:eastAsia="Times New Roman" w:hAnsi="Times New Roman"/>
          <w:sz w:val="24"/>
          <w:szCs w:val="24"/>
        </w:rPr>
        <w:t xml:space="preserve"> (Malterud et al., 2016; dalam Patton, 2015): keenam informan mewakili </w:t>
      </w:r>
      <w:r>
        <w:rPr>
          <w:rFonts w:ascii="Times New Roman" w:cs="Times New Roman" w:eastAsia="Times New Roman" w:hAnsi="Times New Roman"/>
          <w:i/>
          <w:iCs/>
          <w:sz w:val="24"/>
          <w:szCs w:val="24"/>
        </w:rPr>
        <w:t xml:space="preserve">full chain</w:t>
      </w:r>
      <w:r>
        <w:rPr>
          <w:rFonts w:ascii="Times New Roman" w:cs="Times New Roman" w:eastAsia="Times New Roman" w:hAnsi="Times New Roman"/>
          <w:sz w:val="24"/>
          <w:szCs w:val="24"/>
        </w:rPr>
        <w:t xml:space="preserve"> perencanaan–pengadaan–pelaksanaan–pencairan–pengendalian tanpa tumpang tindih peran (</w:t>
      </w:r>
      <w:r>
        <w:rPr>
          <w:rFonts w:ascii="Times New Roman" w:cs="Times New Roman" w:eastAsia="Times New Roman" w:hAnsi="Times New Roman"/>
          <w:i/>
          <w:iCs/>
          <w:sz w:val="24"/>
          <w:szCs w:val="24"/>
        </w:rPr>
        <w:t xml:space="preserve">non-redundant key informants</w:t>
      </w:r>
      <w:r>
        <w:rPr>
          <w:rFonts w:ascii="Times New Roman" w:cs="Times New Roman" w:eastAsia="Times New Roman" w:hAnsi="Times New Roman"/>
          <w:sz w:val="24"/>
          <w:szCs w:val="24"/>
        </w:rPr>
        <w:t xml:space="preserve">), sehingga mencakup seluruh rentang proses yang relevan untuk menjawab ketiga RM.</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KPA</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PPK</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PPSPM</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BPG</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SRKA</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PBJ</w:t>
            </w:r>
          </w:p>
        </w:tc>
        <w:tc>
          <w:tcPr>
            <w:tcW w:type="dxa" w:w="26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264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tiga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b/>
          <w:bCs/>
          <w:sz w:val="24"/>
          <w:szCs w:val="24"/>
        </w:rPr>
        <w:t xml:space="preserve">Validitas Instrumen Wawancara.</w:t>
      </w:r>
      <w:r>
        <w:rPr>
          <w:rFonts w:ascii="Times New Roman" w:cs="Times New Roman" w:eastAsia="Times New Roman" w:hAnsi="Times New Roman"/>
          <w:sz w:val="24"/>
          <w:szCs w:val="24"/>
        </w:rPr>
        <w:t xml:space="preserve"> Pedoman wawancara (</w:t>
      </w:r>
      <w:r>
        <w:rPr>
          <w:rFonts w:ascii="Times New Roman" w:cs="Times New Roman" w:eastAsia="Times New Roman" w:hAnsi="Times New Roman"/>
          <w:i/>
          <w:iCs/>
          <w:sz w:val="24"/>
          <w:szCs w:val="24"/>
        </w:rPr>
        <w:t xml:space="preserve">interview guide</w:t>
      </w:r>
      <w:r>
        <w:rPr>
          <w:rFonts w:ascii="Times New Roman" w:cs="Times New Roman" w:eastAsia="Times New Roman" w:hAnsi="Times New Roman"/>
          <w:sz w:val="24"/>
          <w:szCs w:val="24"/>
        </w:rPr>
        <w:t xml:space="preserve">) yang telah disusun berdasarkan matriks operasionalisasi konsep (Tabel 3.3) divalidasi melalui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oleh kedua dosen pembimbing sebelum turun ke lapangan. Selanjutnya dilakukan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(uji coba) terhadap satu pejabat non-target (misalnya staf pengelola keuangan di Kanwil DJPb Kalimantan Barat) untuk menguji kelogisan alur pertanyaan, kejelasan bahasa, dan estimasi durasi. Hasil revisi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menjadi pedoman final yang digunakan.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Protokol observasi (</w:t>
      </w:r>
      <w:r>
        <w:rPr>
          <w:rFonts w:ascii="Times New Roman" w:cs="Times New Roman" w:eastAsia="Times New Roman" w:hAnsi="Times New Roman"/>
          <w:i/>
          <w:iCs/>
          <w:sz w:val="24"/>
          <w:szCs w:val="24"/>
        </w:rPr>
        <w:t xml:space="preserve">observation guide/checklist</w:t>
      </w:r>
      <w:r>
        <w:rPr>
          <w:rFonts w:ascii="Times New Roman" w:cs="Times New Roman" w:eastAsia="Times New Roman" w:hAnsi="Times New Roman"/>
          <w:sz w:val="24"/>
          <w:szCs w:val="24"/>
        </w:rPr>
        <w:t xml:space="preserve">) telah disiapkan merujuk pada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analisis (Gambar 3.1) untuk memastikan fokus pada titik-titik kritis deviasi (Lampiran 2).</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w:t>
      </w:r>
      <w:r>
        <w:rPr>
          <w:rFonts w:ascii="Times New Roman" w:cs="Times New Roman" w:eastAsia="Times New Roman" w:hAnsi="Times New Roman"/>
          <w:i/>
          <w:iCs/>
          <w:sz w:val="24"/>
          <w:szCs w:val="24"/>
        </w:rPr>
        <w:t xml:space="preserve">Framework Analysis</w:t>
      </w:r>
      <w:r>
        <w:rPr>
          <w:rFonts w:ascii="Times New Roman" w:cs="Times New Roman" w:eastAsia="Times New Roman" w:hAnsi="Times New Roman"/>
          <w:sz w:val="24"/>
          <w:szCs w:val="24"/>
        </w:rPr>
        <w:t xml:space="preserve"> (Analisis Tematik Deduktif) sebagai prosedur analisis data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80" w:before="240" w:line="480"/>
        <w:jc w:val="center"/>
      </w:pPr>
      <w:r>
        <w:rPr>
          <w:rFonts w:ascii="Times New Roman" w:cs="Times New Roman" w:eastAsia="Times New Roman" w:hAnsi="Times New Roman"/>
          <w:i/>
          <w:iCs/>
          <w:sz w:val="24"/>
          <w:szCs w:val="24"/>
        </w:rPr>
        <w:t xml:space="preserve">Gambar 3.1 Alur Pelaksanaan Anggaran Belanja Modal</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w:t>
      </w:r>
      <w:r>
        <w:rPr>
          <w:rFonts w:ascii="Times New Roman" w:cs="Times New Roman" w:eastAsia="Times New Roman" w:hAnsi="Times New Roman"/>
          <w:b/>
          <w:bCs/>
          <w:sz w:val="24"/>
          <w:szCs w:val="24"/>
        </w:rPr>
        <w:t xml:space="preserve">secara substansial</w:t>
      </w:r>
      <w:r>
        <w:rPr>
          <w:rFonts w:ascii="Times New Roman" w:cs="Times New Roman" w:eastAsia="Times New Roman" w:hAnsi="Times New Roman"/>
          <w:sz w:val="24"/>
          <w:szCs w:val="24"/>
        </w:rPr>
        <w:t xml:space="preserve"> dari harga pasar aktual pada saat pelaksanaan pengadaan, sehingga memaksa revisi atau bahkan pembatalan paket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Selain itu, TOR dan RAB yang tidak cukup mendetail dalam spesifikasi teknis menimbulkan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Pada Fase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fase yang memiliki </w:t>
      </w:r>
      <w:r>
        <w:rPr>
          <w:rFonts w:ascii="Times New Roman" w:cs="Times New Roman" w:eastAsia="Times New Roman" w:hAnsi="Times New Roman"/>
          <w:b/>
          <w:bCs/>
          <w:sz w:val="24"/>
          <w:szCs w:val="24"/>
        </w:rPr>
        <w:t xml:space="preserve">jumlah titik kritis terbanyak</w:t>
      </w:r>
      <w:r>
        <w:rPr>
          <w:rFonts w:ascii="Times New Roman" w:cs="Times New Roman" w:eastAsia="Times New Roman" w:hAnsi="Times New Roman"/>
          <w:sz w:val="24"/>
          <w:szCs w:val="24"/>
        </w:rPr>
        <w:t xml:space="preserve">,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Data: Framework Analysis (Analisis Tematik Deduktif)</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b/>
          <w:bCs/>
          <w:sz w:val="24"/>
          <w:szCs w:val="24"/>
        </w:rPr>
        <w:t xml:space="preserve">Framework Analysis</w:t>
      </w:r>
      <w:r>
        <w:rPr>
          <w:rFonts w:ascii="Times New Roman" w:cs="Times New Roman" w:eastAsia="Times New Roman" w:hAnsi="Times New Roman"/>
          <w:sz w:val="24"/>
          <w:szCs w:val="24"/>
        </w:rPr>
        <w:t xml:space="preserve"> (Analisis Kerangka) yang dikembangkan dari model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Miles dan Huberman (1994, hlm. 10–12) dengan penekanan pada pendekatan deduktif (</w:t>
      </w:r>
      <w:r>
        <w:rPr>
          <w:rFonts w:ascii="Times New Roman" w:cs="Times New Roman" w:eastAsia="Times New Roman" w:hAnsi="Times New Roman"/>
          <w:i/>
          <w:iCs/>
          <w:sz w:val="24"/>
          <w:szCs w:val="24"/>
        </w:rPr>
        <w:t xml:space="preserve">deductive thematic analysis</w:t>
      </w:r>
      <w:r>
        <w:rPr>
          <w:rFonts w:ascii="Times New Roman" w:cs="Times New Roman" w:eastAsia="Times New Roman" w:hAnsi="Times New Roman"/>
          <w:sz w:val="24"/>
          <w:szCs w:val="24"/>
        </w:rPr>
        <w:t xml:space="preserve">). Model ini dipilih karena sesuai dengan karakter penelitian yang sudah memiliki kerangka konseptual dan proposisi awal (Bab 2.3 dan 2.4) berbasis teori (Agency Theory) dan regulasi (PMK 62/2023, Perpres 16/2018), sehingga analisis bukan bermula dari nol (</w:t>
      </w:r>
      <w:r>
        <w:rPr>
          <w:rFonts w:ascii="Times New Roman" w:cs="Times New Roman" w:eastAsia="Times New Roman" w:hAnsi="Times New Roman"/>
          <w:i/>
          <w:iCs/>
          <w:sz w:val="24"/>
          <w:szCs w:val="24"/>
        </w:rPr>
        <w:t xml:space="preserve">grounded theory</w:t>
      </w:r>
      <w:r>
        <w:rPr>
          <w:rFonts w:ascii="Times New Roman" w:cs="Times New Roman" w:eastAsia="Times New Roman" w:hAnsi="Times New Roman"/>
          <w:sz w:val="24"/>
          <w:szCs w:val="24"/>
        </w:rPr>
        <w:t xml:space="preserve">) melainkan menguji dan memperkaya kerangka yang ada (</w:t>
      </w:r>
      <w:r>
        <w:rPr>
          <w:rFonts w:ascii="Times New Roman" w:cs="Times New Roman" w:eastAsia="Times New Roman" w:hAnsi="Times New Roman"/>
          <w:i/>
          <w:iCs/>
          <w:sz w:val="24"/>
          <w:szCs w:val="24"/>
        </w:rPr>
        <w:t xml:space="preserve">theory-driven</w:t>
      </w:r>
      <w:r>
        <w:rPr>
          <w:rFonts w:ascii="Times New Roman" w:cs="Times New Roman" w:eastAsia="Times New Roman" w:hAnsi="Times New Roman"/>
          <w:sz w:val="24"/>
          <w:szCs w:val="24"/>
        </w:rPr>
        <w:t xml:space="preserve">). Proses analisis bersifat iteratif dan simultan: pengumpulan data, reduksi data, penyajian data, dan penarikan kesimpulan berlangsung dalam siklus yang saling mengisi.</w:t>
      </w:r>
    </w:p>
    <w:p>
      <w:pPr>
        <w:spacing w:after="0" w:before="0" w:line="480"/>
        <w:ind w:firstLine="709"/>
        <w:jc w:val="both"/>
      </w:pPr>
      <w:r>
        <w:rPr>
          <w:rFonts w:ascii="Times New Roman" w:cs="Times New Roman" w:eastAsia="Times New Roman" w:hAnsi="Times New Roman"/>
          <w:b/>
          <w:bCs/>
          <w:sz w:val="24"/>
          <w:szCs w:val="24"/>
        </w:rPr>
        <w:t xml:space="preserve">Tahap Pertama: Reduksi Data (*Data Reduction*).</w:t>
      </w:r>
      <w:r>
        <w:rPr>
          <w:rFonts w:ascii="Times New Roman" w:cs="Times New Roman" w:eastAsia="Times New Roman" w:hAnsi="Times New Roman"/>
          <w:sz w:val="24"/>
          <w:szCs w:val="24"/>
        </w:rPr>
        <w:t xml:space="preserve"> Reduksi dilaksanakan melalui transkripsi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rekaman wawancara, kemudian pengkodean bertahap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Awal (*Initial Coding* / *Open Coding*):</w:t>
      </w:r>
      <w:r>
        <w:rPr>
          <w:rFonts w:ascii="Times New Roman" w:cs="Times New Roman" w:eastAsia="Times New Roman" w:hAnsi="Times New Roman"/>
          <w:sz w:val="24"/>
          <w:szCs w:val="24"/>
        </w:rPr>
        <w:t xml:space="preserve"> Pemberian label pada unit makna dasar yang muncul dari data mentah (narasi informan, dokumen, catatan observasi).</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A Priori (*A Priori Coding* / *Axial Coding*):</w:t>
      </w:r>
      <w:r>
        <w:rPr>
          <w:rFonts w:ascii="Times New Roman" w:cs="Times New Roman" w:eastAsia="Times New Roman" w:hAnsi="Times New Roman"/>
          <w:sz w:val="24"/>
          <w:szCs w:val="24"/>
        </w:rPr>
        <w:t xml:space="preserve"> Pengelompokan kode-kode awal ke dalam kategori-kategori yang telah ditentukan sebelumnya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berdasarkan kerangka konseptual penelitian.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ini mencakup: (a) Lima faktor penyebab deviasi (Perencanaan, SDM, Administratif, Operasional/Pihak Ketiga, Teknis/Sistem) dari Sub-bab 2.1.3; (b) Konstruk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dari Sub-bab 2.1.4; (c) Fase alur pelaksanaan (Perencanaan, Penyusunan, Pelaksanaan) dan Titik Kritis dari Gambar 3.1; (d) Indikator IKPA (Deviasi Hal III, Penyerapan, Kontraktual, dsb) dari Sub-bab 2.1.5.</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Emergen (*Emergent Coding*):</w:t>
      </w:r>
      <w:r>
        <w:rPr>
          <w:rFonts w:ascii="Times New Roman" w:cs="Times New Roman" w:eastAsia="Times New Roman" w:hAnsi="Times New Roman"/>
          <w:sz w:val="24"/>
          <w:szCs w:val="24"/>
        </w:rPr>
        <w:t xml:space="preserve"> Identifikasi kode-kode baru yang muncul dari data dan tidak tercakup dalam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(misalnya: dampak transisi kelembagaan TA 2025, budaya organisasi, tekanan politik anggaran).</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Tematik Inti (*Selective/Theme Coding*):</w:t>
      </w:r>
      <w:r>
        <w:rPr>
          <w:rFonts w:ascii="Times New Roman" w:cs="Times New Roman" w:eastAsia="Times New Roman" w:hAnsi="Times New Roman"/>
          <w:sz w:val="24"/>
          <w:szCs w:val="24"/>
        </w:rPr>
        <w:t xml:space="preserve"> Penyortiran dan integrasi kategori untuk mengidentifikasi tema-tema inti yang menjawab langsung ketiga RM.</w:t>
      </w:r>
    </w:p>
    <w:p>
      <w:pPr>
        <w:spacing w:after="0" w:before="0" w:line="480"/>
        <w:ind w:firstLine="709"/>
        <w:jc w:val="both"/>
      </w:pPr>
      <w:r>
        <w:rPr>
          <w:rFonts w:ascii="Times New Roman" w:cs="Times New Roman" w:eastAsia="Times New Roman" w:hAnsi="Times New Roman"/>
          <w:b/>
          <w:bCs/>
          <w:sz w:val="24"/>
          <w:szCs w:val="24"/>
        </w:rPr>
        <w:t xml:space="preserve">Tahap Kedua: Penyajian Data (*Data Display*).</w:t>
      </w:r>
      <w:r>
        <w:rPr>
          <w:rFonts w:ascii="Times New Roman" w:cs="Times New Roman" w:eastAsia="Times New Roman" w:hAnsi="Times New Roman"/>
          <w:sz w:val="24"/>
          <w:szCs w:val="24"/>
        </w:rPr>
        <w:t xml:space="preserve"> Informasi yang telah direduksi diorganisasikan ke dalam bentuk matriks, tabel, dan diagram yang memungkinkan penarikan kesimpulan. Penelitian ini menggunakan:</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Operasionalisasi Konsep (Tabel 3.3):</w:t>
      </w:r>
      <w:r>
        <w:rPr>
          <w:rFonts w:ascii="Times New Roman" w:cs="Times New Roman" w:eastAsia="Times New Roman" w:hAnsi="Times New Roman"/>
          <w:sz w:val="24"/>
          <w:szCs w:val="24"/>
        </w:rPr>
        <w:t xml:space="preserve"> Memetakan RM, Dimensi Teoritis/Regulasi, Indikator Observasi, Item Pertanyaan Wawancara, Informan Target, dan Dokumen Pendukung.</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Faktor-Informan-Bukti Dokumen:</w:t>
      </w:r>
      <w:r>
        <w:rPr>
          <w:rFonts w:ascii="Times New Roman" w:cs="Times New Roman" w:eastAsia="Times New Roman" w:hAnsi="Times New Roman"/>
          <w:sz w:val="24"/>
          <w:szCs w:val="24"/>
        </w:rPr>
        <w:t xml:space="preserve"> Menyilangkan faktor penyebab deviasi dengan perspektif informan dan bukti dokumen untuk triangulasi sumber.</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Pola Deviasi per Tahun per Bulan Kritis:</w:t>
      </w:r>
      <w:r>
        <w:rPr>
          <w:rFonts w:ascii="Times New Roman" w:cs="Times New Roman" w:eastAsia="Times New Roman" w:hAnsi="Times New Roman"/>
          <w:sz w:val="24"/>
          <w:szCs w:val="24"/>
        </w:rPr>
        <w:t xml:space="preserve"> Memvisualisasikan dinamika deviasi TA 2023–2025.</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Diagram Hubungan Penyebab–Deviasi–Dampak (*Causal Map*):</w:t>
      </w:r>
      <w:r>
        <w:rPr>
          <w:rFonts w:ascii="Times New Roman" w:cs="Times New Roman" w:eastAsia="Times New Roman" w:hAnsi="Times New Roman"/>
          <w:sz w:val="24"/>
          <w:szCs w:val="24"/>
        </w:rPr>
        <w:t xml:space="preserve"> Memetakan kausalitas dari faktor penyebab menuju deviasi dan dari deviasi menuju dampak (IKPA, Akuntabilitas,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sz w:val="24"/>
          <w:szCs w:val="24"/>
        </w:rPr>
        <w:t xml:space="preserve">Tahap Ketiga: Penarikan Kesimpulan dan Verifikasi (*Conclusion Drawing and Verification*).</w:t>
      </w:r>
      <w:r>
        <w:rPr>
          <w:rFonts w:ascii="Times New Roman" w:cs="Times New Roman" w:eastAsia="Times New Roman" w:hAnsi="Times New Roman"/>
          <w:sz w:val="24"/>
          <w:szCs w:val="24"/>
        </w:rPr>
        <w:t xml:space="preserve">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(Proposisi 1, 2, 3)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spacing w:after="80" w:before="240" w:line="480"/>
        <w:jc w:val="center"/>
      </w:pPr>
      <w:r>
        <w:rPr>
          <w:rFonts w:ascii="Times New Roman" w:cs="Times New Roman" w:eastAsia="Times New Roman" w:hAnsi="Times New Roman"/>
          <w:b/>
          <w:bCs/>
          <w:sz w:val="24"/>
          <w:szCs w:val="24"/>
        </w:rPr>
        <w:t xml:space="preserve">Tabel 3.3 Matriks Operasionalisasi Konsep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Rumusan Masalah</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Dimensi Teoritis/Regulasi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 Observasi/Wawancara</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Item Pertanyaan Wawancara (Contoh)</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Informan Target</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 Pendukung</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RM1: Implementasi Belanja Modal</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Perencanaan (PMK 62, RKA-K/L)</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Akurasi RPD, Proses penetapan HPS/RAB</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proses penetapan HPS/RAB dan jadwal RPD paket Belanja Modal?"</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PPK, PBJ</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RKA-K/L, DIPA Hal III, HPS/RAB</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Pengadaan (Perpres 16/2018)</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Metode pemilihan, Timeline tender, Kontrak</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dinamika proses tender/seleksi hingga penandatanganan kontrak?"</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 PPK</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Kontrak, BA Pemilihan, BAST</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Pelaksanaan &amp; Pencairan (PMK 62)</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BAST, SPP-SPM-SP2D, Termin</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alur verifikasi BAST hingga SP2D? Kendala apa yang sering muncul?"</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SPP, SPM, SP2D, LRA</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RM2: Penyebab Deviasi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Perencanaan (Ratnasari, 2022)</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harga, Asumsi waktu, Revisi DIPA</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"Mengapa RPD sering tidak realistis? Bagaimana dampak transisi kelembagaan TA 2025?"</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KPA, PPK</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RPD vs Realisasi, Revisi DIPA</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SDM &amp; Kapasitas (Manangin dkk., 2023)</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pengadaan, Beban kerja, Pergantian personel</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jumlah pejabat pengadaan/PPK memadai? Bagaimana beban kerja memengaruhi kualitas dokumen?"</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PPSPM</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Pejabat, Sertifikasi, Log aktivitas</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Administratif/Regulasi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Kelengkapan dokumen, Verifikasi PPSPM/KPPN, Blokir anggaran</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"Sejauh mana kelengkapan dokumen penyedia &amp; verifikasi PPSPM jadi bottleneck?"</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Catatan revisi SPP, Log verifikasi</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Operasional/Pihak 3 (Sholawatunnisa &amp; Supriyanto, 2025)</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Cuaca, Supply chain, Kapasitas penyedia</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kinerja penyedia? Apakah keterbatasan penyedia lokal jadi kendala?"</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BPG</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Laporan Progres, Kontrak</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Teknis/Sistem</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Sinkronisasi OM-SPAN/SAKTI, Error input</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kendala sistem (SPAN/SAKTI) menggeser realisasi?"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 BPG, SRKA</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Log error sistem, Screenshot</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Konstruk Agency Theory (Lane, 2003)</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Asimetri info (RPD vs Realita), Moral Hazard penyedia, Monitoring Cost</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ada kesenjangan informasi antara PPK/Penyedia/PPSPM? Bagaimana pengawasan?"</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PPSPM, PBJ</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Pengawasan, Audit Trail</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RM3: Dampak Deviasi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Mikro (Satker)</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Nilai IKPA, Reputasi, Beban kerja revisi, Keterlambatan aset</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dampak deviasi ke nilai IKPA &amp; beban kerja staf? Aset (gedung/peralatan) terlambat?"</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BPG, SRKA</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LKjIP, BAST</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Meso (KPPN/DJPb)</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Inefisiensi alokasi kas, Beban verifikasi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(Triangulasi via dokumen &amp; wawancara KPA/PPSPM)</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PPSPM</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Pembinaan KPPN</w:t>
            </w:r>
          </w:p>
        </w:tc>
      </w:tr>
      <w:tr>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Makro/Fungsi (Hanafi &amp; Wulandari, 2023)</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Risiko standar penempatan deteni, Eksekusi deportasi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keterlambatan gedung/peralatan memengaruhi operasional detensi?"</w:t>
            </w:r>
          </w:p>
        </w:tc>
        <w:tc>
          <w:tcPr>
            <w:tcW w:type="dxa" w:w="132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BPG</w:t>
            </w:r>
          </w:p>
        </w:tc>
        <w:tc>
          <w:tcPr>
            <w:tcW w:type="dxa" w:w="132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Kinerja Operasional</w:t>
            </w:r>
          </w:p>
        </w:tc>
      </w:tr>
    </w:tbl>
    <w:p>
      <w:pPr>
        <w:spacing w:after="240" w:before="80" w:line="480"/>
        <w:jc w:val="left"/>
      </w:pPr>
      <w:r>
        <w:rPr>
          <w:rFonts w:ascii="Times New Roman" w:cs="Times New Roman" w:eastAsia="Times New Roman" w:hAnsi="Times New Roman"/>
          <w:i/>
          <w:iCs/>
          <w:sz w:val="22"/>
          <w:szCs w:val="22"/>
        </w:rPr>
        <w:t xml:space="preserve">Sumber: Disusun peneliti (2026).</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dinilai melalui empat kriteria yang diajukan Lincoln dan Guba (1985, hlm. 289–331) sebagai alternatif dari kriteria positivistik: </w:t>
      </w: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b/>
          <w:bCs/>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b/>
          <w:bCs/>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w:t>
      </w:r>
      <w:r>
        <w:rPr>
          <w:rFonts w:ascii="Times New Roman" w:cs="Times New Roman" w:eastAsia="Times New Roman" w:hAnsi="Times New Roman"/>
          <w:i/>
          <w:iCs/>
          <w:sz w:val="24"/>
          <w:szCs w:val="24"/>
        </w:rPr>
        <w:t xml:space="preserve">log</w:t>
      </w:r>
      <w:r>
        <w:rPr>
          <w:rFonts w:ascii="Times New Roman" w:cs="Times New Roman" w:eastAsia="Times New Roman" w:hAnsi="Times New Roman"/>
          <w:sz w:val="24"/>
          <w:szCs w:val="24"/>
        </w:rPr>
        <w:t xml:space="preserve">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b/>
          <w:bCs/>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pStyle w:val="Heading2"/>
        <w:spacing w:after="160" w:before="240" w:line="480"/>
        <w:jc w:val="left"/>
      </w:pPr>
      <w:r>
        <w:rPr>
          <w:rFonts w:ascii="Times New Roman" w:cs="Times New Roman" w:eastAsia="Times New Roman" w:hAnsi="Times New Roman"/>
          <w:b/>
          <w:bCs/>
          <w:sz w:val="24"/>
          <w:szCs w:val="24"/>
        </w:rPr>
        <w:t xml:space="preserve">3.4 Lokasi dan Waktu Penelitian</w:t>
      </w:r>
    </w:p>
    <w:p>
      <w:pPr>
        <w:spacing w:after="0" w:before="0" w:line="480"/>
        <w:ind w:firstLine="709"/>
        <w:jc w:val="both"/>
      </w:pPr>
      <w:r>
        <w:rPr>
          <w:rFonts w:ascii="Times New Roman" w:cs="Times New Roman" w:eastAsia="Times New Roman" w:hAnsi="Times New Roman"/>
          <w:sz w:val="24"/>
          <w:szCs w:val="24"/>
        </w:rPr>
        <w:t xml:space="preserve">Penelitian dilaksanakan di </w:t>
      </w:r>
      <w:r>
        <w:rPr>
          <w:rFonts w:ascii="Times New Roman" w:cs="Times New Roman" w:eastAsia="Times New Roman" w:hAnsi="Times New Roman"/>
          <w:b/>
          <w:bCs/>
          <w:sz w:val="24"/>
          <w:szCs w:val="24"/>
        </w:rPr>
        <w:t xml:space="preserve">Rumah Detensi Imigrasi (Rudenim) Pontianak</w:t>
      </w:r>
      <w:r>
        <w:rPr>
          <w:rFonts w:ascii="Times New Roman" w:cs="Times New Roman" w:eastAsia="Times New Roman" w:hAnsi="Times New Roman"/>
          <w:sz w:val="24"/>
          <w:szCs w:val="24"/>
        </w:rPr>
        <w:t xml:space="preserve">, Jalan Adi Sucipto KM. 15, Kabupaten Kubu Raya, Provinsi Kalimantan Barat.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 (pengumpulan data primer: wawancara, observasi, pengambilan dokumen) direncanakan dilakukan selama </w:t>
      </w:r>
      <w:r>
        <w:rPr>
          <w:rFonts w:ascii="Times New Roman" w:cs="Times New Roman" w:eastAsia="Times New Roman" w:hAnsi="Times New Roman"/>
          <w:b/>
          <w:bCs/>
          <w:sz w:val="24"/>
          <w:szCs w:val="24"/>
        </w:rPr>
        <w:t xml:space="preserve">6 (enam) minggu</w:t>
      </w:r>
      <w:r>
        <w:rPr>
          <w:rFonts w:ascii="Times New Roman" w:cs="Times New Roman" w:eastAsia="Times New Roman" w:hAnsi="Times New Roman"/>
          <w:sz w:val="24"/>
          <w:szCs w:val="24"/>
        </w:rPr>
        <w:t xml:space="preserve"> pada periode </w:t>
      </w:r>
      <w:r>
        <w:rPr>
          <w:rFonts w:ascii="Times New Roman" w:cs="Times New Roman" w:eastAsia="Times New Roman" w:hAnsi="Times New Roman"/>
          <w:b/>
          <w:bCs/>
          <w:sz w:val="24"/>
          <w:szCs w:val="24"/>
        </w:rPr>
        <w:t xml:space="preserve">Juli–Agustus 2026</w:t>
      </w:r>
      <w:r>
        <w:rPr>
          <w:rFonts w:ascii="Times New Roman" w:cs="Times New Roman" w:eastAsia="Times New Roman" w:hAnsi="Times New Roman"/>
          <w:sz w:val="24"/>
          <w:szCs w:val="24"/>
        </w:rPr>
        <w:t xml:space="preserve"> (setelah seminar proposal dan memperoleh izin penelitian dari institusi dan satker). Persiapan instrumen (validasi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revisi) dilakukan pada Juni 2026.</w:t>
      </w:r>
    </w:p>
    <w:p>
      <w:pPr>
        <w:pStyle w:val="Heading2"/>
        <w:spacing w:after="160" w:before="240" w:line="480"/>
        <w:jc w:val="left"/>
      </w:pPr>
      <w:r>
        <w:rPr>
          <w:rFonts w:ascii="Times New Roman" w:cs="Times New Roman" w:eastAsia="Times New Roman" w:hAnsi="Times New Roman"/>
          <w:b/>
          <w:bCs/>
          <w:sz w:val="24"/>
          <w:szCs w:val="24"/>
        </w:rPr>
        <w:t xml:space="preserve">3.5 Etika Penelitian</w:t>
      </w:r>
    </w:p>
    <w:p>
      <w:pPr>
        <w:spacing w:after="0" w:before="0" w:line="480"/>
        <w:ind w:firstLine="709"/>
        <w:jc w:val="both"/>
      </w:pPr>
      <w:r>
        <w:rPr>
          <w:rFonts w:ascii="Times New Roman" w:cs="Times New Roman" w:eastAsia="Times New Roman" w:hAnsi="Times New Roman"/>
          <w:sz w:val="24"/>
          <w:szCs w:val="24"/>
        </w:rPr>
        <w:t xml:space="preserve">Penelitian ini mengikuti prinsip etika penelitian ilmiah dan ketentuan yang berlaku di institusi peneliti. Aspek etika yang dikelola meliputi:</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Izin Penelitian:</w:t>
      </w:r>
      <w:r>
        <w:rPr>
          <w:rFonts w:ascii="Times New Roman" w:cs="Times New Roman" w:eastAsia="Times New Roman" w:hAnsi="Times New Roman"/>
          <w:sz w:val="24"/>
          <w:szCs w:val="24"/>
        </w:rPr>
        <w:t xml:space="preserve"> Mengurus surat izin penelitian resmi dari LPPM Universitas Panca Bhakti ke Kepala Rudenim Pontianak melalui saluran resmi Direktorat Jenderal Imigrasi/Kementerian Imigrasi dan Pemasyarakatan.</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Informed Consent:</w:t>
      </w:r>
      <w:r>
        <w:rPr>
          <w:rFonts w:ascii="Times New Roman" w:cs="Times New Roman" w:eastAsia="Times New Roman" w:hAnsi="Times New Roman"/>
          <w:sz w:val="24"/>
          <w:szCs w:val="24"/>
        </w:rPr>
        <w:t xml:space="preserve"> Setiap informan menandatangani formulir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wawancara (durasi, perekaman audio), hak untuk menolak menjawab pertanyaan tertentu, hak untuk menarik diri kapan saja tanpa konsekuensi negatif, serta jaminan anonimisasi data.</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Kerahasiaan dan Anonimitas:</w:t>
      </w:r>
      <w:r>
        <w:rPr>
          <w:rFonts w:ascii="Times New Roman" w:cs="Times New Roman" w:eastAsia="Times New Roman" w:hAnsi="Times New Roman"/>
          <w:sz w:val="24"/>
          <w:szCs w:val="24"/>
        </w:rPr>
        <w:t xml:space="preserve"> Identitas informan (nama, NIP) dikodekan (KPA, PPK, PPSPM, BPG, SRKA, PBJ) dalam seluruh transkrip, catatan analisis, dan laporan akhir. Data mentah (rekaman audio, transkrip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lengkap, dokumen kontrak dengan harga satuan/detail penyedia) </w:t>
      </w:r>
      <w:r>
        <w:rPr>
          <w:rFonts w:ascii="Times New Roman" w:cs="Times New Roman" w:eastAsia="Times New Roman" w:hAnsi="Times New Roman"/>
          <w:b/>
          <w:bCs/>
          <w:sz w:val="24"/>
          <w:szCs w:val="24"/>
        </w:rPr>
        <w:t xml:space="preserve">tidak</w:t>
      </w:r>
      <w:r>
        <w:rPr>
          <w:rFonts w:ascii="Times New Roman" w:cs="Times New Roman" w:eastAsia="Times New Roman" w:hAnsi="Times New Roman"/>
          <w:sz w:val="24"/>
          <w:szCs w:val="24"/>
        </w:rPr>
        <w:t xml:space="preserve"> dilampirkan dalam skripsi dan disimpan dalam perangkat terkunci (</w:t>
      </w:r>
      <w:r>
        <w:rPr>
          <w:rFonts w:ascii="Times New Roman" w:cs="Times New Roman" w:eastAsia="Times New Roman" w:hAnsi="Times New Roman"/>
          <w:i/>
          <w:iCs/>
          <w:sz w:val="24"/>
          <w:szCs w:val="24"/>
        </w:rPr>
        <w:t xml:space="preserve">password protected</w:t>
      </w:r>
      <w:r>
        <w:rPr>
          <w:rFonts w:ascii="Times New Roman" w:cs="Times New Roman" w:eastAsia="Times New Roman" w:hAnsi="Times New Roman"/>
          <w:sz w:val="24"/>
          <w:szCs w:val="24"/>
        </w:rPr>
        <w:t xml:space="preserve">) yang hanya diakses peneliti dan promotor.</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Keamanan Data Sensitif:</w:t>
      </w:r>
      <w:r>
        <w:rPr>
          <w:rFonts w:ascii="Times New Roman" w:cs="Times New Roman" w:eastAsia="Times New Roman" w:hAnsi="Times New Roman"/>
          <w:sz w:val="24"/>
          <w:szCs w:val="24"/>
        </w:rPr>
        <w:t xml:space="preserve"> Mengingat objek penelitian berkaitan dengan keuangan negara (APBN) dan data kepegawaian, peneliti berkomitmen: (a) tidak mempublikasikan data mentah nominal kontrak, NIP, atau identitas penyedia secara </w:t>
      </w:r>
      <w:r>
        <w:rPr>
          <w:rFonts w:ascii="Times New Roman" w:cs="Times New Roman" w:eastAsia="Times New Roman" w:hAnsi="Times New Roman"/>
          <w:i/>
          <w:iCs/>
          <w:sz w:val="24"/>
          <w:szCs w:val="24"/>
        </w:rPr>
        <w:t xml:space="preserve">raw</w:t>
      </w:r>
      <w:r>
        <w:rPr>
          <w:rFonts w:ascii="Times New Roman" w:cs="Times New Roman" w:eastAsia="Times New Roman" w:hAnsi="Times New Roman"/>
          <w:sz w:val="24"/>
          <w:szCs w:val="24"/>
        </w:rPr>
        <w:t xml:space="preserve">; (b) kutipan dalam skripsi diparafrasakan atau dikutip dengan menyembunyikan identitas spesifik; (c) hasil akhir berupa </w:t>
      </w:r>
      <w:r>
        <w:rPr>
          <w:rFonts w:ascii="Times New Roman" w:cs="Times New Roman" w:eastAsia="Times New Roman" w:hAnsi="Times New Roman"/>
          <w:i/>
          <w:iCs/>
          <w:sz w:val="24"/>
          <w:szCs w:val="24"/>
        </w:rPr>
        <w:t xml:space="preserve">Executive Summary</w:t>
      </w:r>
      <w:r>
        <w:rPr>
          <w:rFonts w:ascii="Times New Roman" w:cs="Times New Roman" w:eastAsia="Times New Roman" w:hAnsi="Times New Roman"/>
          <w:sz w:val="24"/>
          <w:szCs w:val="24"/>
        </w:rPr>
        <w:t xml:space="preserve"> kebijakan diserahkan ke Rudenim/Kementerian, </w:t>
      </w:r>
      <w:r>
        <w:rPr>
          <w:rFonts w:ascii="Times New Roman" w:cs="Times New Roman" w:eastAsia="Times New Roman" w:hAnsi="Times New Roman"/>
          <w:b/>
          <w:bCs/>
          <w:sz w:val="24"/>
          <w:szCs w:val="24"/>
        </w:rPr>
        <w:t xml:space="preserve">bukan</w:t>
      </w:r>
      <w:r>
        <w:rPr>
          <w:rFonts w:ascii="Times New Roman" w:cs="Times New Roman" w:eastAsia="Times New Roman" w:hAnsi="Times New Roman"/>
          <w:sz w:val="24"/>
          <w:szCs w:val="24"/>
        </w:rPr>
        <w:t xml:space="preserve"> data mentah.</w:t>
      </w:r>
    </w:p>
    <w:p>
      <w:pPr>
        <w:pStyle w:val="ListParagraph"/>
        <w:numPr>
          <w:ilvl w:val="0"/>
          <w:numId w:val="2"/>
        </w:numPr>
        <w:spacing w:after="0" w:before="0" w:line="480"/>
        <w:ind w:left="720" w:hanging="360"/>
        <w:jc w:val="both"/>
      </w:pPr>
      <w:r>
        <w:rPr>
          <w:rFonts w:ascii="Times New Roman" w:cs="Times New Roman" w:eastAsia="Times New Roman" w:hAnsi="Times New Roman"/>
          <w:i/>
          <w:iCs/>
          <w:sz w:val="24"/>
          <w:szCs w:val="24"/>
        </w:rPr>
        <w:t xml:space="preserve">Ethical Clearance:</w:t>
      </w:r>
      <w:r>
        <w:rPr>
          <w:rFonts w:ascii="Times New Roman" w:cs="Times New Roman" w:eastAsia="Times New Roman" w:hAnsi="Times New Roman"/>
          <w:sz w:val="24"/>
          <w:szCs w:val="24"/>
        </w:rPr>
        <w:t xml:space="preserve"> Akan diajukan ke Komisi Etik Penelitian LPPM Universitas Panca Bhakti sebelum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Andi.</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45 Tahun 2013 tentang Tata Cara Pelaksanaan Anggaran Pendapatan dan Belanja Negara. (2013). </w:t>
      </w:r>
      <w:r>
        <w:rPr>
          <w:rFonts w:ascii="Times New Roman" w:cs="Times New Roman" w:eastAsia="Times New Roman" w:hAnsi="Times New Roman"/>
          <w:i/>
          <w:iCs/>
          <w:sz w:val="24"/>
          <w:szCs w:val="24"/>
        </w:rPr>
        <w:t xml:space="preserve">Lembaran Negara Republik Indonesia Tahun 2013 Nomor 105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2026-06-30T09:04:34.289Z</dcterms:created>
  <dcterms:modified xsi:type="dcterms:W3CDTF">2026-06-30T09:04:34.290Z</dcterms:modified>
</cp:coreProperties>
</file>

<file path=docProps/custom.xml><?xml version="1.0" encoding="utf-8"?>
<Properties xmlns="http://schemas.openxmlformats.org/officeDocument/2006/custom-properties" xmlns:vt="http://schemas.openxmlformats.org/officeDocument/2006/docPropsVTypes"/>
</file>