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  <w:pBdr>
          <w:bottom w:val="single" w:sz="6" w:space="1" w:color="6B4F3A"/>
        </w:pBdr>
      </w:pPr>
      <w:r>
        <w:rPr>
          <w:rFonts w:ascii="Calibri" w:hAnsi="Calibri"/>
          <w:b/>
          <w:sz w:val="36"/>
        </w:rPr>
        <w:t>PANDUAN CORETAX SYSTEM &amp; PMK 1/2026</w:t>
      </w:r>
    </w:p>
    <w:p>
      <w:pPr>
        <w:spacing w:line="276" w:lineRule="auto" w:after="120"/>
      </w:pPr>
      <w:r>
        <w:rPr>
          <w:rFonts w:ascii="Calibri" w:hAnsi="Calibri"/>
          <w:b w:val="0"/>
          <w:i/>
          <w:sz w:val="22"/>
        </w:rPr>
        <w:t>Bedah Aturan Baru Pelaksanaan Sistem Inti Administrasi Perpajakan &amp; Ketentuan Nilai Buku Restrukturisasi BUMN</w:t>
      </w:r>
    </w:p>
    <w:p>
      <w:pPr>
        <w:spacing w:line="276" w:lineRule="auto" w:after="120"/>
      </w:pPr>
      <w:r>
        <w:rPr>
          <w:rFonts w:ascii="Calibri" w:hAnsi="Calibri"/>
          <w:b w:val="0"/>
          <w:i w:val="0"/>
          <w:sz w:val="22"/>
        </w:rPr>
        <w:t>Di dunia akademik perpajakan, pembahasan mengenai reformasi administrasi dan restrukturisasi perusahaan (merger &amp; akuisisi) adalah materi tingkat lanjut yang sering keluar dalam ujian manajemen pajak atau perpajakan lanjutan. Panduan ini mengupas tuntas sistem IT terbaru DJP (</w:t>
      </w:r>
      <w:r>
        <w:rPr>
          <w:rFonts w:ascii="Calibri" w:hAnsi="Calibri"/>
          <w:b/>
          <w:i w:val="0"/>
          <w:sz w:val="22"/>
        </w:rPr>
        <w:t>Coretax System</w:t>
      </w:r>
      <w:r>
        <w:rPr>
          <w:rFonts w:ascii="Calibri" w:hAnsi="Calibri"/>
          <w:b w:val="0"/>
          <w:i w:val="0"/>
          <w:sz w:val="22"/>
        </w:rPr>
        <w:t xml:space="preserve">) dan regulasi terhangat </w:t>
      </w:r>
      <w:r>
        <w:rPr>
          <w:rFonts w:ascii="Calibri" w:hAnsi="Calibri"/>
          <w:b/>
          <w:i w:val="0"/>
          <w:sz w:val="22"/>
        </w:rPr>
        <w:t>PMK Nomor 1 Tahun 2026</w:t>
      </w:r>
      <w:r>
        <w:rPr>
          <w:rFonts w:ascii="Calibri" w:hAnsi="Calibri"/>
          <w:b w:val="0"/>
          <w:i w:val="0"/>
          <w:sz w:val="22"/>
        </w:rPr>
        <w:t xml:space="preserve"> yang mengatur insentif pajak restrukturisasi Badan Usaha Milik Negara (BUMN).</w:t>
      </w:r>
    </w:p>
    <w:p>
      <w:pPr>
        <w:keepNext/>
        <w:spacing w:before="280" w:after="120"/>
      </w:pPr>
      <w:r>
        <w:rPr>
          <w:rFonts w:ascii="Calibri" w:hAnsi="Calibri"/>
          <w:b/>
          <w:sz w:val="28"/>
        </w:rPr>
        <w:t>🌐 1. APA ITU CORETAX SYSTEM?</w:t>
      </w:r>
    </w:p>
    <w:p>
      <w:pPr>
        <w:spacing w:line="276" w:lineRule="auto" w:after="120"/>
      </w:pPr>
      <w:r>
        <w:rPr>
          <w:rFonts w:ascii="Calibri" w:hAnsi="Calibri"/>
          <w:b/>
          <w:i w:val="0"/>
          <w:sz w:val="22"/>
        </w:rPr>
        <w:t>Sistem Inti Administrasi Perpajakan (Coretax System)</w:t>
      </w:r>
      <w:r>
        <w:rPr>
          <w:rFonts w:ascii="Calibri" w:hAnsi="Calibri"/>
          <w:b w:val="0"/>
          <w:i w:val="0"/>
          <w:sz w:val="22"/>
        </w:rPr>
        <w:t xml:space="preserve"> adalah pembaruan sistem teknologi informasi perpajakan nasional yang mengintegrasikan seluruh proses bisnis perpajakan di Indonesia (diatur secara komprehensif dalam payung hukum </w:t>
      </w:r>
      <w:r>
        <w:rPr>
          <w:rFonts w:ascii="Calibri" w:hAnsi="Calibri"/>
          <w:b/>
          <w:i w:val="0"/>
          <w:sz w:val="22"/>
        </w:rPr>
        <w:t>PMK Nomor 81 Tahun 2024</w:t>
      </w:r>
      <w:r>
        <w:rPr>
          <w:rFonts w:ascii="Calibri" w:hAnsi="Calibri"/>
          <w:b w:val="0"/>
          <w:i w:val="0"/>
          <w:sz w:val="22"/>
        </w:rPr>
        <w:t>).</w:t>
      </w:r>
    </w:p>
    <w:p>
      <w:pPr>
        <w:spacing w:line="276" w:lineRule="auto" w:after="120"/>
      </w:pPr>
      <w:r>
        <w:rPr>
          <w:rFonts w:ascii="Calibri" w:hAnsi="Calibri"/>
          <w:b w:val="0"/>
          <w:i w:val="0"/>
          <w:sz w:val="22"/>
        </w:rPr>
        <w:t>Coretax menggantikan sistem lama (SIDJP) dengan sistem terpadu yang mencakup:</w:t>
        <w:br/>
        <w:t xml:space="preserve">*   </w:t>
      </w:r>
      <w:r>
        <w:rPr>
          <w:rFonts w:ascii="Calibri" w:hAnsi="Calibri"/>
          <w:b/>
          <w:i w:val="0"/>
          <w:sz w:val="22"/>
        </w:rPr>
        <w:t>Taxpayer Portal:</w:t>
      </w:r>
      <w:r>
        <w:rPr>
          <w:rFonts w:ascii="Calibri" w:hAnsi="Calibri"/>
          <w:b w:val="0"/>
          <w:i w:val="0"/>
          <w:sz w:val="22"/>
        </w:rPr>
        <w:t xml:space="preserve"> Satu pintu layanan elektronik bagi Wajib Pajak untuk mengurus pendaftaran, pembayaran (e-billing), pelaporan (e-filing), hingga riwayat pemeriksaan secara mandiri.</w:t>
        <w:br/>
        <w:t xml:space="preserve">*   </w:t>
      </w:r>
      <w:r>
        <w:rPr>
          <w:rFonts w:ascii="Calibri" w:hAnsi="Calibri"/>
          <w:b/>
          <w:i w:val="0"/>
          <w:sz w:val="22"/>
        </w:rPr>
        <w:t>Akun Wajib Pajak (Taxpayer Account System):</w:t>
      </w:r>
      <w:r>
        <w:rPr>
          <w:rFonts w:ascii="Calibri" w:hAnsi="Calibri"/>
          <w:b w:val="0"/>
          <w:i w:val="0"/>
          <w:sz w:val="22"/>
        </w:rPr>
        <w:t xml:space="preserve"> Rekening koran pajak yang mencatat seluruh hak dan kewajiban perpajakan secara </w:t>
      </w:r>
      <w:r>
        <w:rPr>
          <w:rFonts w:ascii="Calibri" w:hAnsi="Calibri"/>
          <w:b w:val="0"/>
          <w:i/>
          <w:sz w:val="22"/>
        </w:rPr>
        <w:t>real-time</w:t>
      </w:r>
      <w:r>
        <w:rPr>
          <w:rFonts w:ascii="Calibri" w:hAnsi="Calibri"/>
          <w:b w:val="0"/>
          <w:i w:val="0"/>
          <w:sz w:val="22"/>
        </w:rPr>
        <w:t xml:space="preserve"> (seperti mutasi debit-kredit tabungan bank).</w:t>
        <w:br/>
        <w:t xml:space="preserve">*   </w:t>
      </w:r>
      <w:r>
        <w:rPr>
          <w:rFonts w:ascii="Calibri" w:hAnsi="Calibri"/>
          <w:b/>
          <w:i w:val="0"/>
          <w:sz w:val="22"/>
        </w:rPr>
        <w:t>Deposit Pajak:</w:t>
      </w:r>
      <w:r>
        <w:rPr>
          <w:rFonts w:ascii="Calibri" w:hAnsi="Calibri"/>
          <w:b w:val="0"/>
          <w:i w:val="0"/>
          <w:sz w:val="22"/>
        </w:rPr>
        <w:t xml:space="preserve"> Fitur baru di mana Wajib Pajak dapat menyetor sejumlah uang terlebih dahulu ke negara sebelum dialokasikan ke jenis ketetapan pajak tertentu (seperti </w:t>
      </w:r>
      <w:r>
        <w:rPr>
          <w:rFonts w:ascii="Calibri" w:hAnsi="Calibri"/>
          <w:b w:val="0"/>
          <w:i/>
          <w:sz w:val="22"/>
        </w:rPr>
        <w:t>saldo e-wallet</w:t>
      </w:r>
      <w:r>
        <w:rPr>
          <w:rFonts w:ascii="Calibri" w:hAnsi="Calibri"/>
          <w:b w:val="0"/>
          <w:i w:val="0"/>
          <w:sz w:val="22"/>
        </w:rPr>
        <w:t>).</w:t>
      </w:r>
    </w:p>
    <w:p>
      <w:pPr>
        <w:keepNext/>
        <w:spacing w:before="280" w:after="120"/>
      </w:pPr>
      <w:r>
        <w:rPr>
          <w:rFonts w:ascii="Calibri" w:hAnsi="Calibri"/>
          <w:b/>
          <w:sz w:val="28"/>
        </w:rPr>
        <w:t>🏛️ 2. BEDAH PMK NOMOR 1 TAHUN 2026: RESTRUKTURISASI BUMN</w:t>
      </w:r>
    </w:p>
    <w:p>
      <w:pPr>
        <w:spacing w:line="276" w:lineRule="auto" w:after="120"/>
      </w:pPr>
      <w:r>
        <w:rPr>
          <w:rFonts w:ascii="Calibri" w:hAnsi="Calibri"/>
          <w:b/>
          <w:i w:val="0"/>
          <w:sz w:val="22"/>
        </w:rPr>
        <w:t>PMK Nomor 1 Tahun 2026</w:t>
      </w:r>
      <w:r>
        <w:rPr>
          <w:rFonts w:ascii="Calibri" w:hAnsi="Calibri"/>
          <w:b w:val="0"/>
          <w:i w:val="0"/>
          <w:sz w:val="22"/>
        </w:rPr>
        <w:t xml:space="preserve"> adalah Perubahan Keempat atas PMK 81/2024 tentang Ketentuan Perpajakan dalam rangka Pelaksanaan Sistem Inti Administrasi Perpajakan.</w:t>
      </w:r>
    </w:p>
    <w:p>
      <w:pPr>
        <w:keepNext/>
        <w:spacing w:before="200" w:after="80"/>
      </w:pPr>
      <w:r>
        <w:rPr>
          <w:rFonts w:ascii="Calibri" w:hAnsi="Calibri"/>
          <w:b/>
          <w:sz w:val="24"/>
        </w:rPr>
        <w:t>A. Latar Belakang Penerbitan Regulasi</w:t>
      </w:r>
    </w:p>
    <w:p>
      <w:pPr>
        <w:spacing w:line="276" w:lineRule="auto" w:after="120"/>
      </w:pPr>
      <w:r>
        <w:rPr>
          <w:rFonts w:ascii="Calibri" w:hAnsi="Calibri"/>
          <w:b w:val="0"/>
          <w:i w:val="0"/>
          <w:sz w:val="22"/>
        </w:rPr>
        <w:t xml:space="preserve">Pemerintah sedang gencar melakukan transformasi dan restrukturisasi Badan Usaha Milik Negara (BUMN) — seperti pembentukan </w:t>
      </w:r>
      <w:r>
        <w:rPr>
          <w:rFonts w:ascii="Calibri" w:hAnsi="Calibri"/>
          <w:b w:val="0"/>
          <w:i/>
          <w:sz w:val="22"/>
        </w:rPr>
        <w:t>holding</w:t>
      </w:r>
      <w:r>
        <w:rPr>
          <w:rFonts w:ascii="Calibri" w:hAnsi="Calibri"/>
          <w:b w:val="0"/>
          <w:i w:val="0"/>
          <w:sz w:val="22"/>
        </w:rPr>
        <w:t xml:space="preserve"> BUMN, merger BUMN pelabuhan (Pelindo), atau konsolidasi BUMN farmasi. Dalam restrukturisasi ini, terjadi pengalihan aset/harta dalam jumlah yang sangat besar antar-BUMN.</w:t>
      </w:r>
    </w:p>
    <w:p>
      <w:pPr>
        <w:spacing w:line="276" w:lineRule="auto" w:after="120"/>
      </w:pPr>
      <w:r>
        <w:rPr>
          <w:rFonts w:ascii="Calibri" w:hAnsi="Calibri"/>
          <w:b w:val="0"/>
          <w:i w:val="0"/>
          <w:sz w:val="22"/>
        </w:rPr>
        <w:t xml:space="preserve">Jika pengalihan aset tersebut dinilai menggunakan </w:t>
      </w:r>
      <w:r>
        <w:rPr>
          <w:rFonts w:ascii="Calibri" w:hAnsi="Calibri"/>
          <w:b/>
          <w:i w:val="0"/>
          <w:sz w:val="22"/>
        </w:rPr>
        <w:t>Harga Pasar (Market Value)</w:t>
      </w:r>
      <w:r>
        <w:rPr>
          <w:rFonts w:ascii="Calibri" w:hAnsi="Calibri"/>
          <w:b w:val="0"/>
          <w:i w:val="0"/>
          <w:sz w:val="22"/>
        </w:rPr>
        <w:t>, maka BUMN yang mengalihkan aset harus membayar Pajak Penghasilan (PPh) atas keuntungan pengalihan harta (selisih penilaian kembali aset). Hal ini akan membebani keuangan negara dan menghambat proses efisiensi BUMN.</w:t>
      </w:r>
    </w:p>
    <w:p>
      <w:pPr>
        <w:spacing w:line="276" w:lineRule="auto" w:after="120"/>
      </w:pPr>
      <w:r>
        <w:rPr>
          <w:rFonts w:ascii="Calibri" w:hAnsi="Calibri"/>
          <w:b w:val="0"/>
          <w:i w:val="0"/>
          <w:sz w:val="22"/>
        </w:rPr>
        <w:t xml:space="preserve">Oleh karena itu, PMK 1/2026 diterbitkan untuk menyelaraskan kebijakan insentif penggunaan </w:t>
      </w:r>
      <w:r>
        <w:rPr>
          <w:rFonts w:ascii="Calibri" w:hAnsi="Calibri"/>
          <w:b/>
          <w:i w:val="0"/>
          <w:sz w:val="22"/>
        </w:rPr>
        <w:t>Nilai Buku (Book Value)</w:t>
      </w:r>
      <w:r>
        <w:rPr>
          <w:rFonts w:ascii="Calibri" w:hAnsi="Calibri"/>
          <w:b w:val="0"/>
          <w:i w:val="0"/>
          <w:sz w:val="22"/>
        </w:rPr>
        <w:t xml:space="preserve"> agar proses restrukturisasi BUMN bebas dari beban pajak seketika (pajak ditangguhkan).</w:t>
      </w:r>
    </w:p>
    <w:p>
      <w:pPr>
        <w:keepNext/>
        <w:spacing w:before="200" w:after="80"/>
      </w:pPr>
      <w:r>
        <w:rPr>
          <w:rFonts w:ascii="Calibri" w:hAnsi="Calibri"/>
          <w:b/>
          <w:sz w:val="24"/>
        </w:rPr>
        <w:t>B. Definsi Baru BUMN di PMK 1/2026 (Pasal 1 angka 135)</w:t>
      </w:r>
    </w:p>
    <w:p>
      <w:pPr>
        <w:spacing w:line="276" w:lineRule="auto" w:after="120"/>
      </w:pPr>
      <w:r>
        <w:rPr>
          <w:rFonts w:ascii="Calibri" w:hAnsi="Calibri"/>
          <w:b w:val="0"/>
          <w:i w:val="0"/>
          <w:sz w:val="22"/>
        </w:rPr>
        <w:t>Berdasarkan aturan terbaru ini, Badan Usaha Milik Negara (BUMN) didefinisikan sebagai badan usaha yang memenuhi minimal salah satu ketentuan berikut:</w:t>
        <w:br/>
        <w:t>1.  Seluruh atau sebagian besar modalnya dimiliki oleh Negara Republik Indonesia melalui penyertaan langsung; atau</w:t>
        <w:br/>
        <w:t xml:space="preserve">2.  Terdapat </w:t>
      </w:r>
      <w:r>
        <w:rPr>
          <w:rFonts w:ascii="Calibri" w:hAnsi="Calibri"/>
          <w:b/>
          <w:i w:val="0"/>
          <w:sz w:val="22"/>
        </w:rPr>
        <w:t>hak istimewa (special rights)</w:t>
      </w:r>
      <w:r>
        <w:rPr>
          <w:rFonts w:ascii="Calibri" w:hAnsi="Calibri"/>
          <w:b w:val="0"/>
          <w:i w:val="0"/>
          <w:sz w:val="22"/>
        </w:rPr>
        <w:t xml:space="preserve"> yang dimiliki oleh Negara Republik Indonesia.</w:t>
        <w:br/>
      </w:r>
      <w:r>
        <w:rPr>
          <w:rFonts w:ascii="Calibri" w:hAnsi="Calibri"/>
          <w:b w:val="0"/>
          <w:i/>
          <w:sz w:val="22"/>
        </w:rPr>
        <w:t>Catatan:</w:t>
      </w:r>
      <w:r>
        <w:rPr>
          <w:rFonts w:ascii="Calibri" w:hAnsi="Calibri"/>
          <w:b w:val="0"/>
          <w:i w:val="0"/>
          <w:sz w:val="22"/>
        </w:rPr>
        <w:t xml:space="preserve"> Poin kedua (hak istimewa) ditambahkan untuk mengakomodasi perusahaan yang modalnya sudah tidak mayoritas milik negara karena restrukturisasi/holding, namun negara masih memegang kendali kontrol atau hak istimewa (seperti saham dwiwarna).</w:t>
      </w:r>
    </w:p>
    <w:p>
      <w:pPr>
        <w:keepNext/>
        <w:spacing w:before="280" w:after="120"/>
      </w:pPr>
      <w:r>
        <w:rPr>
          <w:rFonts w:ascii="Calibri" w:hAnsi="Calibri"/>
          <w:b/>
          <w:sz w:val="28"/>
        </w:rPr>
        <w:t>📈 3. INSENTIF PENGGUNAAN NILAI BUKU (BOOK VALUE)</w:t>
      </w:r>
    </w:p>
    <w:p>
      <w:pPr>
        <w:spacing w:line="276" w:lineRule="auto" w:after="120"/>
      </w:pPr>
      <w:r>
        <w:rPr>
          <w:rFonts w:ascii="Calibri" w:hAnsi="Calibri"/>
          <w:b w:val="0"/>
          <w:i w:val="0"/>
          <w:sz w:val="22"/>
        </w:rPr>
        <w:t>Dalam akuntansi perpajakan perusahaan, terdapat dua metode pencatatan pengalihan aset saat merger, konsolidasi, pemekaran, atau akuisisi:</w:t>
      </w:r>
    </w:p>
    <w:p>
      <w:pPr>
        <w:keepNext/>
        <w:spacing w:before="200" w:after="80"/>
      </w:pPr>
      <w:r>
        <w:rPr>
          <w:rFonts w:ascii="Calibri" w:hAnsi="Calibri"/>
          <w:b/>
          <w:sz w:val="24"/>
        </w:rPr>
        <w:t>1. Metode Nilai Pasar (Market Value)</w:t>
      </w:r>
    </w:p>
    <w:p>
      <w:pPr>
        <w:pStyle w:val="ListBullet"/>
        <w:spacing w:line="276" w:lineRule="auto" w:after="60"/>
      </w:pPr>
      <w:r>
        <w:rPr>
          <w:rFonts w:ascii="Calibri" w:hAnsi="Calibri"/>
          <w:b w:val="0"/>
          <w:i w:val="0"/>
          <w:sz w:val="22"/>
        </w:rPr>
        <w:t>Aset yang dialihkan dinilai berdasarkan harga pasar wajar saat ini.</w:t>
      </w:r>
    </w:p>
    <w:p>
      <w:pPr>
        <w:pStyle w:val="ListBullet"/>
        <w:spacing w:line="276" w:lineRule="auto" w:after="60"/>
      </w:pPr>
      <w:r>
        <w:rPr>
          <w:rFonts w:ascii="Calibri" w:hAnsi="Calibri"/>
          <w:b w:val="0"/>
          <w:i/>
          <w:sz w:val="22"/>
        </w:rPr>
        <w:t>Dampak Pajak:</w:t>
      </w:r>
      <w:r>
        <w:rPr>
          <w:rFonts w:ascii="Calibri" w:hAnsi="Calibri"/>
          <w:b w:val="0"/>
          <w:i w:val="0"/>
          <w:sz w:val="22"/>
        </w:rPr>
        <w:t xml:space="preserve"> Selisih lebih antara harga pasar dengan nilai sisa buku fiskal wajib dilaporkan sebagai </w:t>
      </w:r>
      <w:r>
        <w:rPr>
          <w:rFonts w:ascii="Calibri" w:hAnsi="Calibri"/>
          <w:b/>
          <w:i w:val="0"/>
          <w:sz w:val="22"/>
        </w:rPr>
        <w:t>Keuntungan Pengalihan Harta (Capital Gain)</w:t>
      </w:r>
      <w:r>
        <w:rPr>
          <w:rFonts w:ascii="Calibri" w:hAnsi="Calibri"/>
          <w:b w:val="0"/>
          <w:i w:val="0"/>
          <w:sz w:val="22"/>
        </w:rPr>
        <w:t xml:space="preserve"> dan dikenakan tarif PPh Badan umum (22%).</w:t>
      </w:r>
    </w:p>
    <w:p>
      <w:pPr>
        <w:pStyle w:val="ListBullet"/>
        <w:spacing w:line="276" w:lineRule="auto" w:after="60"/>
      </w:pPr>
      <w:r>
        <w:rPr>
          <w:rFonts w:ascii="Calibri" w:hAnsi="Calibri"/>
          <w:b w:val="0"/>
          <w:i/>
          <w:sz w:val="22"/>
        </w:rPr>
        <w:t>Dampak Akuntansi:</w:t>
      </w:r>
      <w:r>
        <w:rPr>
          <w:rFonts w:ascii="Calibri" w:hAnsi="Calibri"/>
          <w:b w:val="0"/>
          <w:i w:val="0"/>
          <w:sz w:val="22"/>
        </w:rPr>
        <w:t xml:space="preserve"> Perusahaan penerima aset mencatat depresiasi/penyusutan baru berdasarkan nilai pasar yang tinggi.</w:t>
      </w:r>
    </w:p>
    <w:p>
      <w:pPr>
        <w:keepNext/>
        <w:spacing w:before="200" w:after="80"/>
      </w:pPr>
      <w:r>
        <w:rPr>
          <w:rFonts w:ascii="Calibri" w:hAnsi="Calibri"/>
          <w:b/>
          <w:sz w:val="24"/>
        </w:rPr>
        <w:t>2. Metode Nilai Buku (Book Value) - Insentif Pajak</w:t>
      </w:r>
    </w:p>
    <w:p>
      <w:pPr>
        <w:pStyle w:val="ListBullet"/>
        <w:spacing w:line="276" w:lineRule="auto" w:after="60"/>
      </w:pPr>
      <w:r>
        <w:rPr>
          <w:rFonts w:ascii="Calibri" w:hAnsi="Calibri"/>
          <w:b w:val="0"/>
          <w:i w:val="0"/>
          <w:sz w:val="22"/>
        </w:rPr>
        <w:t>Aset dialihkan berdasarkan nilai buku akuntansi fiskal asli yang tercatat di pembukuan (tanpa dinaikkan nilainya).</w:t>
      </w:r>
    </w:p>
    <w:p>
      <w:pPr>
        <w:pStyle w:val="ListBullet"/>
        <w:spacing w:line="276" w:lineRule="auto" w:after="60"/>
      </w:pPr>
      <w:r>
        <w:rPr>
          <w:rFonts w:ascii="Calibri" w:hAnsi="Calibri"/>
          <w:b w:val="0"/>
          <w:i/>
          <w:sz w:val="22"/>
        </w:rPr>
        <w:t>Dampak Pajak: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Bebas PPh Pengalihan Harta (Pajak ditangguhkan/0%)</w:t>
      </w:r>
      <w:r>
        <w:rPr>
          <w:rFonts w:ascii="Calibri" w:hAnsi="Calibri"/>
          <w:b w:val="0"/>
          <w:i w:val="0"/>
          <w:sz w:val="22"/>
        </w:rPr>
        <w:t>. Tidak ada keuntungan yang diakui secara fiskal pada saat pengalihan.</w:t>
      </w:r>
    </w:p>
    <w:p>
      <w:pPr>
        <w:pStyle w:val="ListBullet"/>
        <w:spacing w:line="276" w:lineRule="auto" w:after="60"/>
      </w:pPr>
      <w:r>
        <w:rPr>
          <w:rFonts w:ascii="Calibri" w:hAnsi="Calibri"/>
          <w:b w:val="0"/>
          <w:i/>
          <w:sz w:val="22"/>
        </w:rPr>
        <w:t>Dampak Akuntansi:</w:t>
      </w:r>
      <w:r>
        <w:rPr>
          <w:rFonts w:ascii="Calibri" w:hAnsi="Calibri"/>
          <w:b w:val="0"/>
          <w:i w:val="0"/>
          <w:sz w:val="22"/>
        </w:rPr>
        <w:t xml:space="preserve"> Perusahaan penerima melanjutkan sisa umur ekonomis dan metode penyusutan aset yang lama dari perusahaan pengalih.</w:t>
      </w:r>
    </w:p>
    <w:p>
      <w:pPr>
        <w:keepNext/>
        <w:spacing w:before="280" w:after="120"/>
      </w:pPr>
      <w:r>
        <w:rPr>
          <w:rFonts w:ascii="Calibri" w:hAnsi="Calibri"/>
          <w:b/>
          <w:sz w:val="28"/>
        </w:rPr>
        <w:t>🧠 4. CHECKLIST MATERI KULIAH RESTRUKTURISASI PERUSAHAAN (UTS/UAS)</w:t>
      </w:r>
    </w:p>
    <w:p>
      <w:pPr>
        <w:spacing w:line="276" w:lineRule="auto" w:after="120"/>
      </w:pPr>
      <w:r>
        <w:rPr>
          <w:rFonts w:ascii="Calibri" w:hAnsi="Calibri"/>
          <w:b w:val="0"/>
          <w:i w:val="0"/>
          <w:sz w:val="22"/>
        </w:rPr>
        <w:t>Jika Anda menghadapi soal ujian mengenai merger atau pemekaran usaha, pastikan Anda mengingat konsep ini:</w:t>
        <w:br/>
        <w:t xml:space="preserve">- [ ] </w:t>
      </w:r>
      <w:r>
        <w:rPr>
          <w:rFonts w:ascii="Calibri" w:hAnsi="Calibri"/>
          <w:b/>
          <w:i w:val="0"/>
          <w:sz w:val="22"/>
        </w:rPr>
        <w:t>Syarat Penggunaan Nilai Buku:</w:t>
      </w:r>
      <w:r>
        <w:rPr>
          <w:rFonts w:ascii="Calibri" w:hAnsi="Calibri"/>
          <w:b w:val="0"/>
          <w:i w:val="0"/>
          <w:sz w:val="22"/>
        </w:rPr>
        <w:t xml:space="preserve"> Wajib mengajukan permohonan ke Kepala KPP dan harus memenuhi tujuan bisnis yang jelas (</w:t>
      </w:r>
      <w:r>
        <w:rPr>
          <w:rFonts w:ascii="Calibri" w:hAnsi="Calibri"/>
          <w:b w:val="0"/>
          <w:i/>
          <w:sz w:val="22"/>
        </w:rPr>
        <w:t>business purpose test</w:t>
      </w:r>
      <w:r>
        <w:rPr>
          <w:rFonts w:ascii="Calibri" w:hAnsi="Calibri"/>
          <w:b w:val="0"/>
          <w:i w:val="0"/>
          <w:sz w:val="22"/>
        </w:rPr>
        <w:t>), bukan semata-mata untuk penghindaran pajak.</w:t>
        <w:br/>
        <w:t xml:space="preserve">- [ ] </w:t>
      </w:r>
      <w:r>
        <w:rPr>
          <w:rFonts w:ascii="Calibri" w:hAnsi="Calibri"/>
          <w:b/>
          <w:i w:val="0"/>
          <w:sz w:val="22"/>
        </w:rPr>
        <w:t>Perlakuan Penyusutan:</w:t>
      </w:r>
      <w:r>
        <w:rPr>
          <w:rFonts w:ascii="Calibri" w:hAnsi="Calibri"/>
          <w:b w:val="0"/>
          <w:i w:val="0"/>
          <w:sz w:val="22"/>
        </w:rPr>
        <w:t xml:space="preserve"> Perusahaan yang menerima pengalihan harta mencatat penyusutan harta sebesar sisa masa manfaat yang tersisa dari wajib pajak yang mengalihkan.</w:t>
        <w:br/>
        <w:t xml:space="preserve">- [ ] </w:t>
      </w:r>
      <w:r>
        <w:rPr>
          <w:rFonts w:ascii="Calibri" w:hAnsi="Calibri"/>
          <w:b/>
          <w:i w:val="0"/>
          <w:sz w:val="22"/>
        </w:rPr>
        <w:t>Kompensasi Kerugian:</w:t>
      </w:r>
      <w:r>
        <w:rPr>
          <w:rFonts w:ascii="Calibri" w:hAnsi="Calibri"/>
          <w:b w:val="0"/>
          <w:i w:val="0"/>
          <w:sz w:val="22"/>
        </w:rPr>
        <w:t xml:space="preserve"> Wajib Pajak yang melakukan merger dengan nilai buku umumnya tidak dapat mengompensasikan sisa kerugian fiskal lama ke perusahaan baru, kecuali diatur khusus dalam peraturan menteri keuangan terkait restrukturisasi tertentu.</w:t>
        <w:br/>
        <w:t xml:space="preserve">- [ ] </w:t>
      </w:r>
      <w:r>
        <w:rPr>
          <w:rFonts w:ascii="Calibri" w:hAnsi="Calibri"/>
          <w:b/>
          <w:i w:val="0"/>
          <w:sz w:val="22"/>
        </w:rPr>
        <w:t>Definisi BUMN Coretax:</w:t>
      </w:r>
      <w:r>
        <w:rPr>
          <w:rFonts w:ascii="Calibri" w:hAnsi="Calibri"/>
          <w:b w:val="0"/>
          <w:i w:val="0"/>
          <w:sz w:val="22"/>
        </w:rPr>
        <w:t xml:space="preserve"> Ingat bahwa di Coretax PMK 1/2026, status BUMN diperluas ke perusahaan dengan hak istimewa negara, meskipun kepemilikan modal negara sudah terdilusi di bawah 51%.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