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c>
          <w:tcPr>
            <w:tcW w:type="dxa" w:w="3969"/>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ISI</w:t>
      </w:r>
    </w:p>
    <w:p>
      <w:pPr>
        <w:spacing w:after="0" w:before="0" w:line="360"/>
      </w:pPr>
      <w:r>
        <w:t xml:space="preserve"/>
      </w:r>
    </w:p>
    <w:sdt>
      <w:sdtPr>
        <w:alias w:val="Daftar Isi"/>
      </w:sdtPr>
      <w:sdtContent>
        <w:p>
          <w:r>
            <w:fldChar w:fldCharType="begin" w:dirty="true"/>
            <w:instrText xml:space="preserve">TOC \h \o "1-2"</w:instrText>
            <w:fldChar w:fldCharType="separate"/>
          </w:r>
        </w:p>
        <w:p>
          <w:r>
            <w:fldChar w:fldCharType="end"/>
          </w:r>
        </w:p>
      </w:sdtContent>
    </w:sdt>
    <w:p>
      <w:pPr>
        <w:sectPr>
          <w:footerReference w:type="default" r:id="rId9"/>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b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Ketujuh prinsip tersebut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RPD bulanan ini bukan sekadar formalitas administratif, melainkan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ketujuh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nyata, khususnya pada kebutuhan fasilitas penampungan dan sarana pendukung operasional (Belanja Modal).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5"/>
      </w:tblGrid>
      <w:tr>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98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30%</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Total</w:t>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98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Salah satu pola yang secara persisten menjadi permasalahan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sz w:val="24"/>
          <w:szCs w:val="24"/>
        </w:rPr>
        <w:t xml:space="preserve">Komposisi Belanja Modal pada Rudenim Pontianak meningkat secara tajam mencapai 65,92% dari total pagu DIPA pada Tahun Anggaran 2025 (lihat Tabel 1.3), menjadikan Belanja Modal sebagai komponen dominan dan paling material dalam pelaksanaan anggaran satker pada periode tersebut.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Kondisi ini mengalami perbaikan yang substansial pada TA 2025 dengan rata-rata deviasi 5,41%, namun justru perbaikan drastis tersebut memperkuat relevansi pertanyaan penelitian: faktor apa yang menyebabkan deviasi tinggi pada periode sebelumnya dan mekanisme apa yang mengubahnya, pertanyaan yang belum dapat dijawab secara memadai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 (a)</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 (b)</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 (c)</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11,50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362.282.510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20,16</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89,80</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27,87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3.372.224.900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28,77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88,31</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65,92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6.567.577.362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5,41</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r>
    </w:tbl>
    <w:p>
      <w:pPr>
        <w:spacing w:after="0" w:before="0" w:line="480"/>
        <w:ind w:firstLine="709"/>
        <w:jc w:val="both"/>
      </w:pPr>
      <w:r>
        <w:rPr>
          <w:rFonts w:ascii="Times New Roman" w:cs="Times New Roman" w:eastAsia="Times New Roman" w:hAnsi="Times New Roman"/>
          <w:sz w:val="24"/>
          <w:szCs w:val="24"/>
        </w:rPr>
        <w:t xml:space="preserve">(a) Rata-rata proporsi pagu Belanja Modal terhadap total pagu DIPA. (b) Rata-rata deviasi bulanan |RPD − Realisasi|/RPD Belanja Modal, sesuai basis perhitungan PER-5/PB/2024 Pasal 7. (c) Nilai akhir tahun, seluruh jenis belanja.</w:t>
      </w:r>
    </w:p>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tidak terealisasi sepenuhnya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222.000.000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274.778.000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17.250.000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93,72</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1.792.439.999</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194.511.000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35.587.371</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28,83</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697.466.021</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560.399.255</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92"/>
        <w:gridCol w:w="992"/>
        <w:gridCol w:w="992"/>
        <w:gridCol w:w="992"/>
        <w:gridCol w:w="992"/>
        <w:gridCol w:w="992"/>
        <w:gridCol w:w="992"/>
        <w:gridCol w:w="993"/>
      </w:tblGrid>
      <w:tr>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993"/>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223.980.000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191.216.000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Desember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199.274.900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Oktober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294.944.000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505.462.000</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w:t>
            </w:r>
          </w:p>
        </w:tc>
        <w:tc>
          <w:tcPr>
            <w:tcW w:type="dxa" w:w="993"/>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Untuk memahami dinamika relasi keagenan di balik deviasi tersebut, penelitian ini memanfaatkan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sebagaimana diuraikan pada BAB II. Berdasarkan uraian di atas, dapat diidentifikasi tiga indikasi masalah yang melatarbelakangi penelitian ini. Pertama, terjadinya deviasi antara rencana dan penyerapan anggaran Belanja Modal pada Rumah Detensi Imigrasi Pontianak tahun 2023-2025. Kedua, perlunya menelaah penyebab terjadinya deviasi pelaksanaan anggaran Belanja Modal tersebut. Ketiga, perlunya menganalisis dampak dari terjadinya deviasi pelaksanaan anggaran Belanja Modal bagi pengelolaan anggaran satker. Penelitian ini berfokus pada pelaksanaan anggaran belanja Rudenim Pontianak periode Tahun Anggaran 2023-2025, dengan penekanan khusus pada Belanja Modal.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Bagaimana implementasi pelaksanaan anggaran Belanja Modal pada Rumah Detensi Imigrasi Pontianak TA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Apa faktor-faktor penyebab terjadinya deviasi pelaksanaan anggaran Belanja Modal pada Rumah Detensi Imigrasi Pontianak TA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Apa dampak deviasi pelaksanaan anggaran Belanja Modal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Mendeskripsikan implementasi pelaksanaan anggaran Belanja Modal pada Rumah Detensi Imigrasi Pontianak TA 2023-2025.</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Menganalisis faktor-faktor penyebab terjadinya deviasi pelaksanaan anggaran Belanja Modal pada Rumah Detensi Imigrasi Pontianak TA 2023-2025.</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Mengevaluasi dampak deviasi pelaksanaan anggaran Belanja Modal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b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Belanja Modal, pada Rumah Detensi Imigrasi Pontianak. Pembahasan disusun secara berjenjang. Sub-bab 2.1 Landasan Teori menguraikan lima pokok bahasan yang saling melengkapi, yaitu pelaksanaan anggaran belanja negara, Belanja Modal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perundang-undangan, efisien, ekonomis, efektif, transparan, dan bertanggung jawab dengan memperhatikan rasa keadilan dan kepatutan. Ketujuh prinsip tersebut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Mardiasmo (2018) menegaskan bahwa dalam kerangka penganggaran berbasis kinerja, kualitas pelaksanaan anggaran tidak hanya diukur dari besarnya serapan, melainkan juga dari ketepatan antara rencana dan realisasi sebagai cerminan akuntabilitas atas penggunaan sumber daya publik. 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w:t>
      </w:r>
      <w:r>
        <w:rPr>
          <w:rFonts w:ascii="Times New Roman" w:cs="Times New Roman" w:eastAsia="Times New Roman" w:hAnsi="Times New Roman"/>
          <w:i/>
          <w:iCs/>
          <w:sz w:val="24"/>
          <w:szCs w:val="24"/>
        </w:rPr>
        <w:t xml:space="preserve">omnibus</w:t>
      </w:r>
      <w:r>
        <w:rPr>
          <w:rFonts w:ascii="Times New Roman" w:cs="Times New Roman" w:eastAsia="Times New Roman" w:hAnsi="Times New Roman"/>
          <w:sz w:val="24"/>
          <w:szCs w:val="24"/>
        </w:rPr>
        <w:t xml:space="preserve"> yang menyatukan pengaturan perencanaan, pelaksanaan, serta akuntansi dan pelaporan keuangan.</w:t>
      </w:r>
    </w:p>
    <w:p>
      <w:pPr>
        <w:spacing w:after="0" w:before="0" w:line="480"/>
        <w:ind w:firstLine="709"/>
        <w:jc w:val="both"/>
      </w:pPr>
      <w:r>
        <w:rPr>
          <w:rFonts w:ascii="Times New Roman" w:cs="Times New Roman" w:eastAsia="Times New Roman" w:hAnsi="Times New Roman"/>
          <w:sz w:val="24"/>
          <w:szCs w:val="24"/>
        </w:rPr>
        <w:t xml:space="preserve">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sz w:val="24"/>
          <w:szCs w:val="24"/>
        </w:rPr>
        <w:t xml:space="preserve">Belanja Modal merupakan pengeluaran anggaran untuk perolehan aset tetap dan/atau aset lainnya yang memberi manfaat lebih dari satu periode akuntansi. Dalam bagan akun standar pemerintah pusat yang diatur melalui Peraturan Menteri Keuangan mengenai Bagan Akun Standar,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tersebut yang menjadikan pelaksanaan Belanja Modal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Belanja Modal, mekanisme tersebut diperkaya dengan tahapan pemilihan penyedia yang mengikuti Peraturan Presiden Nomor 16 Tahun 2018 sebagaimana telah diubah dengan Peraturan Presiden Nomor 12 Tahun 2021 tentang Pengadaan Barang/Jasa Pemerintah. Dengan demikian, pelaksanaan Belanja Modal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digunakan untuk merealisasikan Belanja Modal,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sesuai ketentuan Pasal 70 Peraturan Presiden Nomor 16 Tahun 2018,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Belanja Modal dapat direalisasikan.</w:t>
      </w:r>
    </w:p>
    <w:p>
      <w:pPr>
        <w:spacing w:after="0" w:before="0" w:line="480"/>
        <w:ind w:firstLine="709"/>
        <w:jc w:val="both"/>
      </w:pPr>
      <w:r>
        <w:rPr>
          <w:rFonts w:ascii="Times New Roman" w:cs="Times New Roman" w:eastAsia="Times New Roman" w:hAnsi="Times New Roman"/>
          <w:sz w:val="24"/>
          <w:szCs w:val="24"/>
        </w:rPr>
        <w:t xml:space="preserve">Pembayaran Belanja Modal pada umumnya dilakukan melalui mekanisme Pembayaran Langsung (LS) karena nilainya berada di atas batas penggunaan Uang Persediaan sebagaimana diatur dalam Peraturan Pemerintah Nomor 50 Tahun 2018.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Belanja Modal,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Belanja Modal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Belanja Modal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 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w:t>
      </w:r>
      <w:r>
        <w:rPr>
          <w:rFonts w:ascii="Times New Roman" w:cs="Times New Roman" w:eastAsia="Times New Roman" w:hAnsi="Times New Roman"/>
          <w:b/>
          <w:bCs/>
          <w:sz w:val="24"/>
          <w:szCs w:val="24"/>
        </w:rPr>
        <w:t xml:space="preserve">lebih kerap terjadi</w:t>
      </w:r>
      <w:r>
        <w:rPr>
          <w:rFonts w:ascii="Times New Roman" w:cs="Times New Roman" w:eastAsia="Times New Roman" w:hAnsi="Times New Roman"/>
          <w:sz w:val="24"/>
          <w:szCs w:val="24"/>
        </w:rPr>
        <w:t xml:space="preserve">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Belanja Modal.</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Belanja Modal,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Belanja Modal menuntut kompetensi teknis dalam menyusun spesifikasi, harga perkiraan sendiri, dan dokumen kontrak. Manangin et al. (2023) menegaskan bahwa kompetensi pengelola keuangan dan pejabat pengadaan merupakan faktor penentu kualitas pelaksanaan anggaran. Pada Belanja Modal,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berpotensi menggeser realisasi dari bulan yang direncanakan; hambatan ini terutama dirasakan pada kegiatan kontraktual bernilai besar yang pencairannya bergantung pada kesiapan dokumen pihak ketiga (PP Nomor 50 Tahun 2018; PMK Nomor 62 Tahun 2023). Keempat, faktor operasional dan pihak ketiga. Manangin et al. (2023) menekankan bahwa keterlambatan penyedia, perubahan prioritas kebijakan, dan fluktuasi permintaan layanan publik merupakan sumber deviasi yang bersifat struktural; pada Belanja Modal, ketergantungan pada progres fisik penyedia dan kondisi lapangan menjadikan jadwal termin pembayaran rentan mengalami pergeseran.</w:t>
      </w:r>
    </w:p>
    <w:p>
      <w:pPr>
        <w:spacing w:after="0" w:before="0" w:line="480"/>
        <w:ind w:firstLine="709"/>
        <w:jc w:val="both"/>
      </w:pPr>
      <w:r>
        <w:rPr>
          <w:rFonts w:ascii="Times New Roman" w:cs="Times New Roman" w:eastAsia="Times New Roman" w:hAnsi="Times New Roman"/>
          <w:sz w:val="24"/>
          <w:szCs w:val="24"/>
        </w:rPr>
        <w:t xml:space="preserve">Pelaksanaan Belanja Modal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 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 Temuan ini memberikan pijakan empiris bahwa Rudenim, sebagai satuan kerja penegakan keimigrasian, diduga berisiko lebih tinggi mengalami deviasi, termasuk pada pelaksanaan Belanja Modal.</w:t>
      </w:r>
    </w:p>
    <w:p>
      <w:pPr>
        <w:pStyle w:val="Heading3"/>
        <w:spacing w:after="160" w:before="240" w:line="480"/>
        <w:jc w:val="left"/>
      </w:pPr>
      <w:r>
        <w:rPr>
          <w:rFonts w:ascii="Times New Roman" w:cs="Times New Roman" w:eastAsia="Times New Roman" w:hAnsi="Times New Roman"/>
          <w:b/>
          <w:bCs/>
          <w:sz w:val="24"/>
          <w:szCs w:val="24"/>
        </w:rPr>
        <w:t xml:space="preserve">2.1.4 </w:t>
      </w:r>
      <w:r>
        <w:rPr>
          <w:rFonts w:ascii="Times New Roman" w:cs="Times New Roman" w:eastAsia="Times New Roman" w:hAnsi="Times New Roman"/>
          <w:b/>
          <w:bCs/>
          <w:i/>
          <w:iCs/>
          <w:sz w:val="24"/>
          <w:szCs w:val="24"/>
        </w:rPr>
        <w:t xml:space="preserve">Agency Theory</w:t>
      </w:r>
      <w:r>
        <w:rPr>
          <w:rFonts w:ascii="Times New Roman" w:cs="Times New Roman" w:eastAsia="Times New Roman" w:hAnsi="Times New Roman"/>
          <w:b/>
          <w:bCs/>
          <w:sz w:val="24"/>
          <w:szCs w:val="24"/>
        </w:rPr>
        <w:t xml:space="preserve">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kontrakual antara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(prinsipal) sebagai pihak yang mendelegasikan wewenang dan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(agen)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w:t>
      </w:r>
      <w:r>
        <w:rPr>
          <w:rFonts w:ascii="Times New Roman" w:cs="Times New Roman" w:eastAsia="Times New Roman" w:hAnsi="Times New Roman"/>
          <w:i/>
          <w:iCs/>
          <w:sz w:val="24"/>
          <w:szCs w:val="24"/>
        </w:rPr>
        <w:t xml:space="preserve">asimetri informasi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asymmetric information</w:t>
      </w:r>
      <w:r>
        <w:rPr>
          <w:rFonts w:ascii="Times New Roman" w:cs="Times New Roman" w:eastAsia="Times New Roman" w:hAnsi="Times New Roman"/>
          <w:sz w:val="24"/>
          <w:szCs w:val="24"/>
        </w:rPr>
        <w:t xml:space="preserve">),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Belanja Modal,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et al.,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dihitung sebagai persentase simpangan antara RPD dan realisasi aktual dengan formula: Deviasi = (|Realisasi - RPD| / RPD) × 100%, sesuai Peraturan Dirjen Perbendaharaan Nomor PER-5/PB/2024.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et al.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Belanja Modal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Belanja Modal.</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Belanja Modal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et al.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Belanja Modal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Belanja Modal.</w:t>
      </w:r>
    </w:p>
    <w:p>
      <w:pPr>
        <w:spacing w:after="0" w:before="0" w:line="480"/>
        <w:ind w:firstLine="709"/>
        <w:jc w:val="both"/>
      </w:pPr>
      <w:r>
        <w:rPr>
          <w:rFonts w:ascii="Times New Roman" w:cs="Times New Roman" w:eastAsia="Times New Roman" w:hAnsi="Times New Roman"/>
          <w:sz w:val="24"/>
          <w:szCs w:val="24"/>
        </w:rPr>
        <w:t xml:space="preserve">Nugroho et al. (2023) mengkaji hubungan antara akurasi RPD dengan nilai IKPA total melalui studi kasus pada 20 satuan kerja di Jawa Tengah dengan pendekatan kuantitatif-kualitatif, dan menemukan korelasi positif yang signifikan. Akurasi RPD untuk Belanja Modal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pola musiman yang dapat diidentifikasi dan dimodelkan. Pola musiman tersebut, terutama pada triwulan III-IV, sangat khas pada Belanja Modal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yang menjadi justifikasi akademis penelitian ini. Pertama, dari sisi objek, belum terdapat studi yang secara khusus mengkaji pelaksanaan anggaran Belanja Modal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Belanja Modal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Mempengaruhi Pencapaian Nilai IKPA Satuan Kerja di Lingkup KPPN Manado</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kerangka pemikiran awal yang akan dieksplorasi dan diverifikasi melalui data lapangan.</w:t>
      </w:r>
    </w:p>
    <w:p>
      <w:pPr>
        <w:spacing w:after="0" w:before="0" w:line="480"/>
        <w:ind w:firstLine="709"/>
        <w:jc w:val="both"/>
      </w:pPr>
      <w:r>
        <w:rPr>
          <w:rFonts w:ascii="Times New Roman" w:cs="Times New Roman" w:eastAsia="Times New Roman" w:hAnsi="Times New Roman"/>
          <w:sz w:val="24"/>
          <w:szCs w:val="24"/>
        </w:rPr>
        <w:t xml:space="preserve">Pertama, kepatuhan terhadap regulasi pelaksanaan anggaran yang diatur dalam PMK 62/2023 diduga memperkuat kualitas pelaksanaan Belanja Modal pada satuan kerja. Kepatuhan terhadap mekanisme perencanaan (RPD Halaman III DIPA), pelaksanaan (pengadaan, kontrak, BAST), dan pelaporan (SPP-SPM-SP2D) yang ditetapkan regulasi diperkirakan menurunkan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 meliputi kualitas SDM pengadaan, kematangan perencanaan RPD, dan komitmen pimpinan, berperan dalam terbentuknya deviasi pelaksanaan anggaran Belanja Modal.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Belanja Modal diduga menurunkan nilai Indikator Kinerja Pelaksanaan Anggaran (IKPA) satuan kerja, yang selanjutnya memperkuat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monitoring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dan kerugian sisa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serta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Kerangka pemikiran pada penelitian ini disusun untuk mengintegrasikan konteks regulasi, proses pelaksanaan Belanja Modal, fenomena deviasi, dampak terhadap IKPA, serta lensa analisis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ke dalam alur logis yang menjawab ketiga rumusan masalah. Secara naratif, kerangka tersebut dapat digambarkan sebagai berikut:</w:t>
      </w:r>
    </w:p>
    <w:p>
      <w:pPr>
        <w:spacing w:after="0" w:before="0" w:line="480"/>
        <w:ind w:firstLine="709"/>
        <w:jc w:val="both"/>
      </w:pPr>
      <w:r>
        <w:rPr>
          <w:rFonts w:ascii="Times New Roman" w:cs="Times New Roman" w:eastAsia="Times New Roman" w:hAnsi="Times New Roman"/>
          <w:sz w:val="24"/>
          <w:szCs w:val="24"/>
        </w:rPr>
        <w:t xml:space="preserve">Input (Konteks &amp; Regulasi): Kerangka dimulai dari fondasi regulasi yang mengatur pengelolaan keuangan negara (UU 17/2003, UU 1/2004), tata cara pelaksanaan anggaran (PMK 62/2023, PP 50/2018), pengadaan barang/jasa (Perpres 16/2018 jo. Perpres 12/2021), serta evaluasi kinerja (PER-5/PB/2024). Konteks spesifik objek penelitian, Rudenim Pontianak sebagai UPT di bawah Direktorat Jenderal Imigrasi dengan karakteristik wilayah perbatasan, dominasi Belanja Modal (mencapai 65,92% pagu TA 2025), dan transisi kelembagaan TA 2025, menjadi </w:t>
      </w:r>
      <w:r>
        <w:rPr>
          <w:rFonts w:ascii="Times New Roman" w:cs="Times New Roman" w:eastAsia="Times New Roman" w:hAnsi="Times New Roman"/>
          <w:i/>
          <w:iCs/>
          <w:sz w:val="24"/>
          <w:szCs w:val="24"/>
        </w:rPr>
        <w:t xml:space="preserve">boundary condition</w:t>
      </w:r>
      <w:r>
        <w:rPr>
          <w:rFonts w:ascii="Times New Roman" w:cs="Times New Roman" w:eastAsia="Times New Roman" w:hAnsi="Times New Roman"/>
          <w:sz w:val="24"/>
          <w:szCs w:val="24"/>
        </w:rPr>
        <w:t xml:space="preserve"> yang memengaruhi dinamika pelaksanaan anggaran.</w:t>
      </w:r>
    </w:p>
    <w:p>
      <w:pPr>
        <w:spacing w:after="0" w:before="0" w:line="480"/>
        <w:ind w:firstLine="709"/>
        <w:jc w:val="both"/>
      </w:pPr>
      <w:r>
        <w:rPr>
          <w:rFonts w:ascii="Times New Roman" w:cs="Times New Roman" w:eastAsia="Times New Roman" w:hAnsi="Times New Roman"/>
          <w:sz w:val="24"/>
          <w:szCs w:val="24"/>
        </w:rPr>
        <w:t xml:space="preserve">Proses (Pelaksanaan Belanja Modal &amp; Titik Kritis): Proses pelaksanaan Belanja Modal dibagi menjadi tiga fase utama berdasarkan PMK 62/2023 yang disesuaikan dengan siklus pengadaan: (1) Fase Perencanaan (penyusunan RKA-K/L dan estimasi HPS/RAB), (2) Fase Penyusunan Dokumen Pelaksanaan Anggaran (penetapan DIPA dan penyusunan RPD Halaman III), dan (3) Fase Pelaksanaan Belanja Modal (pengadaan: tender, kontrak, progres fisik, BAST; serta pencairan: SPP-SPM-SP2D). Pada setiap fase, diidentifikasi </w:t>
      </w:r>
      <w:r>
        <w:rPr>
          <w:rFonts w:ascii="Times New Roman" w:cs="Times New Roman" w:eastAsia="Times New Roman" w:hAnsi="Times New Roman"/>
          <w:i/>
          <w:iCs/>
          <w:sz w:val="24"/>
          <w:szCs w:val="24"/>
        </w:rPr>
        <w:t xml:space="preserve">titik kritis deviasi</w:t>
      </w:r>
      <w:r>
        <w:rPr>
          <w:rFonts w:ascii="Times New Roman" w:cs="Times New Roman" w:eastAsia="Times New Roman" w:hAnsi="Times New Roman"/>
          <w:sz w:val="24"/>
          <w:szCs w:val="24"/>
        </w:rPr>
        <w:t xml:space="preserve"> (seperti ketidakakuratan estimasi harga, asumsi waktu pengadaan optimistik,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verifikasi, keterlambatan penyedia,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kendala sistem) yang menjadi fokus eksplorasi untuk menjawab RM 1 dan RM 2.</w:t>
      </w:r>
    </w:p>
    <w:p>
      <w:pPr>
        <w:spacing w:after="0" w:before="0" w:line="480"/>
        <w:ind w:firstLine="709"/>
        <w:jc w:val="both"/>
      </w:pPr>
      <w:r>
        <w:rPr>
          <w:rFonts w:ascii="Times New Roman" w:cs="Times New Roman" w:eastAsia="Times New Roman" w:hAnsi="Times New Roman"/>
          <w:sz w:val="24"/>
          <w:szCs w:val="24"/>
        </w:rPr>
        <w:t xml:space="preserve">Output (Deviasi Halaman III DIPA): Interaksi antara input regulasi, konteks organisasi, dan proses pelaksanaan menghasilkan output berupa deviasi antara RPD dan realisasi yang diukur melalui indikator Deviasi Halaman III DIPA dalam IKPA. Arah deviasi (utamanya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pada Belanja Modal) dan pola temporalnya (bulan kritis, tren TA 2023-2025) menjadi deskripsi fenomena yang menjawab RM 1.</w:t>
      </w:r>
    </w:p>
    <w:p>
      <w:pPr>
        <w:spacing w:after="0" w:before="0" w:line="480"/>
        <w:ind w:firstLine="709"/>
        <w:jc w:val="both"/>
      </w:pPr>
      <w:r>
        <w:rPr>
          <w:rFonts w:ascii="Times New Roman" w:cs="Times New Roman" w:eastAsia="Times New Roman" w:hAnsi="Times New Roman"/>
          <w:sz w:val="24"/>
          <w:szCs w:val="24"/>
        </w:rPr>
        <w:t xml:space="preserve">Outcome (Dampak IKPA &amp;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Deviasi yang berkelanjutan menurunkan skor IKPA (khususnya indikator Deviasi Halaman III DIPA), memicu pembinaan ketat KPPN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membatasi fleksibilitas pencairan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dan melemah akuntabilitas pengelolaan anggaran. Analisis </w:t>
      </w:r>
      <w:r>
        <w:rPr>
          <w:rFonts w:ascii="Times New Roman" w:cs="Times New Roman" w:eastAsia="Times New Roman" w:hAnsi="Times New Roman"/>
          <w:i/>
          <w:iCs/>
          <w:sz w:val="24"/>
          <w:szCs w:val="24"/>
        </w:rPr>
        <w:t xml:space="preserve">outcome</w:t>
      </w:r>
      <w:r>
        <w:rPr>
          <w:rFonts w:ascii="Times New Roman" w:cs="Times New Roman" w:eastAsia="Times New Roman" w:hAnsi="Times New Roman"/>
          <w:sz w:val="24"/>
          <w:szCs w:val="24"/>
        </w:rPr>
        <w:t xml:space="preserve"> ini menggunakan lensa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penyedia, rantai keagenan berlapis) untuk menjawab RM 3.</w:t>
      </w:r>
    </w:p>
    <w:p>
      <w:pPr>
        <w:spacing w:after="0" w:before="0" w:line="480"/>
        <w:ind w:firstLine="709"/>
        <w:jc w:val="both"/>
      </w:pPr>
      <w:r>
        <w:rPr>
          <w:rFonts w:ascii="Times New Roman" w:cs="Times New Roman" w:eastAsia="Times New Roman" w:hAnsi="Times New Roman"/>
          <w:sz w:val="24"/>
          <w:szCs w:val="24"/>
        </w:rPr>
        <w:t xml:space="preserve">Lensa Analisis: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diterapkan secara menyeluruh untuk memetakan hubungan </w:t>
      </w:r>
      <w:r>
        <w:rPr>
          <w:rFonts w:ascii="Times New Roman" w:cs="Times New Roman" w:eastAsia="Times New Roman" w:hAnsi="Times New Roman"/>
          <w:i/>
          <w:iCs/>
          <w:sz w:val="24"/>
          <w:szCs w:val="24"/>
        </w:rPr>
        <w:t xml:space="preserve">principal-agent</w:t>
      </w:r>
      <w:r>
        <w:rPr>
          <w:rFonts w:ascii="Times New Roman" w:cs="Times New Roman" w:eastAsia="Times New Roman" w:hAnsi="Times New Roman"/>
          <w:sz w:val="24"/>
          <w:szCs w:val="24"/>
        </w:rPr>
        <w:t xml:space="preserve"> pada setiap lapisan (Rakyat → DPR/Pemerintah → Kemenkeu/DJPb → Kanwil/KPPN → Rudenim/KPA/PPK → Penyedia) serta menginterpretasikan deviasi bukan sekadar kesalahan teknis, melainkan manifestasi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yang memerlukan respons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melalui IKPA.</w:t>
      </w:r>
    </w:p>
    <w:p>
      <w:pPr>
        <w:spacing w:after="0" w:before="0" w:line="480"/>
        <w:ind w:firstLine="709"/>
        <w:jc w:val="both"/>
      </w:pPr>
      <w:r>
        <w:rPr>
          <w:rFonts w:ascii="Times New Roman" w:cs="Times New Roman" w:eastAsia="Times New Roman" w:hAnsi="Times New Roman"/>
          <w:sz w:val="24"/>
          <w:szCs w:val="24"/>
        </w:rPr>
        <w:t xml:space="preserve">Kerangka ini divisualisasikan pada Gambar 2.1 yang memetakan alur dari Input → Proses (Fase &amp; Titik Kritis) → Output (Deviasi) → Outcome (IKPA,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analytical lens</w:t>
      </w:r>
      <w:r>
        <w:rPr>
          <w:rFonts w:ascii="Times New Roman" w:cs="Times New Roman" w:eastAsia="Times New Roman" w:hAnsi="Times New Roman"/>
          <w:sz w:val="24"/>
          <w:szCs w:val="24"/>
        </w:rPr>
        <w:t xml:space="preserve"> yang mengawasi seluruh alur.</w:t>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III</w:t>
      </w:r>
      <w:r>
        <w:rPr>
          <w:rFonts w:ascii="Times New Roman" w:cs="Times New Roman" w:eastAsia="Times New Roman" w:hAnsi="Times New Roman"/>
          <w:b/>
          <w:bCs/>
          <w:sz w:val="24"/>
          <w:szCs w:val="24"/>
        </w:rPr>
        <w:b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dengan jenis penelitian </w:t>
      </w:r>
      <w:r>
        <w:rPr>
          <w:rFonts w:ascii="Times New Roman" w:cs="Times New Roman" w:eastAsia="Times New Roman" w:hAnsi="Times New Roman"/>
          <w:i/>
          <w:iCs/>
          <w:sz w:val="24"/>
          <w:szCs w:val="24"/>
        </w:rPr>
        <w:t xml:space="preserve">deskriptif</w:t>
      </w:r>
      <w:r>
        <w:rPr>
          <w:rFonts w:ascii="Times New Roman" w:cs="Times New Roman" w:eastAsia="Times New Roman" w:hAnsi="Times New Roman"/>
          <w:sz w:val="24"/>
          <w:szCs w:val="24"/>
        </w:rPr>
        <w:t xml:space="preserve">. Creswell (2014, hlm. 4) mendefinisikan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w:t>
      </w:r>
      <w:r>
        <w:rPr>
          <w:rFonts w:ascii="Times New Roman" w:cs="Times New Roman" w:eastAsia="Times New Roman" w:hAnsi="Times New Roman"/>
          <w:i/>
          <w:iCs/>
          <w:sz w:val="24"/>
          <w:szCs w:val="24"/>
        </w:rPr>
        <w:t xml:space="preserve">kualitatif deskriptif</w:t>
      </w:r>
      <w:r>
        <w:rPr>
          <w:rFonts w:ascii="Times New Roman" w:cs="Times New Roman" w:eastAsia="Times New Roman" w:hAnsi="Times New Roman"/>
          <w:sz w:val="24"/>
          <w:szCs w:val="24"/>
        </w:rPr>
        <w:t xml:space="preserve"> memungkinkan peneliti memahami secara mendalam bagaimana para pengelola anggaran Rudenim Pontianak melaksanakan anggaran belanja, khususnya Belanja Modal, mulai dari perencanaan hingga pencairan, apa yang terjadi saat rencana tidak selaras dengan realitas operasional,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didasarkan pada karakter ketiga rumusan masalah yang hendak dijawab. RM 1 mengarahkan pada pertanyaan deskriptif tentang bagaimana implementasi pelaksanaan anggaran Belanja Modal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w:t>
      </w:r>
      <w:r>
        <w:rPr>
          <w:rFonts w:ascii="Times New Roman" w:cs="Times New Roman" w:eastAsia="Times New Roman" w:hAnsi="Times New Roman"/>
          <w:i/>
          <w:iCs/>
          <w:sz w:val="24"/>
          <w:szCs w:val="24"/>
        </w:rPr>
        <w:t xml:space="preserve">single case study</w:t>
      </w:r>
      <w:r>
        <w:rPr>
          <w:rFonts w:ascii="Times New Roman" w:cs="Times New Roman" w:eastAsia="Times New Roman" w:hAnsi="Times New Roman"/>
          <w:sz w:val="24"/>
          <w:szCs w:val="24"/>
        </w:rPr>
        <w:t xml:space="preserve">)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sz w:val="24"/>
          <w:szCs w:val="24"/>
        </w:rPr>
        <w:t xml:space="preserve">Populasi Penelitian dalam studi ini adalah seluruh pejabat struktural dan fungsional yang terlibat langsung dalam siklus perencanaan, pengadaan, pelaksanaan, pencairan, dan pengendalian anggaran Belanja Modal di Rudenim Pontianak selama periode Tahun Anggaran 2023-2025, serta seluruh arsip dokumen pelaksanaan anggaran periode tersebut.</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memadai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secara khusus relevan dengan fokus penelitian pada pelaksanaan anggaran Belanja Modal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Belanja Modal,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5"/>
        </w:numPr>
        <w:spacing w:after="0" w:before="0" w:line="480"/>
        <w:ind w:left="720" w:hanging="36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Belanja Modal Rudenim Pontianak.</w:t>
      </w:r>
    </w:p>
    <w:p>
      <w:pPr>
        <w:pStyle w:val="ListParagraph"/>
        <w:numPr>
          <w:ilvl w:val="0"/>
          <w:numId w:val="5"/>
        </w:numPr>
        <w:spacing w:after="0" w:before="0" w:line="480"/>
        <w:ind w:left="720" w:hanging="36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5"/>
        </w:numPr>
        <w:spacing w:after="0" w:before="0" w:line="480"/>
        <w:ind w:left="720" w:hanging="36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 Sesuai arahan dosen pembimbing, Kuasa Pengguna Anggaran (KPA) dan Pejabat Pembuat Komitmen (PPK) ditetapkan sebagai informan utama karena keduanya merupakan pengambil keputusan kunci dalam perencanaan dan pelaksanaan Belanja Modal, sementara empat pejabat lainnya (PPSPM, BPG, SRKA, dan PBJ) berperan sebagai informan pendukung untuk kepentingan triangulasi dan pendalaman teknis. Jumlah informan ini dijustifikasikan dengan pertimbangan </w:t>
      </w:r>
      <w:r>
        <w:rPr>
          <w:rFonts w:ascii="Times New Roman" w:cs="Times New Roman" w:eastAsia="Times New Roman" w:hAnsi="Times New Roman"/>
          <w:i/>
          <w:iCs/>
          <w:sz w:val="24"/>
          <w:szCs w:val="24"/>
        </w:rPr>
        <w:t xml:space="preserve">non-redundancy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information power</w:t>
      </w:r>
      <w:r>
        <w:rPr>
          <w:rFonts w:ascii="Times New Roman" w:cs="Times New Roman" w:eastAsia="Times New Roman" w:hAnsi="Times New Roman"/>
          <w:sz w:val="24"/>
          <w:szCs w:val="24"/>
        </w:rPr>
        <w:t xml:space="preserve"> (Malterud et al., 2016; dalam Patton, 2015): keenam informan mewakili </w:t>
      </w:r>
      <w:r>
        <w:rPr>
          <w:rFonts w:ascii="Times New Roman" w:cs="Times New Roman" w:eastAsia="Times New Roman" w:hAnsi="Times New Roman"/>
          <w:i/>
          <w:iCs/>
          <w:sz w:val="24"/>
          <w:szCs w:val="24"/>
        </w:rPr>
        <w:t xml:space="preserve">full chain</w:t>
      </w:r>
      <w:r>
        <w:rPr>
          <w:rFonts w:ascii="Times New Roman" w:cs="Times New Roman" w:eastAsia="Times New Roman" w:hAnsi="Times New Roman"/>
          <w:sz w:val="24"/>
          <w:szCs w:val="24"/>
        </w:rPr>
        <w:t xml:space="preserve"> perencanaan-pengadaan-pelaksanaan-pencairan-pengendalian tanpa tumpang tindih peran (</w:t>
      </w:r>
      <w:r>
        <w:rPr>
          <w:rFonts w:ascii="Times New Roman" w:cs="Times New Roman" w:eastAsia="Times New Roman" w:hAnsi="Times New Roman"/>
          <w:i/>
          <w:iCs/>
          <w:sz w:val="24"/>
          <w:szCs w:val="24"/>
        </w:rPr>
        <w:t xml:space="preserve">non-redundant key informants</w:t>
      </w:r>
      <w:r>
        <w:rPr>
          <w:rFonts w:ascii="Times New Roman" w:cs="Times New Roman" w:eastAsia="Times New Roman" w:hAnsi="Times New Roman"/>
          <w:sz w:val="24"/>
          <w:szCs w:val="24"/>
        </w:rPr>
        <w:t xml:space="preserve">), sehingga mencakup seluruh rentang proses yang relevan untuk menjawab ketiga RM.</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264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KPA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Informan utama. Otoritas tertinggi pengelolaan anggaran satker; penetapan DIPA dan RPD; perspektif strategis pelaksanaan Belanja Modal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PPK</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Informan utama. Penanggung jawab komitmen pengadaan Belanja Modal; touchpoint utama kontrak, BAST, dan SPP-LS</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PPSPM</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BPG</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SRKA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PBJ</w:t>
            </w:r>
          </w:p>
        </w:tc>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264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tiga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studi dokumentasi, dan observasi non-partisipatif, yang saling melengkapi untuk menjawab ketiga rumusan masalah. Kombinasi ketiga teknik ini memungkinkan triangulasi sumber dan metode secara struktural: data primer dari wawancara memberikan kedalaman interpretatif dan eksplanatif, data sekunder dari dokumen menyediakan landasan faktual yang terverifikasi sistem, dan observasi menangkap konteks interaksi dan alur kerja yang tidak sepenuhnya terekam dalam dokumen maupun terungkap dalam wawancara.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sebagai teknik primer penelitian ini diuraikan secara tersendiri pada Sub-bab 3.3.2, mengingat keterkaitannya yang erat dengan kerangka analisis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dan model analisis data; adapun pada sub-bab ini dijelaskan dua teknik pengumpulan data pendukung, yakni studi dokumentasi dan observasi non-partisipatif.</w:t>
      </w:r>
    </w:p>
    <w:p>
      <w:pPr>
        <w:pStyle w:val="Heading3"/>
        <w:spacing w:after="160" w:before="240" w:line="480"/>
        <w:jc w:val="left"/>
      </w:pPr>
      <w:r>
        <w:rPr>
          <w:rFonts w:ascii="Times New Roman" w:cs="Times New Roman" w:eastAsia="Times New Roman" w:hAnsi="Times New Roman"/>
          <w:b/>
          <w:bCs/>
          <w:sz w:val="24"/>
          <w:szCs w:val="24"/>
        </w:rPr>
        <w:t xml:space="preserve">3.2.1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diakses dalam penelitian ini disajikan pada Tabel 3.2.</w:t>
      </w:r>
    </w:p>
    <w:p>
      <w:pPr>
        <w:spacing w:after="80" w:before="240" w:line="480"/>
        <w:jc w:val="center"/>
      </w:pPr>
      <w:r>
        <w:rPr>
          <w:rFonts w:ascii="Times New Roman" w:cs="Times New Roman" w:eastAsia="Times New Roman" w:hAnsi="Times New Roman"/>
          <w:b/>
          <w:bCs/>
          <w:sz w:val="24"/>
          <w:szCs w:val="24"/>
        </w:rPr>
        <w:t xml:space="preserve">Tabel 3.2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 - Monitoring and Evaluation of Budget Execution)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3.2.2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Belanja Modal. Protokol observasi (</w:t>
      </w:r>
      <w:r>
        <w:rPr>
          <w:rFonts w:ascii="Times New Roman" w:cs="Times New Roman" w:eastAsia="Times New Roman" w:hAnsi="Times New Roman"/>
          <w:i/>
          <w:iCs/>
          <w:sz w:val="24"/>
          <w:szCs w:val="24"/>
        </w:rPr>
        <w:t xml:space="preserve">observation guide/checklist</w:t>
      </w:r>
      <w:r>
        <w:rPr>
          <w:rFonts w:ascii="Times New Roman" w:cs="Times New Roman" w:eastAsia="Times New Roman" w:hAnsi="Times New Roman"/>
          <w:sz w:val="24"/>
          <w:szCs w:val="24"/>
        </w:rPr>
        <w:t xml:space="preserve">) telah disiapkan merujuk pada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analisis (Gambar 3.1) untuk memastikan fokus pada titik-titik kritis deviasi (Lampiran 2).</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empat komponen yang saling terkait: pertama, alur pelaksanaan anggaran Belanja Modal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(3.3.1); kedua,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sebagai teknik penggalian data primer yang dirancang mengikuti titik-titik kritis dalam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tersebut (3.3.2); ketiga, model analisis </w:t>
      </w:r>
      <w:r>
        <w:rPr>
          <w:rFonts w:ascii="Times New Roman" w:cs="Times New Roman" w:eastAsia="Times New Roman" w:hAnsi="Times New Roman"/>
          <w:i/>
          <w:iCs/>
          <w:sz w:val="24"/>
          <w:szCs w:val="24"/>
        </w:rPr>
        <w:t xml:space="preserve">Framework Analysis</w:t>
      </w:r>
      <w:r>
        <w:rPr>
          <w:rFonts w:ascii="Times New Roman" w:cs="Times New Roman" w:eastAsia="Times New Roman" w:hAnsi="Times New Roman"/>
          <w:sz w:val="24"/>
          <w:szCs w:val="24"/>
        </w:rPr>
        <w:t xml:space="preserve"> (Analisis Tematik Deduktif) sebagai prosedur analisis data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(3.3.3); dan keempat, uji keabsahan data berdasarkan kriteria Lincoln dan Guba (1985) (3.3.4). Penempatan uraian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pada sub-bab ini dimaksudkan agar rancangan wawancara terbaca sebagai satu kesatuan dengan kerangka dan prosedur analisis yang menjadi muara datanya.</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w:t>
      </w:r>
      <w:r>
        <w:rPr>
          <w:rFonts w:ascii="Times New Roman" w:cs="Times New Roman" w:eastAsia="Times New Roman" w:hAnsi="Times New Roman"/>
          <w:b/>
          <w:bCs/>
          <w:i/>
          <w:iCs/>
          <w:sz w:val="24"/>
          <w:szCs w:val="24"/>
        </w:rPr>
        <w:t xml:space="preserve">Flowchart</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Belanja Modal,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Belanja Modal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Belanja Modal.</w:t>
      </w:r>
    </w:p>
    <w:p>
      <w:pPr>
        <w:spacing w:after="80" w:before="240" w:line="480"/>
        <w:jc w:val="center"/>
      </w:pPr>
      <w:r>
        <w:rPr>
          <w:rFonts w:ascii="Times New Roman" w:cs="Times New Roman" w:eastAsia="Times New Roman" w:hAnsi="Times New Roman"/>
          <w:i/>
          <w:iCs/>
          <w:sz w:val="24"/>
          <w:szCs w:val="24"/>
        </w:rPr>
        <w:t xml:space="preserve">Gambar 3.1 Alur Pelaksanaan Anggaran Belanja Modal</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secara substansial dari harga pasar aktual pada saat pelaksanaan pengadaan, sehingga memaksa revisi atau bahkan pembatalan paket Belanja Modal. Selain itu, TOR dan RAB yang tidak cukup mendetail dalam spesifikasi teknis menimbulkan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antara kebutuhan unit teknis dan penawaran penyedia pada tahap pengadaan. Asumsi waktu pengadaan yang terlalu optimistik, misalnya mengasumsikan kontrak sudah ditandatangani pada Kuartal I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Belanja Modal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Belanja Modal.</w:t>
      </w:r>
    </w:p>
    <w:p>
      <w:pPr>
        <w:spacing w:after="0" w:before="0" w:line="480"/>
        <w:ind w:firstLine="709"/>
        <w:jc w:val="both"/>
      </w:pPr>
      <w:r>
        <w:rPr>
          <w:rFonts w:ascii="Times New Roman" w:cs="Times New Roman" w:eastAsia="Times New Roman" w:hAnsi="Times New Roman"/>
          <w:sz w:val="24"/>
          <w:szCs w:val="24"/>
        </w:rPr>
        <w:t xml:space="preserve">Pada Fase Pelaksanaan Anggaran Belanja Modal, fase yang memiliki jumlah titik kritis terbanyak,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dalam Perpres 16/2018 jo. Perpres 12/2021);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Belanja Modal, proses pengambilan keputusan pengadaan, dinamika koordinasi antar-pejabat keuangan, dan hambatan yang menyebabkan deviasi merupakan informasi yang hanya dapat diperoleh melalui narasi para pelakunya. Wawancara ditujukan kepada informan yang telah ditetapkan pada Sub-bab 3.1 (Tabel 3.1), dengan KPA dan PPK sebagai informan utama dan empat pejabat lainnya sebagai informan pendukung.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 Pedoman wawancara secara sistematis diturunkan dari titik-titik kritis pada setiap fase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(Gambar 3.1) dan matriks operasionalisasi konsep (Tabel 3.3).</w:t>
      </w:r>
    </w:p>
    <w:p>
      <w:pPr>
        <w:spacing w:after="0" w:before="0" w:line="480"/>
        <w:ind w:firstLine="709"/>
        <w:jc w:val="both"/>
      </w:pPr>
      <w:r>
        <w:rPr>
          <w:rFonts w:ascii="Times New Roman" w:cs="Times New Roman" w:eastAsia="Times New Roman" w:hAnsi="Times New Roman"/>
          <w:sz w:val="24"/>
          <w:szCs w:val="24"/>
        </w:rPr>
        <w:t xml:space="preserve">Validitas Instrumen Wawancara. Pedoman wawancara (</w:t>
      </w:r>
      <w:r>
        <w:rPr>
          <w:rFonts w:ascii="Times New Roman" w:cs="Times New Roman" w:eastAsia="Times New Roman" w:hAnsi="Times New Roman"/>
          <w:i/>
          <w:iCs/>
          <w:sz w:val="24"/>
          <w:szCs w:val="24"/>
        </w:rPr>
        <w:t xml:space="preserve">interview guide</w:t>
      </w:r>
      <w:r>
        <w:rPr>
          <w:rFonts w:ascii="Times New Roman" w:cs="Times New Roman" w:eastAsia="Times New Roman" w:hAnsi="Times New Roman"/>
          <w:sz w:val="24"/>
          <w:szCs w:val="24"/>
        </w:rPr>
        <w:t xml:space="preserve">) yang telah disusun berdasarkan matriks operasionalisasi konsep (Tabel 3.3) divalidasi melalui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oleh kedua dosen pembimbing sebelum turun ke lapangan. Selanjutnya dilakukan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(uji coba) terhadap satu pejabat non-target (misalnya staf pengelola keuangan di Kanwil DJPb Kalimantan Barat) untuk menguji kelogisan alur pertanyaan, kejelasan bahasa, dan estimasi durasi. Hasil revisi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menjadi pedoman final yang digunakan.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 Uraian lengkap etika penelitian disajikan pada Sub-bab 3.5.</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3.3.3 Model Analisis Data: Framework Analysis (Analisis Tematik Deduktif)</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Framework Analysis (Analisis Kerangka) yang dikembangkan dari model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Miles dan Huberman (1994, hlm. 10-12) dengan penekanan pada pendekatan deduktif (</w:t>
      </w:r>
      <w:r>
        <w:rPr>
          <w:rFonts w:ascii="Times New Roman" w:cs="Times New Roman" w:eastAsia="Times New Roman" w:hAnsi="Times New Roman"/>
          <w:i/>
          <w:iCs/>
          <w:sz w:val="24"/>
          <w:szCs w:val="24"/>
        </w:rPr>
        <w:t xml:space="preserve">deductive thematic analysis</w:t>
      </w:r>
      <w:r>
        <w:rPr>
          <w:rFonts w:ascii="Times New Roman" w:cs="Times New Roman" w:eastAsia="Times New Roman" w:hAnsi="Times New Roman"/>
          <w:sz w:val="24"/>
          <w:szCs w:val="24"/>
        </w:rPr>
        <w:t xml:space="preserve">). Model ini dipilih karena sesuai dengan karakter penelitian yang sudah memiliki kerangka konseptual dan proposisi awal (Bab 2.3 dan 2.4) berbasis teori (Agency Theory) dan regulasi (PMK 62/2023, Perpres 16/2018), sehingga analisis bukan bermula dari nol (</w:t>
      </w:r>
      <w:r>
        <w:rPr>
          <w:rFonts w:ascii="Times New Roman" w:cs="Times New Roman" w:eastAsia="Times New Roman" w:hAnsi="Times New Roman"/>
          <w:i/>
          <w:iCs/>
          <w:sz w:val="24"/>
          <w:szCs w:val="24"/>
        </w:rPr>
        <w:t xml:space="preserve">grounded theory</w:t>
      </w:r>
      <w:r>
        <w:rPr>
          <w:rFonts w:ascii="Times New Roman" w:cs="Times New Roman" w:eastAsia="Times New Roman" w:hAnsi="Times New Roman"/>
          <w:sz w:val="24"/>
          <w:szCs w:val="24"/>
        </w:rPr>
        <w:t xml:space="preserve">) melainkan menguji dan memperkaya kerangka yang ada (</w:t>
      </w:r>
      <w:r>
        <w:rPr>
          <w:rFonts w:ascii="Times New Roman" w:cs="Times New Roman" w:eastAsia="Times New Roman" w:hAnsi="Times New Roman"/>
          <w:i/>
          <w:iCs/>
          <w:sz w:val="24"/>
          <w:szCs w:val="24"/>
        </w:rPr>
        <w:t xml:space="preserve">theory-driven</w:t>
      </w:r>
      <w:r>
        <w:rPr>
          <w:rFonts w:ascii="Times New Roman" w:cs="Times New Roman" w:eastAsia="Times New Roman" w:hAnsi="Times New Roman"/>
          <w:sz w:val="24"/>
          <w:szCs w:val="24"/>
        </w:rPr>
        <w:t xml:space="preserve">). Proses analisis bersifat iteratif dan simultan: pengumpulan data, reduksi data, penyajian data, dan penarikan kesimpulan berlangsung dalam siklus yang saling mengisi.</w:t>
      </w:r>
    </w:p>
    <w:p>
      <w:pPr>
        <w:spacing w:after="0" w:before="0" w:line="480"/>
        <w:ind w:firstLine="709"/>
        <w:jc w:val="both"/>
      </w:pPr>
      <w:r>
        <w:rPr>
          <w:rFonts w:ascii="Times New Roman" w:cs="Times New Roman" w:eastAsia="Times New Roman" w:hAnsi="Times New Roman"/>
          <w:sz w:val="24"/>
          <w:szCs w:val="24"/>
        </w:rPr>
        <w:t xml:space="preserve">Tahap Pertama: Reduksi Data (</w:t>
      </w:r>
      <w:r>
        <w:rPr>
          <w:rFonts w:ascii="Times New Roman" w:cs="Times New Roman" w:eastAsia="Times New Roman" w:hAnsi="Times New Roman"/>
          <w:i/>
          <w:iCs/>
          <w:sz w:val="24"/>
          <w:szCs w:val="24"/>
        </w:rPr>
        <w:t xml:space="preserve">Data Reduction</w:t>
      </w:r>
      <w:r>
        <w:rPr>
          <w:rFonts w:ascii="Times New Roman" w:cs="Times New Roman" w:eastAsia="Times New Roman" w:hAnsi="Times New Roman"/>
          <w:sz w:val="24"/>
          <w:szCs w:val="24"/>
        </w:rPr>
        <w:t xml:space="preserve">). Reduksi dilaksanakan melalui transkripsi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rekaman wawancara, kemudian pengkodean bertahap sebagai berikut:</w:t>
      </w:r>
    </w:p>
    <w:p>
      <w:pPr>
        <w:pStyle w:val="ListParagraph"/>
        <w:numPr>
          <w:ilvl w:val="0"/>
          <w:numId w:val="6"/>
        </w:numPr>
        <w:spacing w:after="0" w:before="0" w:line="480"/>
        <w:ind w:left="720" w:hanging="360"/>
        <w:jc w:val="both"/>
      </w:pPr>
      <w:r>
        <w:rPr>
          <w:rFonts w:ascii="Times New Roman" w:cs="Times New Roman" w:eastAsia="Times New Roman" w:hAnsi="Times New Roman"/>
          <w:sz w:val="24"/>
          <w:szCs w:val="24"/>
        </w:rPr>
        <w:t xml:space="preserve">Pengkodean Awal (</w:t>
      </w:r>
      <w:r>
        <w:rPr>
          <w:rFonts w:ascii="Times New Roman" w:cs="Times New Roman" w:eastAsia="Times New Roman" w:hAnsi="Times New Roman"/>
          <w:i/>
          <w:iCs/>
          <w:sz w:val="24"/>
          <w:szCs w:val="24"/>
        </w:rPr>
        <w:t xml:space="preserve">Initial Coding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Open Coding</w:t>
      </w:r>
      <w:r>
        <w:rPr>
          <w:rFonts w:ascii="Times New Roman" w:cs="Times New Roman" w:eastAsia="Times New Roman" w:hAnsi="Times New Roman"/>
          <w:sz w:val="24"/>
          <w:szCs w:val="24"/>
        </w:rPr>
        <w:t xml:space="preserve">): Pemberian label pada unit makna dasar yang muncul dari data mentah (narasi informan, dokumen, catatan observasi).</w:t>
      </w:r>
    </w:p>
    <w:p>
      <w:pPr>
        <w:pStyle w:val="ListParagraph"/>
        <w:numPr>
          <w:ilvl w:val="0"/>
          <w:numId w:val="6"/>
        </w:numPr>
        <w:spacing w:after="0" w:before="0" w:line="480"/>
        <w:ind w:left="720" w:hanging="360"/>
        <w:jc w:val="both"/>
      </w:pPr>
      <w:r>
        <w:rPr>
          <w:rFonts w:ascii="Times New Roman" w:cs="Times New Roman" w:eastAsia="Times New Roman" w:hAnsi="Times New Roman"/>
          <w:sz w:val="24"/>
          <w:szCs w:val="24"/>
        </w:rPr>
        <w:t xml:space="preserve">Pengkodean A Priori (</w:t>
      </w:r>
      <w:r>
        <w:rPr>
          <w:rFonts w:ascii="Times New Roman" w:cs="Times New Roman" w:eastAsia="Times New Roman" w:hAnsi="Times New Roman"/>
          <w:i/>
          <w:iCs/>
          <w:sz w:val="24"/>
          <w:szCs w:val="24"/>
        </w:rPr>
        <w:t xml:space="preserve">A Priori Coding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Axial Coding</w:t>
      </w:r>
      <w:r>
        <w:rPr>
          <w:rFonts w:ascii="Times New Roman" w:cs="Times New Roman" w:eastAsia="Times New Roman" w:hAnsi="Times New Roman"/>
          <w:sz w:val="24"/>
          <w:szCs w:val="24"/>
        </w:rPr>
        <w:t xml:space="preserve">): Pengelompokan kode-kode awal ke dalam kategori-kategori yang telah ditentukan sebelumnya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berdasarkan kerangka konseptual penelitian.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ini mencakup: (a) Lima faktor penyebab deviasi (Perencanaan, SDM, Administratif, Operasional/Pihak Ketiga, Teknis/Sistem) dari Sub-bab 2.1.3; (b) Konstruk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dari Sub-bab 2.1.4; (c) Fase alur pelaksanaan (Perencanaan, Penyusunan, Pelaksanaan) dan Titik Kritis dari Gambar 3.1; (d) Indikator IKPA (Deviasi Hal III, Penyerapan, Kontraktual, dsb) dari Sub-bab 2.1.5.</w:t>
      </w:r>
    </w:p>
    <w:p>
      <w:pPr>
        <w:pStyle w:val="ListParagraph"/>
        <w:numPr>
          <w:ilvl w:val="0"/>
          <w:numId w:val="6"/>
        </w:numPr>
        <w:spacing w:after="0" w:before="0" w:line="480"/>
        <w:ind w:left="720" w:hanging="360"/>
        <w:jc w:val="both"/>
      </w:pPr>
      <w:r>
        <w:rPr>
          <w:rFonts w:ascii="Times New Roman" w:cs="Times New Roman" w:eastAsia="Times New Roman" w:hAnsi="Times New Roman"/>
          <w:sz w:val="24"/>
          <w:szCs w:val="24"/>
        </w:rPr>
        <w:t xml:space="preserve">Pengkodean Emergen (</w:t>
      </w:r>
      <w:r>
        <w:rPr>
          <w:rFonts w:ascii="Times New Roman" w:cs="Times New Roman" w:eastAsia="Times New Roman" w:hAnsi="Times New Roman"/>
          <w:i/>
          <w:iCs/>
          <w:sz w:val="24"/>
          <w:szCs w:val="24"/>
        </w:rPr>
        <w:t xml:space="preserve">Emergent Coding</w:t>
      </w:r>
      <w:r>
        <w:rPr>
          <w:rFonts w:ascii="Times New Roman" w:cs="Times New Roman" w:eastAsia="Times New Roman" w:hAnsi="Times New Roman"/>
          <w:sz w:val="24"/>
          <w:szCs w:val="24"/>
        </w:rPr>
        <w:t xml:space="preserve">): Identifikasi kode-kode baru yang muncul dari data dan tidak tercakup dalam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(misalnya: dampak transisi kelembagaan TA 2025, budaya organisasi, tekanan politik anggaran).</w:t>
      </w:r>
    </w:p>
    <w:p>
      <w:pPr>
        <w:pStyle w:val="ListParagraph"/>
        <w:numPr>
          <w:ilvl w:val="0"/>
          <w:numId w:val="6"/>
        </w:numPr>
        <w:spacing w:after="0" w:before="0" w:line="480"/>
        <w:ind w:left="720" w:hanging="360"/>
        <w:jc w:val="both"/>
      </w:pPr>
      <w:r>
        <w:rPr>
          <w:rFonts w:ascii="Times New Roman" w:cs="Times New Roman" w:eastAsia="Times New Roman" w:hAnsi="Times New Roman"/>
          <w:sz w:val="24"/>
          <w:szCs w:val="24"/>
        </w:rPr>
        <w:t xml:space="preserve">Pengkodean Tematik Inti (</w:t>
      </w:r>
      <w:r>
        <w:rPr>
          <w:rFonts w:ascii="Times New Roman" w:cs="Times New Roman" w:eastAsia="Times New Roman" w:hAnsi="Times New Roman"/>
          <w:i/>
          <w:iCs/>
          <w:sz w:val="24"/>
          <w:szCs w:val="24"/>
        </w:rPr>
        <w:t xml:space="preserve">Selective/Theme Coding</w:t>
      </w:r>
      <w:r>
        <w:rPr>
          <w:rFonts w:ascii="Times New Roman" w:cs="Times New Roman" w:eastAsia="Times New Roman" w:hAnsi="Times New Roman"/>
          <w:sz w:val="24"/>
          <w:szCs w:val="24"/>
        </w:rPr>
        <w:t xml:space="preserve">): Penyortiran dan integrasi kategori untuk mengidentifikasi tema-tema inti yang menjawab langsung ketiga RM.</w:t>
      </w:r>
    </w:p>
    <w:p>
      <w:pPr>
        <w:spacing w:after="0" w:before="0" w:line="480"/>
        <w:ind w:firstLine="709"/>
        <w:jc w:val="both"/>
      </w:pPr>
      <w:r>
        <w:rPr>
          <w:rFonts w:ascii="Times New Roman" w:cs="Times New Roman" w:eastAsia="Times New Roman" w:hAnsi="Times New Roman"/>
          <w:sz w:val="24"/>
          <w:szCs w:val="24"/>
        </w:rPr>
        <w:t xml:space="preserve">Tahap Kedua: Penyajian Data (</w:t>
      </w:r>
      <w:r>
        <w:rPr>
          <w:rFonts w:ascii="Times New Roman" w:cs="Times New Roman" w:eastAsia="Times New Roman" w:hAnsi="Times New Roman"/>
          <w:i/>
          <w:iCs/>
          <w:sz w:val="24"/>
          <w:szCs w:val="24"/>
        </w:rPr>
        <w:t xml:space="preserve">Data Display</w:t>
      </w:r>
      <w:r>
        <w:rPr>
          <w:rFonts w:ascii="Times New Roman" w:cs="Times New Roman" w:eastAsia="Times New Roman" w:hAnsi="Times New Roman"/>
          <w:sz w:val="24"/>
          <w:szCs w:val="24"/>
        </w:rPr>
        <w:t xml:space="preserve">). Informasi yang telah direduksi diorganisasikan ke dalam bentuk matriks, tabel, dan diagram yang memungkinkan penarikan kesimpulan. Penelitian ini menggunakan:</w:t>
      </w:r>
    </w:p>
    <w:p>
      <w:pPr>
        <w:spacing w:after="0" w:before="0" w:line="480"/>
        <w:ind w:firstLine="709"/>
        <w:jc w:val="both"/>
      </w:pPr>
      <w:r>
        <w:rPr>
          <w:rFonts w:ascii="Times New Roman" w:cs="Times New Roman" w:eastAsia="Times New Roman" w:hAnsi="Times New Roman"/>
          <w:sz w:val="24"/>
          <w:szCs w:val="24"/>
        </w:rPr>
        <w:t xml:space="preserve">- Matriks Operasionalisasi Konsep (Tabel 3.3): Memetakan RM, Dimensi Teoritis/Regulasi, Indikator Observasi, Item Pertanyaan Wawancara, Informan Target, dan Dokumen Pendukung.</w:t>
      </w:r>
    </w:p>
    <w:p>
      <w:pPr>
        <w:spacing w:after="0" w:before="0" w:line="480"/>
        <w:ind w:firstLine="709"/>
        <w:jc w:val="both"/>
      </w:pPr>
      <w:r>
        <w:rPr>
          <w:rFonts w:ascii="Times New Roman" w:cs="Times New Roman" w:eastAsia="Times New Roman" w:hAnsi="Times New Roman"/>
          <w:sz w:val="24"/>
          <w:szCs w:val="24"/>
        </w:rPr>
        <w:t xml:space="preserve">- Matriks Faktor-Informan-Bukti Dokumen: Menyilangkan faktor penyebab deviasi dengan perspektif informan dan bukti dokumen untuk triangulasi sumber.</w:t>
      </w:r>
    </w:p>
    <w:p>
      <w:pPr>
        <w:spacing w:after="0" w:before="0" w:line="480"/>
        <w:ind w:firstLine="709"/>
        <w:jc w:val="both"/>
      </w:pPr>
      <w:r>
        <w:rPr>
          <w:rFonts w:ascii="Times New Roman" w:cs="Times New Roman" w:eastAsia="Times New Roman" w:hAnsi="Times New Roman"/>
          <w:sz w:val="24"/>
          <w:szCs w:val="24"/>
        </w:rPr>
        <w:t xml:space="preserve">- Matriks Pola Deviasi per Tahun per Bulan Kritis: Memvisualisasikan dinamika deviasi TA 2023-2025.</w:t>
      </w:r>
    </w:p>
    <w:p>
      <w:pPr>
        <w:spacing w:after="0" w:before="0" w:line="480"/>
        <w:ind w:firstLine="709"/>
        <w:jc w:val="both"/>
      </w:pPr>
      <w:r>
        <w:rPr>
          <w:rFonts w:ascii="Times New Roman" w:cs="Times New Roman" w:eastAsia="Times New Roman" w:hAnsi="Times New Roman"/>
          <w:sz w:val="24"/>
          <w:szCs w:val="24"/>
        </w:rPr>
        <w:t xml:space="preserve">- Diagram Hubungan Penyebab-Deviasi-Dampak (</w:t>
      </w:r>
      <w:r>
        <w:rPr>
          <w:rFonts w:ascii="Times New Roman" w:cs="Times New Roman" w:eastAsia="Times New Roman" w:hAnsi="Times New Roman"/>
          <w:i/>
          <w:iCs/>
          <w:sz w:val="24"/>
          <w:szCs w:val="24"/>
        </w:rPr>
        <w:t xml:space="preserve">Causal Map</w:t>
      </w:r>
      <w:r>
        <w:rPr>
          <w:rFonts w:ascii="Times New Roman" w:cs="Times New Roman" w:eastAsia="Times New Roman" w:hAnsi="Times New Roman"/>
          <w:sz w:val="24"/>
          <w:szCs w:val="24"/>
        </w:rPr>
        <w:t xml:space="preserve">): Memetakan kausalitas dari faktor penyebab menuju deviasi dan dari deviasi menuju dampak (IKPA, Akuntabilitas,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Tahap Ketiga: Penarikan Kesimpulan dan Verifikasi (</w:t>
      </w:r>
      <w:r>
        <w:rPr>
          <w:rFonts w:ascii="Times New Roman" w:cs="Times New Roman" w:eastAsia="Times New Roman" w:hAnsi="Times New Roman"/>
          <w:i/>
          <w:iCs/>
          <w:sz w:val="24"/>
          <w:szCs w:val="24"/>
        </w:rPr>
        <w:t xml:space="preserve">Conclusion Drawing and Verification</w:t>
      </w:r>
      <w:r>
        <w:rPr>
          <w:rFonts w:ascii="Times New Roman" w:cs="Times New Roman" w:eastAsia="Times New Roman" w:hAnsi="Times New Roman"/>
          <w:sz w:val="24"/>
          <w:szCs w:val="24"/>
        </w:rPr>
        <w:t xml:space="preserve">).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(Proposisi 1, 2, 3)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spacing w:after="80" w:before="240" w:line="480"/>
        <w:jc w:val="center"/>
      </w:pPr>
      <w:r>
        <w:rPr>
          <w:rFonts w:ascii="Times New Roman" w:cs="Times New Roman" w:eastAsia="Times New Roman" w:hAnsi="Times New Roman"/>
          <w:b/>
          <w:bCs/>
          <w:sz w:val="24"/>
          <w:szCs w:val="24"/>
        </w:rPr>
        <w:t xml:space="preserve">Tabel 3.3 Matriks Operasionalisasi Konsep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Rumusan Masalah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Dimensi Teoritis/Regulasi</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 Observasi/Wawancara</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Item Pertanyaan Wawancara (Contoh)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Informan Target</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 Pendukung</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RM1: Implementasi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Perencanaan (PMK 62, RKA-K/L)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Akurasi RPD, Proses penetapan HPS/RAB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proses penetapan HPS/RAB dan jadwal RPD paket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PPK,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RKA-K/L, DIPA Hal III, HPS/RAB</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Pengadaan (Perpres 16/2018)</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Metode pemilihan, Timeline tender,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dinamika proses tender/seleksi hingga penandatanganan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Kontrak, BA Pemilihan,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Pelaksanaan &amp; Pencairan (PMK 62)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BAST, SPP-SPM-SP2D, Termin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alur verifikasi BAST hingga SP2D? Kendala apa yang sering muncul?"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SPP, SPM, SP2D, LRA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RM2: Penyebab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Perencanaan (Ratnasari, 2022)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harga, Asumsi waktu, Revisi DIPA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"Mengapa RPD sering tidak realistis? Bagaimana dampak transisi kelembagaan TA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KPA,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RPD vs Realisasi, Revisi DIPA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SDM &amp; Kapasitas (Manangin dkk., 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pengadaan, Beban kerja, Pergantian personel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jumlah pejabat pengadaan/PPK memadai? Bagaimana beban kerja memengaruhi kualitas dokumen?"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SK Pejabat, Sertifikasi, Log aktivitas</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Administratif/Regulasi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Kelengkapan dokumen, Verifikasi PPSPM/KPPN, Blokir anggaran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"Sejauh mana kelengkapan dokumen penyedia &amp; verifikasi PPSPM jadi bottleneck?"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Catatan revisi SPP, Log verifikasi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Operasional/Pihak 3 (Sholawatunnisa &amp; Supriyanto,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Cuaca, Supply chain, Kapasitas penyedia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kinerja penyedia? Apakah keterbatasan penyedia lokal jadi kendala?"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Laporan Progres, Kontrak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Teknis/Sistem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Sinkronisasi OM-SPAN/SAKTI, Error input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kendala sistem (SPAN/SAKTI) menggeser realisasi?"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Log error sistem, Screenshot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Konstruk Agency Theory (Lane, 2003)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Asimetri info (RPD vs Realita), Moral Hazard penyedia, Monitoring Cost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ada kesenjangan informasi antara PPK/Penyedia/PPSPM? Bagaimana pengawasan?"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PPSPM,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Pengawasan, Audit Trail</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RM3: Dampak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Mikro (Satker)</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Nilai IKPA, Reputasi, Beban kerja revisi, Keterlambatan aset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dampak deviasi ke nilai IKPA &amp; beban kerja staf? Aset (gedung/peralatan) terlambat?"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LKjIP,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Meso (KPPN/DJPb)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Inefisiensi alokasi kas, Beban verifikasi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(Triangulasi via dokumen &amp; wawancara KPA/PPSPM)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Pembinaan KPPN</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Makro/Fungsi (Hanafi &amp; Wulandari, 2023)</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Risiko standar penempatan deteni, Eksekusi deportasi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keterlambatan gedung/peralatan memengaruhi operasional detensi?"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BPG</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Kinerja Operasional</w:t>
            </w:r>
          </w:p>
        </w:tc>
      </w:tr>
    </w:tbl>
    <w:p>
      <w:pPr>
        <w:spacing w:after="240" w:before="80" w:line="480"/>
        <w:jc w:val="left"/>
      </w:pPr>
      <w:r>
        <w:rPr>
          <w:rFonts w:ascii="Times New Roman" w:cs="Times New Roman" w:eastAsia="Times New Roman" w:hAnsi="Times New Roman"/>
          <w:i/>
          <w:iCs/>
          <w:sz w:val="22"/>
          <w:szCs w:val="22"/>
        </w:rPr>
        <w:t xml:space="preserve">Sumber: Disusun peneliti (2026).</w:t>
      </w:r>
    </w:p>
    <w:p>
      <w:pPr>
        <w:pStyle w:val="Heading3"/>
        <w:spacing w:after="160" w:before="240" w:line="480"/>
        <w:jc w:val="left"/>
      </w:pPr>
      <w:r>
        <w:rPr>
          <w:rFonts w:ascii="Times New Roman" w:cs="Times New Roman" w:eastAsia="Times New Roman" w:hAnsi="Times New Roman"/>
          <w:b/>
          <w:bCs/>
          <w:sz w:val="24"/>
          <w:szCs w:val="24"/>
        </w:rPr>
        <w:t xml:space="preserve">3.3.4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dinilai melalui empat kriteria yang diajukan Lincoln dan Guba (1985, hlm. 289-331) sebagai alternatif dari kriteria positivistik: </w:t>
      </w: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Belanja Modal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w:t>
      </w:r>
      <w:r>
        <w:rPr>
          <w:rFonts w:ascii="Times New Roman" w:cs="Times New Roman" w:eastAsia="Times New Roman" w:hAnsi="Times New Roman"/>
          <w:i/>
          <w:iCs/>
          <w:sz w:val="24"/>
          <w:szCs w:val="24"/>
        </w:rPr>
        <w:t xml:space="preserve">log</w:t>
      </w:r>
      <w:r>
        <w:rPr>
          <w:rFonts w:ascii="Times New Roman" w:cs="Times New Roman" w:eastAsia="Times New Roman" w:hAnsi="Times New Roman"/>
          <w:sz w:val="24"/>
          <w:szCs w:val="24"/>
        </w:rPr>
        <w:t xml:space="preserve">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pStyle w:val="Heading2"/>
        <w:spacing w:after="160" w:before="240" w:line="480"/>
        <w:jc w:val="left"/>
      </w:pPr>
      <w:r>
        <w:rPr>
          <w:rFonts w:ascii="Times New Roman" w:cs="Times New Roman" w:eastAsia="Times New Roman" w:hAnsi="Times New Roman"/>
          <w:b/>
          <w:bCs/>
          <w:sz w:val="24"/>
          <w:szCs w:val="24"/>
        </w:rPr>
        <w:t xml:space="preserve">3.4 Lokasi dan Waktu Penelitian</w:t>
      </w:r>
    </w:p>
    <w:p>
      <w:pPr>
        <w:spacing w:after="0" w:before="0" w:line="480"/>
        <w:ind w:firstLine="709"/>
        <w:jc w:val="both"/>
      </w:pPr>
      <w:r>
        <w:rPr>
          <w:rFonts w:ascii="Times New Roman" w:cs="Times New Roman" w:eastAsia="Times New Roman" w:hAnsi="Times New Roman"/>
          <w:sz w:val="24"/>
          <w:szCs w:val="24"/>
        </w:rPr>
        <w:t xml:space="preserve">Penelitian dilaksanakan di Rumah Detensi Imigrasi (Rudenim) Pontianak, Jalan Adi Sucipto KM. 15, Kabupaten Kubu Raya, Provinsi Kalimantan Barat.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 (pengumpulan data primer: wawancara, observasi, pengambilan dokumen) direncanakan dilakukan selama 6 (enam) minggu pada periode Juli-Agustus 2026 (setelah seminar proposal dan memperoleh izin penelitian dari institusi dan satker). Persiapan instrumen (validasi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revisi) dilakukan pada Juni 2026.</w:t>
      </w:r>
    </w:p>
    <w:p>
      <w:pPr>
        <w:pStyle w:val="Heading2"/>
        <w:spacing w:after="160" w:before="240" w:line="480"/>
        <w:jc w:val="left"/>
      </w:pPr>
      <w:r>
        <w:rPr>
          <w:rFonts w:ascii="Times New Roman" w:cs="Times New Roman" w:eastAsia="Times New Roman" w:hAnsi="Times New Roman"/>
          <w:b/>
          <w:bCs/>
          <w:sz w:val="24"/>
          <w:szCs w:val="24"/>
        </w:rPr>
        <w:t xml:space="preserve">3.5 Etika Penelitian</w:t>
      </w:r>
    </w:p>
    <w:p>
      <w:pPr>
        <w:spacing w:after="0" w:before="0" w:line="480"/>
        <w:ind w:firstLine="709"/>
        <w:jc w:val="both"/>
      </w:pPr>
      <w:r>
        <w:rPr>
          <w:rFonts w:ascii="Times New Roman" w:cs="Times New Roman" w:eastAsia="Times New Roman" w:hAnsi="Times New Roman"/>
          <w:sz w:val="24"/>
          <w:szCs w:val="24"/>
        </w:rPr>
        <w:t xml:space="preserve">Penelitian ini mengikuti prinsip etika penelitian ilmiah dan ketentuan yang berlaku di institusi peneliti. Aspek etika yang dikelola meliputi:</w:t>
      </w:r>
    </w:p>
    <w:p>
      <w:pPr>
        <w:pStyle w:val="ListParagraph"/>
        <w:numPr>
          <w:ilvl w:val="0"/>
          <w:numId w:val="7"/>
        </w:numPr>
        <w:spacing w:after="0" w:before="0" w:line="480"/>
        <w:ind w:left="720" w:hanging="360"/>
        <w:jc w:val="both"/>
      </w:pPr>
      <w:r>
        <w:rPr>
          <w:rFonts w:ascii="Times New Roman" w:cs="Times New Roman" w:eastAsia="Times New Roman" w:hAnsi="Times New Roman"/>
          <w:sz w:val="24"/>
          <w:szCs w:val="24"/>
        </w:rPr>
        <w:t xml:space="preserve">Izin Penelitian: Mengurus surat izin penelitian resmi dari LPPM Universitas Panca Bhakti ke Kepala Rudenim Pontianak melalui saluran resmi Direktorat Jenderal Imigrasi/Kementerian Imigrasi dan Pemasyarakatan.</w:t>
      </w:r>
    </w:p>
    <w:p>
      <w:pPr>
        <w:pStyle w:val="ListParagraph"/>
        <w:numPr>
          <w:ilvl w:val="0"/>
          <w:numId w:val="7"/>
        </w:numPr>
        <w:spacing w:after="0" w:before="0" w:line="480"/>
        <w:ind w:left="720" w:hanging="360"/>
        <w:jc w:val="both"/>
      </w:pPr>
      <w:r>
        <w:rPr>
          <w:rFonts w:ascii="Times New Roman" w:cs="Times New Roman" w:eastAsia="Times New Roman" w:hAnsi="Times New Roman"/>
          <w:sz w:val="24"/>
          <w:szCs w:val="24"/>
        </w:rPr>
        <w:t xml:space="preserve">Informed Consent: Setiap informan menandatangani formulir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wawancara (durasi, perekaman audio), hak untuk menolak menjawab pertanyaan tertentu, hak untuk menarik diri kapan saja tanpa konsekuensi negatif, serta jaminan anonimisasi data.</w:t>
      </w:r>
    </w:p>
    <w:p>
      <w:pPr>
        <w:pStyle w:val="ListParagraph"/>
        <w:numPr>
          <w:ilvl w:val="0"/>
          <w:numId w:val="7"/>
        </w:numPr>
        <w:spacing w:after="0" w:before="0" w:line="480"/>
        <w:ind w:left="720" w:hanging="360"/>
        <w:jc w:val="both"/>
      </w:pPr>
      <w:r>
        <w:rPr>
          <w:rFonts w:ascii="Times New Roman" w:cs="Times New Roman" w:eastAsia="Times New Roman" w:hAnsi="Times New Roman"/>
          <w:sz w:val="24"/>
          <w:szCs w:val="24"/>
        </w:rPr>
        <w:t xml:space="preserve">Kerahasiaan dan Anonimitas: Identitas informan (nama, NIP) dikodekan (KPA, PPK, PPSPM, BPG, SRKA, PBJ) dalam seluruh transkrip, catatan analisis, dan laporan akhir. Data mentah (rekaman audio, transkrip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lengkap, dokumen kontrak dengan harga satuan/detail penyedia) tidak dilampirkan dalam skripsi dan disimpan dalam perangkat terkunci (</w:t>
      </w:r>
      <w:r>
        <w:rPr>
          <w:rFonts w:ascii="Times New Roman" w:cs="Times New Roman" w:eastAsia="Times New Roman" w:hAnsi="Times New Roman"/>
          <w:i/>
          <w:iCs/>
          <w:sz w:val="24"/>
          <w:szCs w:val="24"/>
        </w:rPr>
        <w:t xml:space="preserve">password protected</w:t>
      </w:r>
      <w:r>
        <w:rPr>
          <w:rFonts w:ascii="Times New Roman" w:cs="Times New Roman" w:eastAsia="Times New Roman" w:hAnsi="Times New Roman"/>
          <w:sz w:val="24"/>
          <w:szCs w:val="24"/>
        </w:rPr>
        <w:t xml:space="preserve">) yang hanya diakses peneliti dan promotor.</w:t>
      </w:r>
    </w:p>
    <w:p>
      <w:pPr>
        <w:pStyle w:val="ListParagraph"/>
        <w:numPr>
          <w:ilvl w:val="0"/>
          <w:numId w:val="7"/>
        </w:numPr>
        <w:spacing w:after="0" w:before="0" w:line="480"/>
        <w:ind w:left="720" w:hanging="360"/>
        <w:jc w:val="both"/>
      </w:pPr>
      <w:r>
        <w:rPr>
          <w:rFonts w:ascii="Times New Roman" w:cs="Times New Roman" w:eastAsia="Times New Roman" w:hAnsi="Times New Roman"/>
          <w:sz w:val="24"/>
          <w:szCs w:val="24"/>
        </w:rPr>
        <w:t xml:space="preserve">Keamanan Data Sensitif: Mengingat objek penelitian berkaitan dengan keuangan negara (APBN) dan data kepegawaian, peneliti berkomitmen: (a) tidak mempublikasikan data mentah nominal kontrak, NIP, atau identitas penyedia secara </w:t>
      </w:r>
      <w:r>
        <w:rPr>
          <w:rFonts w:ascii="Times New Roman" w:cs="Times New Roman" w:eastAsia="Times New Roman" w:hAnsi="Times New Roman"/>
          <w:i/>
          <w:iCs/>
          <w:sz w:val="24"/>
          <w:szCs w:val="24"/>
        </w:rPr>
        <w:t xml:space="preserve">raw</w:t>
      </w:r>
      <w:r>
        <w:rPr>
          <w:rFonts w:ascii="Times New Roman" w:cs="Times New Roman" w:eastAsia="Times New Roman" w:hAnsi="Times New Roman"/>
          <w:sz w:val="24"/>
          <w:szCs w:val="24"/>
        </w:rPr>
        <w:t xml:space="preserve">; (b) kutipan dalam skripsi diparafrasakan atau dikutip dengan menyembunyikan identitas spesifik; (c) hasil akhir berupa </w:t>
      </w:r>
      <w:r>
        <w:rPr>
          <w:rFonts w:ascii="Times New Roman" w:cs="Times New Roman" w:eastAsia="Times New Roman" w:hAnsi="Times New Roman"/>
          <w:i/>
          <w:iCs/>
          <w:sz w:val="24"/>
          <w:szCs w:val="24"/>
        </w:rPr>
        <w:t xml:space="preserve">Executive Summary</w:t>
      </w:r>
      <w:r>
        <w:rPr>
          <w:rFonts w:ascii="Times New Roman" w:cs="Times New Roman" w:eastAsia="Times New Roman" w:hAnsi="Times New Roman"/>
          <w:sz w:val="24"/>
          <w:szCs w:val="24"/>
        </w:rPr>
        <w:t xml:space="preserve"> kebijakan diserahkan ke Rudenim/Kementerian, bukan data mentah.</w:t>
      </w:r>
    </w:p>
    <w:p>
      <w:pPr>
        <w:pStyle w:val="ListParagraph"/>
        <w:numPr>
          <w:ilvl w:val="0"/>
          <w:numId w:val="7"/>
        </w:numPr>
        <w:spacing w:after="0" w:before="0" w:line="480"/>
        <w:ind w:left="720" w:hanging="360"/>
        <w:jc w:val="both"/>
      </w:pPr>
      <w:r>
        <w:rPr>
          <w:rFonts w:ascii="Times New Roman" w:cs="Times New Roman" w:eastAsia="Times New Roman" w:hAnsi="Times New Roman"/>
          <w:i/>
          <w:iCs/>
          <w:sz w:val="24"/>
          <w:szCs w:val="24"/>
        </w:rPr>
        <w:t xml:space="preserve">Ethical Clearance:</w:t>
      </w:r>
      <w:r>
        <w:rPr>
          <w:rFonts w:ascii="Times New Roman" w:cs="Times New Roman" w:eastAsia="Times New Roman" w:hAnsi="Times New Roman"/>
          <w:sz w:val="24"/>
          <w:szCs w:val="24"/>
        </w:rPr>
        <w:t xml:space="preserve"> Akan diajukan ke Komisi Etik Penelitian LPPM Universitas Panca Bhakti sebelum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[Working paper].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Andi.</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45 Tahun 2013 tentang Tata Cara Pelaksanaan Anggaran Pendapatan dan Belanja Negara. (2013). </w:t>
      </w:r>
      <w:r>
        <w:rPr>
          <w:rFonts w:ascii="Times New Roman" w:cs="Times New Roman" w:eastAsia="Times New Roman" w:hAnsi="Times New Roman"/>
          <w:i/>
          <w:iCs/>
          <w:sz w:val="24"/>
          <w:szCs w:val="24"/>
        </w:rPr>
        <w:t xml:space="preserve">Lembaran Negara Republik Indonesia Tahun 2013 Nomor 105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decimal"/>
      <w:lvlText w:val="%1."/>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decimal"/>
      <w:lvlText w:val="%1."/>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decimal"/>
      <w:lvlText w:val="%1."/>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decimal"/>
      <w:lvlText w:val="%1."/>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decimal"/>
      <w:lvlText w:val="%1."/>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decimal"/>
      <w:lvlText w:val="%1."/>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decimal"/>
      <w:lvlText w:val="%1."/>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decimal"/>
      <w:lvlText w:val="%1."/>
      <w:lvlJc w:val="left"/>
      <w:pPr>
        <w:ind w:left="72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decimal"/>
      <w:lvlText w:val="%1."/>
      <w:lvlJc w:val="left"/>
      <w:pPr>
        <w:ind w:left="72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decimal"/>
      <w:lvlText w:val="%1."/>
      <w:lvlJc w:val="left"/>
      <w:pPr>
        <w:ind w:left="72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decimal"/>
      <w:lvlText w:val="%1."/>
      <w:lvlJc w:val="left"/>
      <w:pPr>
        <w:ind w:left="72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abstractNum w:abstractNumId="162" w15:restartNumberingAfterBreak="0">
    <w:multiLevelType w:val="hybridMultilevel"/>
    <w:lvl w:ilvl="0" w15:tentative="1">
      <w:start w:val="1"/>
      <w:numFmt w:val="decimal"/>
      <w:lvlText w:val="%1."/>
      <w:lvlJc w:val="left"/>
      <w:pPr>
        <w:ind w:left="720" w:hanging="360"/>
      </w:pPr>
    </w:lvl>
  </w:abstractNum>
  <w:abstractNum w:abstractNumId="163" w15:restartNumberingAfterBreak="0">
    <w:multiLevelType w:val="hybridMultilevel"/>
    <w:lvl w:ilvl="0" w15:tentative="1">
      <w:start w:val="1"/>
      <w:numFmt w:val="decimal"/>
      <w:lvlText w:val="%1."/>
      <w:lvlJc w:val="left"/>
      <w:pPr>
        <w:ind w:left="720" w:hanging="360"/>
      </w:pPr>
    </w:lvl>
  </w:abstractNum>
  <w:abstractNum w:abstractNumId="164" w15:restartNumberingAfterBreak="0">
    <w:multiLevelType w:val="hybridMultilevel"/>
    <w:lvl w:ilvl="0" w15:tentative="1">
      <w:start w:val="1"/>
      <w:numFmt w:val="decimal"/>
      <w:lvlText w:val="%1."/>
      <w:lvlJc w:val="left"/>
      <w:pPr>
        <w:ind w:left="720" w:hanging="360"/>
      </w:pPr>
    </w:lvl>
  </w:abstractNum>
  <w:abstractNum w:abstractNumId="165" w15:restartNumberingAfterBreak="0">
    <w:multiLevelType w:val="hybridMultilevel"/>
    <w:lvl w:ilvl="0" w15:tentative="1">
      <w:start w:val="1"/>
      <w:numFmt w:val="decimal"/>
      <w:lvlText w:val="%1."/>
      <w:lvlJc w:val="left"/>
      <w:pPr>
        <w:ind w:left="720" w:hanging="360"/>
      </w:pPr>
    </w:lvl>
  </w:abstractNum>
  <w:abstractNum w:abstractNumId="166" w15:restartNumberingAfterBreak="0">
    <w:multiLevelType w:val="hybridMultilevel"/>
    <w:lvl w:ilvl="0" w15:tentative="1">
      <w:start w:val="1"/>
      <w:numFmt w:val="decimal"/>
      <w:lvlText w:val="%1."/>
      <w:lvlJc w:val="left"/>
      <w:pPr>
        <w:ind w:left="720" w:hanging="360"/>
      </w:pPr>
    </w:lvl>
  </w:abstractNum>
  <w:abstractNum w:abstractNumId="167" w15:restartNumberingAfterBreak="0">
    <w:multiLevelType w:val="hybridMultilevel"/>
    <w:lvl w:ilvl="0" w15:tentative="1">
      <w:start w:val="1"/>
      <w:numFmt w:val="decimal"/>
      <w:lvlText w:val="%1."/>
      <w:lvlJc w:val="left"/>
      <w:pPr>
        <w:ind w:left="720" w:hanging="360"/>
      </w:pPr>
    </w:lvl>
  </w:abstractNum>
  <w:abstractNum w:abstractNumId="168" w15:restartNumberingAfterBreak="0">
    <w:multiLevelType w:val="hybridMultilevel"/>
    <w:lvl w:ilvl="0" w15:tentative="1">
      <w:start w:val="1"/>
      <w:numFmt w:val="decimal"/>
      <w:lvlText w:val="%1."/>
      <w:lvlJc w:val="left"/>
      <w:pPr>
        <w:ind w:left="720" w:hanging="360"/>
      </w:pPr>
    </w:lvl>
  </w:abstractNum>
  <w:abstractNum w:abstractNumId="169" w15:restartNumberingAfterBreak="0">
    <w:multiLevelType w:val="hybridMultilevel"/>
    <w:lvl w:ilvl="0" w15:tentative="1">
      <w:start w:val="1"/>
      <w:numFmt w:val="decimal"/>
      <w:lvlText w:val="%1."/>
      <w:lvlJc w:val="left"/>
      <w:pPr>
        <w:ind w:left="720" w:hanging="360"/>
      </w:pPr>
    </w:lvl>
  </w:abstractNum>
  <w:abstractNum w:abstractNumId="170" w15:restartNumberingAfterBreak="0">
    <w:multiLevelType w:val="hybridMultilevel"/>
    <w:lvl w:ilvl="0" w15:tentative="1">
      <w:start w:val="1"/>
      <w:numFmt w:val="decimal"/>
      <w:lvlText w:val="%1."/>
      <w:lvlJc w:val="left"/>
      <w:pPr>
        <w:ind w:left="720" w:hanging="360"/>
      </w:pPr>
    </w:lvl>
  </w:abstractNum>
  <w:abstractNum w:abstractNumId="171" w15:restartNumberingAfterBreak="0">
    <w:multiLevelType w:val="hybridMultilevel"/>
    <w:lvl w:ilvl="0" w15:tentative="1">
      <w:start w:val="1"/>
      <w:numFmt w:val="decimal"/>
      <w:lvlText w:val="%1."/>
      <w:lvlJc w:val="left"/>
      <w:pPr>
        <w:ind w:left="720" w:hanging="360"/>
      </w:pPr>
    </w:lvl>
  </w:abstractNum>
  <w:abstractNum w:abstractNumId="172" w15:restartNumberingAfterBreak="0">
    <w:multiLevelType w:val="hybridMultilevel"/>
    <w:lvl w:ilvl="0" w15:tentative="1">
      <w:start w:val="1"/>
      <w:numFmt w:val="decimal"/>
      <w:lvlText w:val="%1."/>
      <w:lvlJc w:val="left"/>
      <w:pPr>
        <w:ind w:left="720" w:hanging="360"/>
      </w:pPr>
    </w:lvl>
  </w:abstractNum>
  <w:abstractNum w:abstractNumId="173" w15:restartNumberingAfterBreak="0">
    <w:multiLevelType w:val="hybridMultilevel"/>
    <w:lvl w:ilvl="0" w15:tentative="1">
      <w:start w:val="1"/>
      <w:numFmt w:val="decimal"/>
      <w:lvlText w:val="%1."/>
      <w:lvlJc w:val="left"/>
      <w:pPr>
        <w:ind w:left="720" w:hanging="360"/>
      </w:pPr>
    </w:lvl>
  </w:abstractNum>
  <w:abstractNum w:abstractNumId="174" w15:restartNumberingAfterBreak="0">
    <w:multiLevelType w:val="hybridMultilevel"/>
    <w:lvl w:ilvl="0" w15:tentative="1">
      <w:start w:val="1"/>
      <w:numFmt w:val="decimal"/>
      <w:lvlText w:val="%1."/>
      <w:lvlJc w:val="left"/>
      <w:pPr>
        <w:ind w:left="720" w:hanging="360"/>
      </w:pPr>
    </w:lvl>
  </w:abstractNum>
  <w:abstractNum w:abstractNumId="175" w15:restartNumberingAfterBreak="0">
    <w:multiLevelType w:val="hybridMultilevel"/>
    <w:lvl w:ilvl="0" w15:tentative="1">
      <w:start w:val="1"/>
      <w:numFmt w:val="decimal"/>
      <w:lvlText w:val="%1."/>
      <w:lvlJc w:val="left"/>
      <w:pPr>
        <w:ind w:left="720" w:hanging="360"/>
      </w:pPr>
    </w:lvl>
  </w:abstractNum>
  <w:abstractNum w:abstractNumId="176" w15:restartNumberingAfterBreak="0">
    <w:multiLevelType w:val="hybridMultilevel"/>
    <w:lvl w:ilvl="0" w15:tentative="1">
      <w:start w:val="1"/>
      <w:numFmt w:val="decimal"/>
      <w:lvlText w:val="%1."/>
      <w:lvlJc w:val="left"/>
      <w:pPr>
        <w:ind w:left="720" w:hanging="360"/>
      </w:pPr>
    </w:lvl>
  </w:abstractNum>
  <w:abstractNum w:abstractNumId="177" w15:restartNumberingAfterBreak="0">
    <w:multiLevelType w:val="hybridMultilevel"/>
    <w:lvl w:ilvl="0" w15:tentative="1">
      <w:start w:val="1"/>
      <w:numFmt w:val="decimal"/>
      <w:lvlText w:val="%1."/>
      <w:lvlJc w:val="left"/>
      <w:pPr>
        <w:ind w:left="720" w:hanging="360"/>
      </w:pPr>
    </w:lvl>
  </w:abstractNum>
  <w:abstractNum w:abstractNumId="178" w15:restartNumberingAfterBreak="0">
    <w:multiLevelType w:val="hybridMultilevel"/>
    <w:lvl w:ilvl="0" w15:tentative="1">
      <w:start w:val="1"/>
      <w:numFmt w:val="decimal"/>
      <w:lvlText w:val="%1."/>
      <w:lvlJc w:val="left"/>
      <w:pPr>
        <w:ind w:left="720" w:hanging="360"/>
      </w:pPr>
    </w:lvl>
  </w:abstractNum>
  <w:abstractNum w:abstractNumId="179" w15:restartNumberingAfterBreak="0">
    <w:multiLevelType w:val="hybridMultilevel"/>
    <w:lvl w:ilvl="0" w15:tentative="1">
      <w:start w:val="1"/>
      <w:numFmt w:val="decimal"/>
      <w:lvlText w:val="%1."/>
      <w:lvlJc w:val="left"/>
      <w:pPr>
        <w:ind w:left="720" w:hanging="360"/>
      </w:pPr>
    </w:lvl>
  </w:abstractNum>
  <w:abstractNum w:abstractNumId="180" w15:restartNumberingAfterBreak="0">
    <w:multiLevelType w:val="hybridMultilevel"/>
    <w:lvl w:ilvl="0" w15:tentative="1">
      <w:start w:val="1"/>
      <w:numFmt w:val="decimal"/>
      <w:lvlText w:val="%1."/>
      <w:lvlJc w:val="left"/>
      <w:pPr>
        <w:ind w:left="720" w:hanging="360"/>
      </w:pPr>
    </w:lvl>
  </w:abstractNum>
  <w:abstractNum w:abstractNumId="181" w15:restartNumberingAfterBreak="0">
    <w:multiLevelType w:val="hybridMultilevel"/>
    <w:lvl w:ilvl="0" w15:tentative="1">
      <w:start w:val="1"/>
      <w:numFmt w:val="decimal"/>
      <w:lvlText w:val="%1."/>
      <w:lvlJc w:val="left"/>
      <w:pPr>
        <w:ind w:left="720" w:hanging="360"/>
      </w:pPr>
    </w:lvl>
  </w:abstractNum>
  <w:abstractNum w:abstractNumId="182" w15:restartNumberingAfterBreak="0">
    <w:multiLevelType w:val="hybridMultilevel"/>
    <w:lvl w:ilvl="0" w15:tentative="1">
      <w:start w:val="1"/>
      <w:numFmt w:val="decimal"/>
      <w:lvlText w:val="%1."/>
      <w:lvlJc w:val="left"/>
      <w:pPr>
        <w:ind w:left="720" w:hanging="360"/>
      </w:pPr>
    </w:lvl>
  </w:abstractNum>
  <w:abstractNum w:abstractNumId="183" w15:restartNumberingAfterBreak="0">
    <w:multiLevelType w:val="hybridMultilevel"/>
    <w:lvl w:ilvl="0" w15:tentative="1">
      <w:start w:val="1"/>
      <w:numFmt w:val="decimal"/>
      <w:lvlText w:val="%1."/>
      <w:lvlJc w:val="left"/>
      <w:pPr>
        <w:ind w:left="720" w:hanging="360"/>
      </w:pPr>
    </w:lvl>
  </w:abstractNum>
  <w:abstractNum w:abstractNumId="184" w15:restartNumberingAfterBreak="0">
    <w:multiLevelType w:val="hybridMultilevel"/>
    <w:lvl w:ilvl="0" w15:tentative="1">
      <w:start w:val="1"/>
      <w:numFmt w:val="decimal"/>
      <w:lvlText w:val="%1."/>
      <w:lvlJc w:val="left"/>
      <w:pPr>
        <w:ind w:left="720" w:hanging="360"/>
      </w:pPr>
    </w:lvl>
  </w:abstractNum>
  <w:abstractNum w:abstractNumId="185" w15:restartNumberingAfterBreak="0">
    <w:multiLevelType w:val="hybridMultilevel"/>
    <w:lvl w:ilvl="0" w15:tentative="1">
      <w:start w:val="1"/>
      <w:numFmt w:val="decimal"/>
      <w:lvlText w:val="%1."/>
      <w:lvlJc w:val="left"/>
      <w:pPr>
        <w:ind w:left="720" w:hanging="360"/>
      </w:pPr>
    </w:lvl>
  </w:abstractNum>
  <w:abstractNum w:abstractNumId="186" w15:restartNumberingAfterBreak="0">
    <w:multiLevelType w:val="hybridMultilevel"/>
    <w:lvl w:ilvl="0" w15:tentative="1">
      <w:start w:val="1"/>
      <w:numFmt w:val="decimal"/>
      <w:lvlText w:val="%1."/>
      <w:lvlJc w:val="left"/>
      <w:pPr>
        <w:ind w:left="720" w:hanging="360"/>
      </w:pPr>
    </w:lvl>
  </w:abstractNum>
  <w:abstractNum w:abstractNumId="187" w15:restartNumberingAfterBreak="0">
    <w:multiLevelType w:val="hybridMultilevel"/>
    <w:lvl w:ilvl="0" w15:tentative="1">
      <w:start w:val="1"/>
      <w:numFmt w:val="decimal"/>
      <w:lvlText w:val="%1."/>
      <w:lvlJc w:val="left"/>
      <w:pPr>
        <w:ind w:left="720" w:hanging="360"/>
      </w:pPr>
    </w:lvl>
  </w:abstractNum>
  <w:abstractNum w:abstractNumId="188" w15:restartNumberingAfterBreak="0">
    <w:multiLevelType w:val="hybridMultilevel"/>
    <w:lvl w:ilvl="0" w15:tentative="1">
      <w:start w:val="1"/>
      <w:numFmt w:val="decimal"/>
      <w:lvlText w:val="%1."/>
      <w:lvlJc w:val="left"/>
      <w:pPr>
        <w:ind w:left="720" w:hanging="360"/>
      </w:pPr>
    </w:lvl>
  </w:abstractNum>
  <w:abstractNum w:abstractNumId="189" w15:restartNumberingAfterBreak="0">
    <w:multiLevelType w:val="hybridMultilevel"/>
    <w:lvl w:ilvl="0" w15:tentative="1">
      <w:start w:val="1"/>
      <w:numFmt w:val="decimal"/>
      <w:lvlText w:val="%1."/>
      <w:lvlJc w:val="left"/>
      <w:pPr>
        <w:ind w:left="720" w:hanging="360"/>
      </w:pPr>
    </w:lvl>
  </w:abstractNum>
  <w:abstractNum w:abstractNumId="190" w15:restartNumberingAfterBreak="0">
    <w:multiLevelType w:val="hybridMultilevel"/>
    <w:lvl w:ilvl="0" w15:tentative="1">
      <w:start w:val="1"/>
      <w:numFmt w:val="decimal"/>
      <w:lvlText w:val="%1."/>
      <w:lvlJc w:val="left"/>
      <w:pPr>
        <w:ind w:left="720" w:hanging="360"/>
      </w:pPr>
    </w:lvl>
  </w:abstractNum>
  <w:abstractNum w:abstractNumId="191" w15:restartNumberingAfterBreak="0">
    <w:multiLevelType w:val="hybridMultilevel"/>
    <w:lvl w:ilvl="0" w15:tentative="1">
      <w:start w:val="1"/>
      <w:numFmt w:val="decimal"/>
      <w:lvlText w:val="%1."/>
      <w:lvlJc w:val="left"/>
      <w:pPr>
        <w:ind w:left="720" w:hanging="360"/>
      </w:pPr>
    </w:lvl>
  </w:abstractNum>
  <w:abstractNum w:abstractNumId="192" w15:restartNumberingAfterBreak="0">
    <w:multiLevelType w:val="hybridMultilevel"/>
    <w:lvl w:ilvl="0" w15:tentative="1">
      <w:start w:val="1"/>
      <w:numFmt w:val="decimal"/>
      <w:lvlText w:val="%1."/>
      <w:lvlJc w:val="left"/>
      <w:pPr>
        <w:ind w:left="720" w:hanging="360"/>
      </w:pPr>
    </w:lvl>
  </w:abstractNum>
  <w:abstractNum w:abstractNumId="193" w15:restartNumberingAfterBreak="0">
    <w:multiLevelType w:val="hybridMultilevel"/>
    <w:lvl w:ilvl="0" w15:tentative="1">
      <w:start w:val="1"/>
      <w:numFmt w:val="decimal"/>
      <w:lvlText w:val="%1."/>
      <w:lvlJc w:val="left"/>
      <w:pPr>
        <w:ind w:left="720" w:hanging="360"/>
      </w:pPr>
    </w:lvl>
  </w:abstractNum>
  <w:abstractNum w:abstractNumId="194" w15:restartNumberingAfterBreak="0">
    <w:multiLevelType w:val="hybridMultilevel"/>
    <w:lvl w:ilvl="0" w15:tentative="1">
      <w:start w:val="1"/>
      <w:numFmt w:val="decimal"/>
      <w:lvlText w:val="%1."/>
      <w:lvlJc w:val="left"/>
      <w:pPr>
        <w:ind w:left="720" w:hanging="360"/>
      </w:pPr>
    </w:lvl>
  </w:abstractNum>
  <w:abstractNum w:abstractNumId="195" w15:restartNumberingAfterBreak="0">
    <w:multiLevelType w:val="hybridMultilevel"/>
    <w:lvl w:ilvl="0" w15:tentative="1">
      <w:start w:val="1"/>
      <w:numFmt w:val="decimal"/>
      <w:lvlText w:val="%1."/>
      <w:lvlJc w:val="left"/>
      <w:pPr>
        <w:ind w:left="720" w:hanging="360"/>
      </w:pPr>
    </w:lvl>
  </w:abstractNum>
  <w:abstractNum w:abstractNumId="196" w15:restartNumberingAfterBreak="0">
    <w:multiLevelType w:val="hybridMultilevel"/>
    <w:lvl w:ilvl="0" w15:tentative="1">
      <w:start w:val="1"/>
      <w:numFmt w:val="decimal"/>
      <w:lvlText w:val="%1."/>
      <w:lvlJc w:val="left"/>
      <w:pPr>
        <w:ind w:left="720" w:hanging="360"/>
      </w:pPr>
    </w:lvl>
  </w:abstractNum>
  <w:abstractNum w:abstractNumId="197" w15:restartNumberingAfterBreak="0">
    <w:multiLevelType w:val="hybridMultilevel"/>
    <w:lvl w:ilvl="0" w15:tentative="1">
      <w:start w:val="1"/>
      <w:numFmt w:val="decimal"/>
      <w:lvlText w:val="%1."/>
      <w:lvlJc w:val="left"/>
      <w:pPr>
        <w:ind w:left="720" w:hanging="360"/>
      </w:pPr>
    </w:lvl>
  </w:abstractNum>
  <w:abstractNum w:abstractNumId="198" w15:restartNumberingAfterBreak="0">
    <w:multiLevelType w:val="hybridMultilevel"/>
    <w:lvl w:ilvl="0" w15:tentative="1">
      <w:start w:val="1"/>
      <w:numFmt w:val="decimal"/>
      <w:lvlText w:val="%1."/>
      <w:lvlJc w:val="left"/>
      <w:pPr>
        <w:ind w:left="720" w:hanging="360"/>
      </w:pPr>
    </w:lvl>
  </w:abstractNum>
  <w:abstractNum w:abstractNumId="199" w15:restartNumberingAfterBreak="0">
    <w:multiLevelType w:val="hybridMultilevel"/>
    <w:lvl w:ilvl="0" w15:tentative="1">
      <w:start w:val="1"/>
      <w:numFmt w:val="decimal"/>
      <w:lvlText w:val="%1."/>
      <w:lvlJc w:val="left"/>
      <w:pPr>
        <w:ind w:left="720" w:hanging="360"/>
      </w:pPr>
    </w:lvl>
  </w:abstractNum>
  <w:abstractNum w:abstractNumId="200" w15:restartNumberingAfterBreak="0">
    <w:multiLevelType w:val="hybridMultilevel"/>
    <w:lvl w:ilvl="0" w15:tentative="1">
      <w:start w:val="1"/>
      <w:numFmt w:val="decimal"/>
      <w:lvlText w:val="%1."/>
      <w:lvlJc w:val="left"/>
      <w:pPr>
        <w:ind w:left="720" w:hanging="360"/>
      </w:pPr>
    </w:lvl>
  </w:abstractNum>
  <w:abstractNum w:abstractNumId="201" w15:restartNumberingAfterBreak="0">
    <w:multiLevelType w:val="hybridMultilevel"/>
    <w:lvl w:ilvl="0" w15:tentative="1">
      <w:start w:val="1"/>
      <w:numFmt w:val="decimal"/>
      <w:lvlText w:val="%1."/>
      <w:lvlJc w:val="left"/>
      <w:pPr>
        <w:ind w:left="720" w:hanging="360"/>
      </w:pPr>
    </w:lvl>
  </w:abstractNum>
  <w:abstractNum w:abstractNumId="20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 w:type="paragraph" w:styleId="TOC1">
    <w:name w:val="toc 1"/>
    <w:basedOn w:val="Normal"/>
    <w:next w:val="Normal"/>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2026-07-01T09:48:50.229Z</dcterms:created>
  <dcterms:modified xsi:type="dcterms:W3CDTF">2026-07-01T09:48:50.230Z</dcterms:modified>
</cp:coreProperties>
</file>

<file path=docProps/custom.xml><?xml version="1.0" encoding="utf-8"?>
<Properties xmlns="http://schemas.openxmlformats.org/officeDocument/2006/custom-properties" xmlns:vt="http://schemas.openxmlformats.org/officeDocument/2006/docPropsVTypes"/>
</file>