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03BB" w14:textId="77777777" w:rsidR="00DC38F0" w:rsidRDefault="00DC38F0" w:rsidP="00DC38F0">
      <w:pPr>
        <w:rPr>
          <w:b/>
          <w:bCs/>
        </w:rPr>
      </w:pPr>
    </w:p>
    <w:p w14:paraId="622C507A" w14:textId="526D53C9" w:rsidR="009E6361" w:rsidRDefault="00DC38F0" w:rsidP="00DC38F0">
      <w:pPr>
        <w:rPr>
          <w:b/>
          <w:bCs/>
        </w:rPr>
      </w:pPr>
      <w:r>
        <w:rPr>
          <w:b/>
          <w:bCs/>
        </w:rPr>
        <w:t xml:space="preserve">                           NFMA WHITEPAPER</w:t>
      </w:r>
      <w:r w:rsidR="00222994">
        <w:rPr>
          <w:b/>
          <w:bCs/>
        </w:rPr>
        <w:t xml:space="preserve"> (FIRST</w:t>
      </w:r>
      <w:r w:rsidR="00D60451">
        <w:rPr>
          <w:b/>
          <w:bCs/>
        </w:rPr>
        <w:t xml:space="preserve"> </w:t>
      </w:r>
      <w:proofErr w:type="gramStart"/>
      <w:r w:rsidR="00D60451">
        <w:rPr>
          <w:b/>
          <w:bCs/>
        </w:rPr>
        <w:t xml:space="preserve">FULL </w:t>
      </w:r>
      <w:r w:rsidR="00222994">
        <w:rPr>
          <w:b/>
          <w:bCs/>
        </w:rPr>
        <w:t xml:space="preserve"> DRAFT</w:t>
      </w:r>
      <w:proofErr w:type="gramEnd"/>
      <w:r w:rsidR="002E15B9">
        <w:rPr>
          <w:b/>
          <w:bCs/>
        </w:rPr>
        <w:t xml:space="preserve"> 1/</w:t>
      </w:r>
      <w:r w:rsidR="00873E01">
        <w:rPr>
          <w:b/>
          <w:bCs/>
        </w:rPr>
        <w:t>1</w:t>
      </w:r>
      <w:r w:rsidR="00280FAB">
        <w:rPr>
          <w:b/>
          <w:bCs/>
        </w:rPr>
        <w:t>6</w:t>
      </w:r>
      <w:r w:rsidR="002E15B9">
        <w:rPr>
          <w:b/>
          <w:bCs/>
        </w:rPr>
        <w:t>/25)</w:t>
      </w:r>
      <w:r w:rsidR="001522B7">
        <w:rPr>
          <w:b/>
          <w:bCs/>
        </w:rPr>
        <w:br/>
      </w:r>
    </w:p>
    <w:p w14:paraId="36315889" w14:textId="77777777" w:rsidR="00DC38F0" w:rsidRDefault="00DC38F0" w:rsidP="00DC38F0">
      <w:pPr>
        <w:rPr>
          <w:b/>
          <w:bCs/>
        </w:rPr>
      </w:pPr>
    </w:p>
    <w:p w14:paraId="65B2D289" w14:textId="77777777" w:rsidR="00DC38F0" w:rsidRDefault="00DC38F0" w:rsidP="00DC38F0">
      <w:pPr>
        <w:rPr>
          <w:b/>
          <w:bCs/>
        </w:rPr>
      </w:pPr>
    </w:p>
    <w:p w14:paraId="4126E89D" w14:textId="7288C586" w:rsidR="007F5B31" w:rsidRPr="00C22638" w:rsidRDefault="007C0B0B" w:rsidP="00DC38F0">
      <w:pPr>
        <w:rPr>
          <w:b/>
          <w:bCs/>
          <w:sz w:val="28"/>
        </w:rPr>
      </w:pPr>
      <w:r>
        <w:rPr>
          <w:b/>
          <w:bCs/>
          <w:sz w:val="28"/>
        </w:rPr>
        <w:t xml:space="preserve">            </w:t>
      </w:r>
      <w:r w:rsidR="00CA3130" w:rsidRPr="00C22638">
        <w:rPr>
          <w:b/>
          <w:bCs/>
          <w:sz w:val="28"/>
        </w:rPr>
        <w:t xml:space="preserve">EVALUATING </w:t>
      </w:r>
      <w:r w:rsidRPr="00C22638">
        <w:rPr>
          <w:b/>
          <w:bCs/>
          <w:sz w:val="28"/>
        </w:rPr>
        <w:t xml:space="preserve">MUNICIPAL </w:t>
      </w:r>
      <w:r w:rsidR="00DE7126" w:rsidRPr="00C22638">
        <w:rPr>
          <w:b/>
          <w:bCs/>
          <w:sz w:val="28"/>
        </w:rPr>
        <w:t>COLLATERAL PACKAGES</w:t>
      </w:r>
      <w:r w:rsidR="00C66E15" w:rsidRPr="00C22638">
        <w:rPr>
          <w:b/>
          <w:bCs/>
          <w:sz w:val="28"/>
        </w:rPr>
        <w:t xml:space="preserve"> &amp; </w:t>
      </w:r>
      <w:r>
        <w:rPr>
          <w:b/>
          <w:bCs/>
          <w:sz w:val="28"/>
        </w:rPr>
        <w:t xml:space="preserve">                       </w:t>
      </w:r>
      <w:r>
        <w:rPr>
          <w:b/>
          <w:bCs/>
          <w:sz w:val="28"/>
        </w:rPr>
        <w:br/>
        <w:t xml:space="preserve">                     </w:t>
      </w:r>
      <w:r w:rsidR="00C22638">
        <w:rPr>
          <w:b/>
          <w:bCs/>
          <w:sz w:val="28"/>
        </w:rPr>
        <w:t xml:space="preserve"> </w:t>
      </w:r>
      <w:r w:rsidR="00C66E15" w:rsidRPr="00C22638">
        <w:rPr>
          <w:b/>
          <w:bCs/>
          <w:sz w:val="28"/>
        </w:rPr>
        <w:t>RECOMMENDED DISCLOSURE PRACTICES</w:t>
      </w:r>
    </w:p>
    <w:p w14:paraId="0CB6946C" w14:textId="77777777" w:rsidR="007F5B31" w:rsidRDefault="007F5B31" w:rsidP="00B27648"/>
    <w:p w14:paraId="5368AE5A" w14:textId="126C40F0" w:rsidR="007F5B31" w:rsidRPr="00786D9F" w:rsidRDefault="007F5B31" w:rsidP="00B27648">
      <w:pPr>
        <w:rPr>
          <w:caps/>
          <w:u w:val="thick"/>
        </w:rPr>
      </w:pPr>
      <w:r w:rsidRPr="00786D9F">
        <w:rPr>
          <w:b/>
          <w:bCs/>
          <w:caps/>
          <w:u w:val="thick"/>
        </w:rPr>
        <w:t>Introduction</w:t>
      </w:r>
      <w:r w:rsidR="00E56C13" w:rsidRPr="00786D9F">
        <w:rPr>
          <w:b/>
          <w:bCs/>
          <w:caps/>
          <w:u w:val="thick"/>
        </w:rPr>
        <w:t xml:space="preserve"> &amp; Overview</w:t>
      </w:r>
    </w:p>
    <w:p w14:paraId="71F59898" w14:textId="77777777" w:rsidR="007F5B31" w:rsidRPr="00786D9F" w:rsidRDefault="007F5B31" w:rsidP="00B27648">
      <w:pPr>
        <w:rPr>
          <w:u w:val="thick"/>
        </w:rPr>
      </w:pPr>
    </w:p>
    <w:p w14:paraId="39B052DE" w14:textId="6939905B" w:rsidR="007F5B31" w:rsidRDefault="007F5B31" w:rsidP="00D0383A">
      <w:pPr>
        <w:ind w:firstLine="720"/>
        <w:jc w:val="both"/>
      </w:pPr>
      <w:r w:rsidRPr="00B27648">
        <w:t xml:space="preserve">Since its inception in 1983, the National Federation of Municipal Analysts (NFMA), has been at the forefront of efforts to improve disclosure of credit and </w:t>
      </w:r>
      <w:r w:rsidR="00B2458F">
        <w:t>other</w:t>
      </w:r>
      <w:r w:rsidRPr="00B27648">
        <w:t xml:space="preserve"> risks that face</w:t>
      </w:r>
      <w:r w:rsidR="003E5051">
        <w:t xml:space="preserve"> </w:t>
      </w:r>
      <w:r w:rsidRPr="00B27648">
        <w:t xml:space="preserve">investors in the taxable and tax-exempt municipal bond markets. </w:t>
      </w:r>
      <w:r>
        <w:t xml:space="preserve"> </w:t>
      </w:r>
      <w:r w:rsidRPr="00B27648">
        <w:t xml:space="preserve">NFMA’s work in this regard has been recognized by other industry associations and by various regulatory bodies. </w:t>
      </w:r>
      <w:r w:rsidR="00DB62F2">
        <w:t xml:space="preserve"> </w:t>
      </w:r>
      <w:r w:rsidRPr="00B27648">
        <w:t>NFMA is composed of over</w:t>
      </w:r>
      <w:r>
        <w:t xml:space="preserve"> [____] </w:t>
      </w:r>
      <w:r w:rsidRPr="00B27648">
        <w:t xml:space="preserve">members, primarily research analysts, who evaluate credit and other risks of </w:t>
      </w:r>
      <w:r w:rsidR="00120E6E">
        <w:t xml:space="preserve">investing in </w:t>
      </w:r>
      <w:r w:rsidRPr="00B27648">
        <w:t xml:space="preserve">municipal securities. </w:t>
      </w:r>
      <w:r>
        <w:t xml:space="preserve"> </w:t>
      </w:r>
      <w:r w:rsidRPr="00B27648">
        <w:t>These individuals represent mutual funds, insurance companies, separately managed accounts, broker/dealers, bond insurers, and rating agencies</w:t>
      </w:r>
      <w:r w:rsidR="00120E6E">
        <w:t xml:space="preserve">, and </w:t>
      </w:r>
      <w:r>
        <w:t xml:space="preserve">other </w:t>
      </w:r>
      <w:r w:rsidR="00120E6E">
        <w:t xml:space="preserve">municipal market </w:t>
      </w:r>
      <w:r>
        <w:t>stakeholders.</w:t>
      </w:r>
    </w:p>
    <w:p w14:paraId="3C67E5CA" w14:textId="77777777" w:rsidR="007F5B31" w:rsidRPr="00B27648" w:rsidRDefault="007F5B31" w:rsidP="00B3352A">
      <w:pPr>
        <w:jc w:val="both"/>
      </w:pPr>
    </w:p>
    <w:p w14:paraId="78E759BC" w14:textId="45A50229" w:rsidR="007F5B31" w:rsidRDefault="007F5B31" w:rsidP="00D0383A">
      <w:pPr>
        <w:ind w:firstLine="720"/>
        <w:jc w:val="both"/>
      </w:pPr>
      <w:r w:rsidRPr="00B27648">
        <w:t xml:space="preserve">One of the main initiatives of NFMA is to promote timely and complete disclosure of </w:t>
      </w:r>
      <w:r w:rsidR="00FE0EBC">
        <w:t xml:space="preserve">all material </w:t>
      </w:r>
      <w:r w:rsidRPr="00B27648">
        <w:t>financial</w:t>
      </w:r>
      <w:r w:rsidR="00236778">
        <w:t>, socio-economic</w:t>
      </w:r>
      <w:r w:rsidRPr="00B27648">
        <w:t xml:space="preserve"> and </w:t>
      </w:r>
      <w:r w:rsidR="00B2458F">
        <w:t xml:space="preserve">market sector </w:t>
      </w:r>
      <w:r w:rsidRPr="00B27648">
        <w:t xml:space="preserve">information needed to assess the credit quality and risk of </w:t>
      </w:r>
      <w:r w:rsidR="00236778">
        <w:t>investments in</w:t>
      </w:r>
      <w:r w:rsidRPr="00B27648">
        <w:t xml:space="preserve"> municipal debt</w:t>
      </w:r>
      <w:r w:rsidR="00FE0EBC">
        <w:t>--</w:t>
      </w:r>
      <w:r>
        <w:t xml:space="preserve">both before issuance and on an ongoing basis </w:t>
      </w:r>
      <w:r w:rsidR="00B2458F">
        <w:t xml:space="preserve">after issuance </w:t>
      </w:r>
      <w:r>
        <w:t xml:space="preserve">until the </w:t>
      </w:r>
      <w:r w:rsidR="00B2458F">
        <w:t xml:space="preserve">debt </w:t>
      </w:r>
      <w:r w:rsidR="00DB62F2">
        <w:t xml:space="preserve">is </w:t>
      </w:r>
      <w:r>
        <w:t>fully paid</w:t>
      </w:r>
      <w:r w:rsidRPr="00B27648">
        <w:t>.</w:t>
      </w:r>
      <w:r>
        <w:t xml:space="preserve"> </w:t>
      </w:r>
      <w:r w:rsidR="00DB62F2">
        <w:t xml:space="preserve"> </w:t>
      </w:r>
      <w:r w:rsidR="00C6079F">
        <w:t xml:space="preserve">Consequently, </w:t>
      </w:r>
      <w:r w:rsidR="00F73B08">
        <w:t xml:space="preserve">NFMA </w:t>
      </w:r>
      <w:r w:rsidR="00EE0FB2">
        <w:t xml:space="preserve">focuses on disclosure in both the </w:t>
      </w:r>
      <w:r w:rsidR="00FE0EBC">
        <w:t xml:space="preserve">initial </w:t>
      </w:r>
      <w:r w:rsidR="00DB62F2">
        <w:t>offering document</w:t>
      </w:r>
      <w:r w:rsidR="00FE0EBC">
        <w:t>s</w:t>
      </w:r>
      <w:r w:rsidR="00DB62F2">
        <w:t xml:space="preserve"> </w:t>
      </w:r>
      <w:r w:rsidR="0064486D">
        <w:t>(whether a preliminary</w:t>
      </w:r>
      <w:r w:rsidR="003E5051">
        <w:t xml:space="preserve"> </w:t>
      </w:r>
      <w:r w:rsidR="00FE0EBC">
        <w:t>and</w:t>
      </w:r>
      <w:r w:rsidR="003E5051">
        <w:t xml:space="preserve"> final</w:t>
      </w:r>
      <w:r w:rsidR="0064486D">
        <w:t xml:space="preserve"> official statement or </w:t>
      </w:r>
      <w:r w:rsidR="00FE0EBC">
        <w:t xml:space="preserve">a </w:t>
      </w:r>
      <w:r w:rsidR="0064486D">
        <w:t xml:space="preserve">preliminary </w:t>
      </w:r>
      <w:r w:rsidR="00FE0EBC">
        <w:t>and</w:t>
      </w:r>
      <w:r w:rsidR="003E5051">
        <w:t xml:space="preserve"> final limited </w:t>
      </w:r>
      <w:r w:rsidR="0064486D">
        <w:t xml:space="preserve">offering memorandum) </w:t>
      </w:r>
      <w:r w:rsidR="00026AC4">
        <w:t>and</w:t>
      </w:r>
      <w:r w:rsidR="00C54AF5">
        <w:t xml:space="preserve"> in </w:t>
      </w:r>
      <w:r w:rsidR="00026AC4">
        <w:t xml:space="preserve">the </w:t>
      </w:r>
      <w:r w:rsidR="00C54AF5">
        <w:t>continuing disclosure agreements</w:t>
      </w:r>
      <w:r w:rsidR="00026AC4">
        <w:t xml:space="preserve"> </w:t>
      </w:r>
      <w:r w:rsidR="002213D5">
        <w:t>of</w:t>
      </w:r>
      <w:r w:rsidR="00761B87">
        <w:t xml:space="preserve"> the </w:t>
      </w:r>
      <w:r w:rsidR="00074A32">
        <w:t xml:space="preserve">municipal issuer and the material borrowers/obligors </w:t>
      </w:r>
      <w:r w:rsidR="00E358A6">
        <w:t xml:space="preserve">undertaking </w:t>
      </w:r>
      <w:r w:rsidR="00074A32">
        <w:t>the underlying development/proj</w:t>
      </w:r>
      <w:r w:rsidR="00B87351">
        <w:t>ect</w:t>
      </w:r>
      <w:r w:rsidR="00E358A6">
        <w:t>, where applicable</w:t>
      </w:r>
      <w:r w:rsidR="00B87351">
        <w:t>.</w:t>
      </w:r>
      <w:r w:rsidR="00026AC4">
        <w:t xml:space="preserve"> </w:t>
      </w:r>
      <w:r w:rsidR="00C54AF5">
        <w:t xml:space="preserve"> </w:t>
      </w:r>
      <w:r w:rsidRPr="00B27648">
        <w:t xml:space="preserve">NFMA’s </w:t>
      </w:r>
      <w:r w:rsidR="002228B4">
        <w:t xml:space="preserve">on-going disclosure </w:t>
      </w:r>
      <w:r w:rsidRPr="00B27648">
        <w:t xml:space="preserve">efforts have ranged from broad disclosure-related issues to more detailed, sector-specific work such as Recommended Best Practices in Disclosure </w:t>
      </w:r>
      <w:r w:rsidR="00F73D87">
        <w:t>White</w:t>
      </w:r>
      <w:r w:rsidR="009D6EEE">
        <w:t xml:space="preserve">papers </w:t>
      </w:r>
      <w:r w:rsidR="00BD6617" w:rsidRPr="00B27648">
        <w:t>(RBPs)</w:t>
      </w:r>
      <w:r w:rsidRPr="00B27648">
        <w:t>.</w:t>
      </w:r>
      <w:r w:rsidR="00E358A6">
        <w:t xml:space="preserve"> </w:t>
      </w:r>
      <w:r w:rsidR="000039CE" w:rsidRPr="000039CE">
        <w:t xml:space="preserve"> </w:t>
      </w:r>
      <w:r w:rsidR="000039CE">
        <w:t xml:space="preserve">Irrespective of market sector, </w:t>
      </w:r>
      <w:r w:rsidR="000039CE" w:rsidRPr="00B27648">
        <w:t>NFMA believes that the</w:t>
      </w:r>
      <w:r w:rsidR="000039CE">
        <w:t xml:space="preserve"> </w:t>
      </w:r>
      <w:r w:rsidR="000039CE" w:rsidRPr="00B27648">
        <w:t>best practice</w:t>
      </w:r>
      <w:r w:rsidR="000039CE">
        <w:t>s</w:t>
      </w:r>
      <w:r w:rsidR="000039CE" w:rsidRPr="00B27648">
        <w:t xml:space="preserve"> in disclosure </w:t>
      </w:r>
      <w:r w:rsidR="00105CC3">
        <w:t xml:space="preserve">are those </w:t>
      </w:r>
      <w:r w:rsidR="000039CE" w:rsidRPr="00B27648">
        <w:t xml:space="preserve">that provide a steady flow of timely </w:t>
      </w:r>
      <w:r w:rsidR="00FE0EBC">
        <w:t xml:space="preserve">material </w:t>
      </w:r>
      <w:r w:rsidR="000039CE" w:rsidRPr="00B27648">
        <w:t xml:space="preserve">information from </w:t>
      </w:r>
      <w:r w:rsidR="000039CE">
        <w:t xml:space="preserve">municipal issuers and </w:t>
      </w:r>
      <w:r w:rsidR="00105CC3">
        <w:t xml:space="preserve">obligated persons </w:t>
      </w:r>
      <w:r w:rsidR="000039CE" w:rsidRPr="00B27648">
        <w:t>to the market</w:t>
      </w:r>
      <w:r w:rsidR="000039CE">
        <w:t xml:space="preserve"> and investors</w:t>
      </w:r>
      <w:r w:rsidR="00105CC3">
        <w:t>.</w:t>
      </w:r>
      <w:r>
        <w:t xml:space="preserve"> </w:t>
      </w:r>
      <w:r w:rsidRPr="00B27648">
        <w:t xml:space="preserve"> For further information on NFMA’s continuing work in the area of disclosure, please see the “Disclosure Guidelines” and “Position Statements” pages of </w:t>
      </w:r>
      <w:proofErr w:type="gramStart"/>
      <w:r w:rsidR="00FE0EBC">
        <w:t xml:space="preserve">NFMA’s </w:t>
      </w:r>
      <w:r w:rsidRPr="00B27648">
        <w:t xml:space="preserve"> website</w:t>
      </w:r>
      <w:proofErr w:type="gramEnd"/>
      <w:r w:rsidRPr="00B27648">
        <w:t xml:space="preserve"> at </w:t>
      </w:r>
      <w:hyperlink r:id="rId8" w:history="1">
        <w:r w:rsidRPr="00B27648">
          <w:rPr>
            <w:rStyle w:val="Hyperlink"/>
          </w:rPr>
          <w:t>www.nfma.org</w:t>
        </w:r>
      </w:hyperlink>
      <w:r w:rsidRPr="00B27648">
        <w:t xml:space="preserve">. </w:t>
      </w:r>
    </w:p>
    <w:p w14:paraId="5E6A7BF4" w14:textId="77777777" w:rsidR="007F5B31" w:rsidRPr="00B27648" w:rsidRDefault="007F5B31" w:rsidP="00B3352A">
      <w:pPr>
        <w:jc w:val="both"/>
      </w:pPr>
    </w:p>
    <w:p w14:paraId="540D975E" w14:textId="60AC251E" w:rsidR="00590665" w:rsidRDefault="001A0190" w:rsidP="00590665">
      <w:pPr>
        <w:ind w:firstLine="720"/>
        <w:jc w:val="both"/>
      </w:pPr>
      <w:r>
        <w:t xml:space="preserve">This </w:t>
      </w:r>
      <w:r w:rsidR="007F5B31" w:rsidRPr="00B27648">
        <w:t>RBP</w:t>
      </w:r>
      <w:r w:rsidR="00FF26FC">
        <w:t xml:space="preserve"> Whitepaper</w:t>
      </w:r>
      <w:r w:rsidR="007F5B31" w:rsidRPr="00B27648">
        <w:t xml:space="preserve"> </w:t>
      </w:r>
      <w:r w:rsidR="00AA6830">
        <w:t>contain</w:t>
      </w:r>
      <w:r w:rsidR="00B46DFF">
        <w:t>s</w:t>
      </w:r>
      <w:r w:rsidR="00AA6830">
        <w:t xml:space="preserve"> </w:t>
      </w:r>
      <w:r w:rsidR="007F5B31" w:rsidRPr="00B27648">
        <w:t xml:space="preserve">descriptions of sector-specific </w:t>
      </w:r>
      <w:r w:rsidR="00FE0EBC">
        <w:t xml:space="preserve">material </w:t>
      </w:r>
      <w:r w:rsidR="007F5B31" w:rsidRPr="00B27648">
        <w:t>financial</w:t>
      </w:r>
      <w:r w:rsidR="00163B47">
        <w:t xml:space="preserve">, </w:t>
      </w:r>
      <w:r w:rsidR="00B8179C">
        <w:t>socio-economic</w:t>
      </w:r>
      <w:r w:rsidR="007F5B31" w:rsidRPr="00B27648">
        <w:t xml:space="preserve"> and operating information </w:t>
      </w:r>
      <w:r w:rsidR="002213D5">
        <w:t>that</w:t>
      </w:r>
      <w:r w:rsidR="007F5B31" w:rsidRPr="00B27648">
        <w:t xml:space="preserve"> investors</w:t>
      </w:r>
      <w:r w:rsidR="000F74CE">
        <w:t>, stakeholders</w:t>
      </w:r>
      <w:r w:rsidR="007F5B31" w:rsidRPr="00B27648">
        <w:t xml:space="preserve"> and other market participants </w:t>
      </w:r>
      <w:r w:rsidR="002213D5">
        <w:t xml:space="preserve">require </w:t>
      </w:r>
      <w:r w:rsidR="007F5B31" w:rsidRPr="00B27648">
        <w:t>to assess</w:t>
      </w:r>
      <w:r w:rsidR="00163B47">
        <w:t xml:space="preserve"> the</w:t>
      </w:r>
      <w:r w:rsidR="007F5B31" w:rsidRPr="00B27648">
        <w:t xml:space="preserve"> </w:t>
      </w:r>
      <w:r w:rsidR="00FE0EBC">
        <w:t xml:space="preserve">investment </w:t>
      </w:r>
      <w:r w:rsidR="007F5B31" w:rsidRPr="00B27648">
        <w:t>risk</w:t>
      </w:r>
      <w:r w:rsidR="00163B47">
        <w:t>s i</w:t>
      </w:r>
      <w:r w:rsidR="004E4637">
        <w:t>n</w:t>
      </w:r>
      <w:r w:rsidR="00163B47">
        <w:t xml:space="preserve">volved in </w:t>
      </w:r>
      <w:r w:rsidR="00B8179C">
        <w:t>investing in the sector</w:t>
      </w:r>
      <w:r w:rsidR="007F5B31" w:rsidRPr="00B27648">
        <w:t xml:space="preserve">. </w:t>
      </w:r>
      <w:r w:rsidR="007F5B31">
        <w:t xml:space="preserve"> </w:t>
      </w:r>
      <w:r w:rsidR="00E358A6" w:rsidRPr="00B27648">
        <w:t>In order to develop RBP</w:t>
      </w:r>
      <w:r w:rsidR="00F73D87">
        <w:t xml:space="preserve"> </w:t>
      </w:r>
      <w:proofErr w:type="spellStart"/>
      <w:r w:rsidR="00F73D87">
        <w:t>Whirepapers</w:t>
      </w:r>
      <w:proofErr w:type="spellEnd"/>
      <w:r w:rsidR="00B46DFF">
        <w:t xml:space="preserve"> </w:t>
      </w:r>
      <w:r w:rsidR="00E358A6" w:rsidRPr="00B27648">
        <w:t xml:space="preserve">for a specific sector, NFMA analysts </w:t>
      </w:r>
      <w:r w:rsidR="00B57D7A">
        <w:t xml:space="preserve">form a committee </w:t>
      </w:r>
      <w:r w:rsidR="002F2C25">
        <w:t>which include</w:t>
      </w:r>
      <w:r w:rsidR="002213D5">
        <w:t>s</w:t>
      </w:r>
      <w:r w:rsidR="002F2C25">
        <w:t xml:space="preserve"> analysts as well as</w:t>
      </w:r>
      <w:r w:rsidR="00B57D7A">
        <w:t xml:space="preserve"> </w:t>
      </w:r>
      <w:r w:rsidR="00E358A6" w:rsidRPr="00B27648">
        <w:t xml:space="preserve">non-analyst professionals such as municipal </w:t>
      </w:r>
      <w:r w:rsidR="00E358A6">
        <w:t>issuers</w:t>
      </w:r>
      <w:r w:rsidR="00E358A6" w:rsidRPr="00B27648">
        <w:t xml:space="preserve">, </w:t>
      </w:r>
      <w:r w:rsidR="002213D5">
        <w:t xml:space="preserve">representatives of relevant </w:t>
      </w:r>
      <w:r w:rsidR="00E358A6" w:rsidRPr="00B27648">
        <w:t xml:space="preserve">industry groups, </w:t>
      </w:r>
      <w:r w:rsidR="00E358A6">
        <w:t>public finance lawyers</w:t>
      </w:r>
      <w:r w:rsidR="00E358A6" w:rsidRPr="00B27648">
        <w:t xml:space="preserve"> and underwriters who specialize in the particular </w:t>
      </w:r>
      <w:r w:rsidR="002213D5">
        <w:t>sector</w:t>
      </w:r>
      <w:r w:rsidR="00E358A6">
        <w:t xml:space="preserve">.  </w:t>
      </w:r>
      <w:r w:rsidR="00105CC3">
        <w:t>The committee then creates a review draft that is presented to NFMA’</w:t>
      </w:r>
      <w:r w:rsidR="00C90257">
        <w:t>s</w:t>
      </w:r>
      <w:r w:rsidR="00105CC3">
        <w:t xml:space="preserve"> board of directors</w:t>
      </w:r>
      <w:r w:rsidR="009D6EEE">
        <w:t xml:space="preserve"> for review and </w:t>
      </w:r>
      <w:r w:rsidR="00120E6E">
        <w:t>comment</w:t>
      </w:r>
      <w:r w:rsidR="00105CC3">
        <w:t xml:space="preserve">. </w:t>
      </w:r>
      <w:r w:rsidR="00FE0EBC">
        <w:t>After NFMA board approval of the RBP</w:t>
      </w:r>
      <w:r w:rsidR="00B46DFF">
        <w:t xml:space="preserve"> </w:t>
      </w:r>
      <w:proofErr w:type="spellStart"/>
      <w:r w:rsidR="00F73D87">
        <w:t>Whirepaper</w:t>
      </w:r>
      <w:proofErr w:type="spellEnd"/>
      <w:r w:rsidR="00C90257">
        <w:t xml:space="preserve"> the</w:t>
      </w:r>
      <w:r w:rsidR="00105CC3">
        <w:t xml:space="preserve"> proposed RBP </w:t>
      </w:r>
      <w:r w:rsidR="00F73D87">
        <w:t>Whitepaper</w:t>
      </w:r>
      <w:r w:rsidR="00511FE9">
        <w:t xml:space="preserve"> </w:t>
      </w:r>
      <w:r w:rsidR="00FE0EBC">
        <w:t xml:space="preserve">is posted </w:t>
      </w:r>
      <w:r w:rsidR="00845FB0">
        <w:t>for broader public comment</w:t>
      </w:r>
      <w:r w:rsidR="00105CC3">
        <w:t xml:space="preserve"> </w:t>
      </w:r>
      <w:r w:rsidR="00845FB0">
        <w:t>from</w:t>
      </w:r>
      <w:r w:rsidR="00105CC3">
        <w:t xml:space="preserve"> </w:t>
      </w:r>
      <w:r w:rsidR="007F5B31" w:rsidRPr="00B27648">
        <w:t xml:space="preserve">interested parties </w:t>
      </w:r>
      <w:r w:rsidR="00845FB0">
        <w:t xml:space="preserve">where additional </w:t>
      </w:r>
      <w:r w:rsidR="00105CC3">
        <w:t>feedback is encouraged</w:t>
      </w:r>
      <w:r w:rsidR="007F5B31" w:rsidRPr="00B27648">
        <w:t xml:space="preserve">. </w:t>
      </w:r>
      <w:r w:rsidR="007F5B31">
        <w:t xml:space="preserve"> </w:t>
      </w:r>
      <w:r w:rsidR="009D6EEE">
        <w:t xml:space="preserve">Finally, </w:t>
      </w:r>
      <w:r w:rsidR="00BD6617">
        <w:t xml:space="preserve">NFMA </w:t>
      </w:r>
      <w:r w:rsidR="007F5B31">
        <w:t>may</w:t>
      </w:r>
      <w:r w:rsidR="007F5B31" w:rsidRPr="00B27648">
        <w:t xml:space="preserve"> then revise</w:t>
      </w:r>
      <w:r w:rsidR="00BD6617">
        <w:t xml:space="preserve"> the RBP</w:t>
      </w:r>
      <w:r w:rsidR="00511FE9">
        <w:t xml:space="preserve"> Whitepaper</w:t>
      </w:r>
      <w:r w:rsidR="007F5B31" w:rsidRPr="00B27648">
        <w:t xml:space="preserve"> </w:t>
      </w:r>
      <w:r w:rsidR="009D6EEE">
        <w:t xml:space="preserve">based upon </w:t>
      </w:r>
      <w:r w:rsidR="007F5B31" w:rsidRPr="00B27648">
        <w:t>feedback received</w:t>
      </w:r>
      <w:r w:rsidR="0047224C">
        <w:t xml:space="preserve"> during the comment period</w:t>
      </w:r>
      <w:r w:rsidR="007F5B31" w:rsidRPr="00B27648">
        <w:t xml:space="preserve">. </w:t>
      </w:r>
      <w:r w:rsidR="00590665" w:rsidRPr="00B27648">
        <w:t xml:space="preserve">NFMA’s disclosure efforts are a continuous process, and the guidelines provided in this </w:t>
      </w:r>
      <w:r w:rsidR="00590665">
        <w:t xml:space="preserve">RBP </w:t>
      </w:r>
      <w:r w:rsidR="00511FE9">
        <w:t xml:space="preserve">Whitepaper </w:t>
      </w:r>
      <w:r w:rsidR="00590665" w:rsidRPr="00B27648">
        <w:t xml:space="preserve">will be </w:t>
      </w:r>
      <w:r w:rsidR="00590665">
        <w:t xml:space="preserve">updated </w:t>
      </w:r>
      <w:r w:rsidR="00590665" w:rsidRPr="00B27648">
        <w:t xml:space="preserve">as market </w:t>
      </w:r>
      <w:r w:rsidR="00590665">
        <w:t xml:space="preserve">and sector </w:t>
      </w:r>
      <w:r w:rsidR="00590665" w:rsidRPr="00B27648">
        <w:t xml:space="preserve">conditions warrant. </w:t>
      </w:r>
      <w:r w:rsidR="00590665">
        <w:t xml:space="preserve"> NFMA </w:t>
      </w:r>
      <w:r w:rsidR="00590665" w:rsidRPr="00B27648">
        <w:t>encourage</w:t>
      </w:r>
      <w:r w:rsidR="00590665">
        <w:t>s</w:t>
      </w:r>
      <w:r w:rsidR="00590665" w:rsidRPr="00B27648">
        <w:t xml:space="preserve"> interested parties to submit comments </w:t>
      </w:r>
      <w:r w:rsidR="00590665">
        <w:t xml:space="preserve">on this RBP </w:t>
      </w:r>
      <w:r w:rsidR="00590665" w:rsidRPr="00B27648">
        <w:t xml:space="preserve">at any time to Lisa Good at </w:t>
      </w:r>
      <w:r w:rsidR="00590665" w:rsidRPr="00443545">
        <w:rPr>
          <w:u w:val="single"/>
        </w:rPr>
        <w:t>lgood@nfma.org</w:t>
      </w:r>
      <w:r w:rsidR="00590665" w:rsidRPr="00B27648">
        <w:t xml:space="preserve"> for consideration in the development of future versions of </w:t>
      </w:r>
      <w:r w:rsidR="00590665">
        <w:t>this</w:t>
      </w:r>
      <w:r w:rsidR="00590665" w:rsidRPr="00B27648">
        <w:t xml:space="preserve"> RBP</w:t>
      </w:r>
      <w:r w:rsidR="00FF26FC">
        <w:t xml:space="preserve"> </w:t>
      </w:r>
      <w:r w:rsidR="00FF26FC">
        <w:lastRenderedPageBreak/>
        <w:t>Whitepaper</w:t>
      </w:r>
      <w:r w:rsidR="00590665" w:rsidRPr="00B27648">
        <w:t xml:space="preserve">. </w:t>
      </w:r>
      <w:r w:rsidR="001522B7">
        <w:br/>
      </w:r>
    </w:p>
    <w:p w14:paraId="24231586" w14:textId="77777777" w:rsidR="00A734C4" w:rsidRDefault="00A734C4" w:rsidP="00A734C4">
      <w:pPr>
        <w:jc w:val="both"/>
        <w:rPr>
          <w:b/>
          <w:bCs/>
        </w:rPr>
      </w:pPr>
      <w:r>
        <w:rPr>
          <w:i/>
          <w:iCs/>
        </w:rPr>
        <w:t>T</w:t>
      </w:r>
      <w:r w:rsidRPr="00B27648">
        <w:rPr>
          <w:i/>
          <w:iCs/>
        </w:rPr>
        <w:t>his RBP</w:t>
      </w:r>
      <w:r>
        <w:rPr>
          <w:i/>
          <w:iCs/>
        </w:rPr>
        <w:t xml:space="preserve"> Whitepaper disclosure recommendations </w:t>
      </w:r>
      <w:proofErr w:type="spellStart"/>
      <w:r>
        <w:rPr>
          <w:i/>
          <w:iCs/>
        </w:rPr>
        <w:t>are</w:t>
      </w:r>
      <w:r w:rsidRPr="00B27648">
        <w:rPr>
          <w:i/>
          <w:iCs/>
        </w:rPr>
        <w:t>s</w:t>
      </w:r>
      <w:proofErr w:type="spellEnd"/>
      <w:r w:rsidRPr="00B27648">
        <w:rPr>
          <w:i/>
          <w:iCs/>
        </w:rPr>
        <w:t xml:space="preserve"> not intended to </w:t>
      </w:r>
      <w:r>
        <w:rPr>
          <w:i/>
          <w:iCs/>
        </w:rPr>
        <w:t>be applicable to every MCP and municipal bond transaction. transactions. Similarly, this RBP cannot predict all categories of material information which may apply to any particular MCP or transaction.  Issuers</w:t>
      </w:r>
      <w:r w:rsidRPr="00E22EEC">
        <w:rPr>
          <w:i/>
          <w:iCs/>
        </w:rPr>
        <w:t xml:space="preserve">, investment bankers, financial advisors, </w:t>
      </w:r>
      <w:r>
        <w:rPr>
          <w:i/>
          <w:iCs/>
        </w:rPr>
        <w:t xml:space="preserve">underwriters, legal counsel </w:t>
      </w:r>
      <w:r w:rsidRPr="00E22EEC">
        <w:rPr>
          <w:i/>
          <w:iCs/>
        </w:rPr>
        <w:t xml:space="preserve">and other parties responsible for the disclosure process must use their professional judgment </w:t>
      </w:r>
      <w:r>
        <w:rPr>
          <w:i/>
          <w:iCs/>
        </w:rPr>
        <w:t xml:space="preserve">in accordance with applicable securities laws and best practices </w:t>
      </w:r>
      <w:r w:rsidRPr="00E22EEC">
        <w:rPr>
          <w:i/>
          <w:iCs/>
        </w:rPr>
        <w:t xml:space="preserve">to determine what </w:t>
      </w:r>
      <w:r>
        <w:rPr>
          <w:i/>
          <w:iCs/>
        </w:rPr>
        <w:t xml:space="preserve">MCP </w:t>
      </w:r>
      <w:r w:rsidRPr="00E22EEC">
        <w:rPr>
          <w:i/>
          <w:iCs/>
        </w:rPr>
        <w:t xml:space="preserve">items are </w:t>
      </w:r>
      <w:r>
        <w:rPr>
          <w:i/>
          <w:iCs/>
        </w:rPr>
        <w:t xml:space="preserve">material </w:t>
      </w:r>
      <w:r w:rsidRPr="00E22EEC">
        <w:rPr>
          <w:i/>
          <w:iCs/>
        </w:rPr>
        <w:t xml:space="preserve">for disclosure in a particular </w:t>
      </w:r>
      <w:r>
        <w:rPr>
          <w:i/>
          <w:iCs/>
        </w:rPr>
        <w:t xml:space="preserve">municipal finance </w:t>
      </w:r>
      <w:r w:rsidRPr="00E22EEC">
        <w:rPr>
          <w:i/>
          <w:iCs/>
        </w:rPr>
        <w:t xml:space="preserve">transaction. </w:t>
      </w:r>
      <w:r>
        <w:t>NFMA</w:t>
      </w:r>
      <w:r w:rsidRPr="00EB1623">
        <w:t xml:space="preserve"> recognize</w:t>
      </w:r>
      <w:r>
        <w:t>s</w:t>
      </w:r>
      <w:r w:rsidRPr="00EB1623">
        <w:t xml:space="preserve"> that the </w:t>
      </w:r>
      <w:r>
        <w:t xml:space="preserve">information and </w:t>
      </w:r>
      <w:r w:rsidRPr="00EB1623">
        <w:t>data needed to analyze a</w:t>
      </w:r>
      <w:r>
        <w:t>n</w:t>
      </w:r>
      <w:r w:rsidRPr="00EB1623">
        <w:t xml:space="preserve"> </w:t>
      </w:r>
      <w:r>
        <w:t>LST</w:t>
      </w:r>
      <w:r w:rsidRPr="00EB1623">
        <w:t xml:space="preserve"> will vary from issue to issue</w:t>
      </w:r>
      <w:r>
        <w:t>, based upon the type of Development, the state of the Development is in (i.e. greenfield versus fully built), and the state/jurisdiction where the Development is located</w:t>
      </w:r>
      <w:r w:rsidRPr="00EB1623">
        <w:t xml:space="preserve">.  However, </w:t>
      </w:r>
      <w:r>
        <w:t xml:space="preserve">this </w:t>
      </w:r>
      <w:r>
        <w:rPr>
          <w:b/>
        </w:rPr>
        <w:t xml:space="preserve">RBP </w:t>
      </w:r>
      <w:r>
        <w:t xml:space="preserve">covers the </w:t>
      </w:r>
      <w:r w:rsidRPr="00EB1623">
        <w:t>information</w:t>
      </w:r>
      <w:r>
        <w:t xml:space="preserve"> and data </w:t>
      </w:r>
      <w:r w:rsidRPr="00EB1623">
        <w:t xml:space="preserve">that is relevant to nearly all </w:t>
      </w:r>
      <w:r>
        <w:t>LSTs and is needed by a reasonable investor to make an informed investment decision in the LST</w:t>
      </w:r>
      <w:r w:rsidRPr="00EB1623">
        <w:t xml:space="preserve">.  </w:t>
      </w:r>
      <w:r>
        <w:t>I</w:t>
      </w:r>
      <w:r w:rsidRPr="00EB1623">
        <w:t>t is</w:t>
      </w:r>
      <w:r>
        <w:t xml:space="preserve"> NFMA’s recommendation </w:t>
      </w:r>
      <w:r w:rsidRPr="00EB1623">
        <w:t xml:space="preserve">that when providing </w:t>
      </w:r>
      <w:r>
        <w:t xml:space="preserve">LST </w:t>
      </w:r>
      <w:r w:rsidRPr="00EB1623">
        <w:t xml:space="preserve">disclosure to either the primary market or in secondary market, </w:t>
      </w:r>
      <w:r>
        <w:t>the</w:t>
      </w:r>
      <w:r w:rsidRPr="00EB1623">
        <w:t xml:space="preserve"> </w:t>
      </w:r>
      <w:r>
        <w:t xml:space="preserve">disclosure </w:t>
      </w:r>
      <w:r w:rsidRPr="00EB1623">
        <w:t>areas,</w:t>
      </w:r>
      <w:r>
        <w:t xml:space="preserve"> identified in this RBP</w:t>
      </w:r>
      <w:r w:rsidRPr="00EB1623">
        <w:t xml:space="preserve"> </w:t>
      </w:r>
      <w:r>
        <w:t>should</w:t>
      </w:r>
      <w:r w:rsidRPr="00EB1623">
        <w:t>, be addressed</w:t>
      </w:r>
      <w:r>
        <w:t xml:space="preserve"> in the detail recommended by this RBP as relevant</w:t>
      </w:r>
      <w:r w:rsidRPr="00EB1623">
        <w:t xml:space="preserve">.  </w:t>
      </w:r>
    </w:p>
    <w:p w14:paraId="70FD8507" w14:textId="77777777" w:rsidR="00A734C4" w:rsidRDefault="00A734C4" w:rsidP="00A734C4">
      <w:pPr>
        <w:jc w:val="both"/>
      </w:pPr>
    </w:p>
    <w:p w14:paraId="48E54518" w14:textId="77777777" w:rsidR="00A734C4" w:rsidRDefault="00A734C4" w:rsidP="00A734C4">
      <w:pPr>
        <w:ind w:firstLine="720"/>
        <w:jc w:val="both"/>
      </w:pPr>
      <w:r>
        <w:t>Finally, this RBP Whitepaper</w:t>
      </w:r>
      <w:r>
        <w:rPr>
          <w:i/>
          <w:iCs/>
        </w:rPr>
        <w:t xml:space="preserve"> does not address credit enhancements in municipal finance transactions such as guarantees, letters of credit, municipal insurance and the various forms of state/local credit support such as “moral obligation” </w:t>
      </w:r>
      <w:proofErr w:type="gramStart"/>
      <w:r>
        <w:rPr>
          <w:i/>
          <w:iCs/>
        </w:rPr>
        <w:t>debt .</w:t>
      </w:r>
      <w:proofErr w:type="gramEnd"/>
    </w:p>
    <w:p w14:paraId="5737FE56" w14:textId="77777777" w:rsidR="007F5B31" w:rsidRPr="00B27648" w:rsidRDefault="007F5B31" w:rsidP="00B3352A">
      <w:pPr>
        <w:jc w:val="both"/>
      </w:pPr>
    </w:p>
    <w:p w14:paraId="65D88101" w14:textId="5CCEF9DC" w:rsidR="00B14B8B" w:rsidRPr="00786D9F" w:rsidRDefault="000953A0" w:rsidP="00406509">
      <w:pPr>
        <w:jc w:val="both"/>
        <w:rPr>
          <w:b/>
          <w:caps/>
          <w:u w:val="thick"/>
        </w:rPr>
      </w:pPr>
      <w:r w:rsidRPr="00786D9F">
        <w:rPr>
          <w:b/>
          <w:caps/>
          <w:u w:val="thick"/>
        </w:rPr>
        <w:t>The Purpose &amp; Scope Of This Whitepaper</w:t>
      </w:r>
      <w:r w:rsidR="000A4060" w:rsidRPr="00786D9F">
        <w:rPr>
          <w:b/>
          <w:caps/>
          <w:u w:val="thick"/>
        </w:rPr>
        <w:t xml:space="preserve">—The Benefits Of Evaluating </w:t>
      </w:r>
      <w:r w:rsidR="009E4F44" w:rsidRPr="00786D9F">
        <w:rPr>
          <w:b/>
          <w:caps/>
          <w:u w:val="thick"/>
        </w:rPr>
        <w:t xml:space="preserve">MUNICIPAL </w:t>
      </w:r>
      <w:r w:rsidR="000A4060" w:rsidRPr="00786D9F">
        <w:rPr>
          <w:b/>
          <w:caps/>
          <w:u w:val="thick"/>
        </w:rPr>
        <w:t>Collateral Packages</w:t>
      </w:r>
    </w:p>
    <w:p w14:paraId="25DD2A01" w14:textId="77777777" w:rsidR="00B14B8B" w:rsidRPr="009D3371" w:rsidRDefault="00B14B8B" w:rsidP="00D0383A">
      <w:pPr>
        <w:ind w:firstLine="720"/>
        <w:jc w:val="both"/>
        <w:rPr>
          <w:b/>
          <w:caps/>
        </w:rPr>
      </w:pPr>
    </w:p>
    <w:p w14:paraId="7E29D935" w14:textId="77777777" w:rsidR="00AC1813" w:rsidRDefault="007F5B31" w:rsidP="00AC1813">
      <w:pPr>
        <w:ind w:firstLine="720"/>
        <w:jc w:val="both"/>
      </w:pPr>
      <w:r w:rsidRPr="00B27648">
        <w:t>This paper presents the RBP</w:t>
      </w:r>
      <w:r w:rsidR="00BD6617">
        <w:t>s</w:t>
      </w:r>
      <w:r w:rsidRPr="00B27648">
        <w:t xml:space="preserve"> </w:t>
      </w:r>
      <w:r w:rsidR="000F74CE">
        <w:t xml:space="preserve">for </w:t>
      </w:r>
      <w:r w:rsidR="00401515">
        <w:t xml:space="preserve">evaluating </w:t>
      </w:r>
      <w:r w:rsidR="0075092D">
        <w:t xml:space="preserve">municipal </w:t>
      </w:r>
      <w:r w:rsidR="00401515">
        <w:t>collateral packages</w:t>
      </w:r>
      <w:r w:rsidR="0075092D">
        <w:t xml:space="preserve"> (MCP</w:t>
      </w:r>
      <w:r w:rsidR="00E75D8A">
        <w:t>s)</w:t>
      </w:r>
      <w:r w:rsidR="00401515">
        <w:t xml:space="preserve"> in </w:t>
      </w:r>
      <w:r w:rsidR="000904D9">
        <w:t>municipal bond transactions</w:t>
      </w:r>
      <w:r w:rsidR="00E75D8A">
        <w:t xml:space="preserve">. Many municipal bond transactions are supported by various types of collateral, and this Whitepaper is intended to </w:t>
      </w:r>
      <w:r w:rsidR="00CE5108">
        <w:t>help buy-side analysts understand the types of collateral compri</w:t>
      </w:r>
      <w:r w:rsidR="005E0F72">
        <w:t>s</w:t>
      </w:r>
      <w:r w:rsidR="00CE5108">
        <w:t xml:space="preserve">ing MCPs and </w:t>
      </w:r>
      <w:r w:rsidR="005E0F72">
        <w:t xml:space="preserve">recommended best practices in disclosure of MCPs and related risks such as </w:t>
      </w:r>
      <w:r w:rsidR="000A43BF">
        <w:t xml:space="preserve">the effects of </w:t>
      </w:r>
      <w:r w:rsidR="005E0F72">
        <w:t xml:space="preserve">bankruptcy on MCPs. </w:t>
      </w:r>
      <w:r w:rsidR="004F3CDE" w:rsidRPr="00320BDA">
        <w:t>This Whitepaper i</w:t>
      </w:r>
      <w:r w:rsidR="00AC1813">
        <w:t xml:space="preserve">s </w:t>
      </w:r>
      <w:r w:rsidR="004F3CDE" w:rsidRPr="00320BDA">
        <w:t>intended to help all parties to a MFT provide the proper level of disclosure about the</w:t>
      </w:r>
      <w:r w:rsidR="004F3CDE">
        <w:t xml:space="preserve"> </w:t>
      </w:r>
      <w:r w:rsidR="004F3CDE" w:rsidRPr="00320BDA">
        <w:t>MCP and the all the material risks applicable to each component part of the MCP</w:t>
      </w:r>
      <w:r w:rsidR="00AC1813">
        <w:t>.</w:t>
      </w:r>
    </w:p>
    <w:p w14:paraId="1FEFF0E8" w14:textId="533CE109" w:rsidR="004B1880" w:rsidRPr="0099253F" w:rsidRDefault="004F3CDE" w:rsidP="00665BA9">
      <w:pPr>
        <w:ind w:firstLine="720"/>
        <w:jc w:val="both"/>
        <w:rPr>
          <w:kern w:val="2"/>
          <w14:ligatures w14:val="standardContextual"/>
        </w:rPr>
      </w:pPr>
      <w:r w:rsidRPr="00320BDA">
        <w:br/>
      </w:r>
      <w:r w:rsidR="00AE0E06">
        <w:t xml:space="preserve">               </w:t>
      </w:r>
      <w:r w:rsidR="004B1880" w:rsidRPr="0099253F">
        <w:rPr>
          <w:kern w:val="2"/>
          <w14:ligatures w14:val="standardContextual"/>
        </w:rPr>
        <w:t xml:space="preserve">Most municipal finance transactions (MFTs) involve some “pledge” of or “lien” on municipal revenues, taxes and/or property to a Bond Trustee, or on the real estate, equipment, revenues and other property of a non-govt borrower (e.g., charter school). This is especially true for “high yield” MFTs. However, the nature of a “pledge” and “lien” in MFTs is not so straight forward as it seems. This </w:t>
      </w:r>
      <w:r w:rsidR="005128BF">
        <w:rPr>
          <w:kern w:val="2"/>
          <w14:ligatures w14:val="standardContextual"/>
        </w:rPr>
        <w:t>Whitepaper</w:t>
      </w:r>
      <w:r w:rsidR="004B1880" w:rsidRPr="0099253F">
        <w:rPr>
          <w:kern w:val="2"/>
          <w14:ligatures w14:val="standardContextual"/>
        </w:rPr>
        <w:t xml:space="preserve"> will cover the following topics and objectives:</w:t>
      </w:r>
      <w:r w:rsidR="004B1880" w:rsidRPr="0099253F">
        <w:rPr>
          <w:kern w:val="2"/>
          <w14:ligatures w14:val="standardContextual"/>
        </w:rPr>
        <w:br/>
      </w:r>
    </w:p>
    <w:p w14:paraId="52F9ADAD" w14:textId="152FB999" w:rsidR="004B1880" w:rsidRPr="0099253F" w:rsidRDefault="00BF2CFE" w:rsidP="00786D9F">
      <w:pPr>
        <w:spacing w:after="160" w:line="259" w:lineRule="auto"/>
        <w:ind w:left="720"/>
        <w:contextualSpacing/>
        <w:rPr>
          <w:kern w:val="2"/>
          <w14:ligatures w14:val="standardContextual"/>
        </w:rPr>
      </w:pPr>
      <w:r>
        <w:rPr>
          <w:kern w:val="2"/>
          <w14:ligatures w14:val="standardContextual"/>
        </w:rPr>
        <w:t xml:space="preserve">A. </w:t>
      </w:r>
      <w:r w:rsidR="00680F1B">
        <w:rPr>
          <w:kern w:val="2"/>
          <w14:ligatures w14:val="standardContextual"/>
        </w:rPr>
        <w:t>A</w:t>
      </w:r>
      <w:r w:rsidR="004B1880" w:rsidRPr="0099253F">
        <w:rPr>
          <w:kern w:val="2"/>
          <w14:ligatures w14:val="standardContextual"/>
        </w:rPr>
        <w:t xml:space="preserve">ssist NFMA analysts in identifying and understanding the basic types of legal </w:t>
      </w:r>
      <w:r w:rsidR="00C97F13">
        <w:rPr>
          <w:kern w:val="2"/>
          <w14:ligatures w14:val="standardContextual"/>
        </w:rPr>
        <w:br/>
        <w:t xml:space="preserve">     </w:t>
      </w:r>
      <w:r w:rsidR="004B1880" w:rsidRPr="0099253F">
        <w:rPr>
          <w:kern w:val="2"/>
          <w14:ligatures w14:val="standardContextual"/>
        </w:rPr>
        <w:t xml:space="preserve">structures creating “pledges”, “collateral” and “liens” in MFTs, and the general </w:t>
      </w:r>
      <w:r w:rsidR="00C97F13">
        <w:rPr>
          <w:kern w:val="2"/>
          <w14:ligatures w14:val="standardContextual"/>
        </w:rPr>
        <w:br/>
        <w:t xml:space="preserve">     </w:t>
      </w:r>
      <w:r w:rsidR="004B1880" w:rsidRPr="0099253F">
        <w:rPr>
          <w:kern w:val="2"/>
          <w14:ligatures w14:val="standardContextual"/>
        </w:rPr>
        <w:t xml:space="preserve">problems associated with each type of legal structure (e.g., rights/remedies limits; </w:t>
      </w:r>
      <w:r w:rsidR="00C97F13">
        <w:rPr>
          <w:kern w:val="2"/>
          <w14:ligatures w14:val="standardContextual"/>
        </w:rPr>
        <w:br/>
        <w:t xml:space="preserve">     </w:t>
      </w:r>
      <w:r w:rsidR="004B1880" w:rsidRPr="0099253F">
        <w:rPr>
          <w:kern w:val="2"/>
          <w14:ligatures w14:val="standardContextual"/>
        </w:rPr>
        <w:t>public notice requirements</w:t>
      </w:r>
      <w:r w:rsidR="00680F1B">
        <w:rPr>
          <w:kern w:val="2"/>
          <w14:ligatures w14:val="standardContextual"/>
        </w:rPr>
        <w:t>; etc.</w:t>
      </w:r>
      <w:r w:rsidR="004B1880" w:rsidRPr="0099253F">
        <w:rPr>
          <w:kern w:val="2"/>
          <w14:ligatures w14:val="standardContextual"/>
        </w:rPr>
        <w:t xml:space="preserve">). This analysis will be referred to as a “Collateral </w:t>
      </w:r>
      <w:r w:rsidR="00C97F13">
        <w:rPr>
          <w:kern w:val="2"/>
          <w14:ligatures w14:val="standardContextual"/>
        </w:rPr>
        <w:br/>
        <w:t xml:space="preserve">     </w:t>
      </w:r>
      <w:r w:rsidR="004B1880" w:rsidRPr="0099253F">
        <w:rPr>
          <w:kern w:val="2"/>
          <w14:ligatures w14:val="standardContextual"/>
        </w:rPr>
        <w:t>Package” analysis;</w:t>
      </w:r>
      <w:r w:rsidR="004B1880" w:rsidRPr="0099253F">
        <w:rPr>
          <w:kern w:val="2"/>
          <w14:ligatures w14:val="standardContextual"/>
        </w:rPr>
        <w:br/>
      </w:r>
    </w:p>
    <w:p w14:paraId="4F88B351" w14:textId="62EFF1A1" w:rsidR="004B1880" w:rsidRPr="00786D9F" w:rsidRDefault="00680F1B" w:rsidP="00786D9F">
      <w:pPr>
        <w:pStyle w:val="ListParagraph"/>
        <w:numPr>
          <w:ilvl w:val="0"/>
          <w:numId w:val="62"/>
        </w:numPr>
        <w:spacing w:after="160" w:line="259" w:lineRule="auto"/>
        <w:rPr>
          <w:kern w:val="2"/>
          <w14:ligatures w14:val="standardContextual"/>
        </w:rPr>
      </w:pPr>
      <w:r>
        <w:rPr>
          <w:kern w:val="2"/>
          <w14:ligatures w14:val="standardContextual"/>
        </w:rPr>
        <w:t>H</w:t>
      </w:r>
      <w:r w:rsidR="004B1880" w:rsidRPr="00786D9F">
        <w:rPr>
          <w:kern w:val="2"/>
          <w14:ligatures w14:val="standardContextual"/>
        </w:rPr>
        <w:t xml:space="preserve">ighlight documentation issues and perfection/priority risks involving the enforcement of the various types of “pledges” and “liens” in a Collateral Package; </w:t>
      </w:r>
      <w:r w:rsidR="004B1880" w:rsidRPr="00786D9F">
        <w:rPr>
          <w:kern w:val="2"/>
          <w14:ligatures w14:val="standardContextual"/>
        </w:rPr>
        <w:lastRenderedPageBreak/>
        <w:t>and</w:t>
      </w:r>
      <w:r w:rsidR="004B1880" w:rsidRPr="00786D9F">
        <w:rPr>
          <w:kern w:val="2"/>
          <w14:ligatures w14:val="standardContextual"/>
        </w:rPr>
        <w:br/>
      </w:r>
    </w:p>
    <w:p w14:paraId="4A5412BA" w14:textId="2A159F88" w:rsidR="004B1880" w:rsidRPr="00786D9F" w:rsidRDefault="00680F1B" w:rsidP="00786D9F">
      <w:pPr>
        <w:pStyle w:val="ListParagraph"/>
        <w:numPr>
          <w:ilvl w:val="0"/>
          <w:numId w:val="62"/>
        </w:numPr>
        <w:spacing w:after="160" w:line="259" w:lineRule="auto"/>
        <w:rPr>
          <w:kern w:val="2"/>
          <w14:ligatures w14:val="standardContextual"/>
        </w:rPr>
      </w:pPr>
      <w:r>
        <w:rPr>
          <w:kern w:val="2"/>
          <w14:ligatures w14:val="standardContextual"/>
        </w:rPr>
        <w:t>P</w:t>
      </w:r>
      <w:r w:rsidR="004B1880" w:rsidRPr="00786D9F">
        <w:rPr>
          <w:kern w:val="2"/>
          <w14:ligatures w14:val="standardContextual"/>
        </w:rPr>
        <w:t xml:space="preserve">rovide NFMA analysts with a checklist to help in assessing Collateral Package risks*. </w:t>
      </w:r>
    </w:p>
    <w:p w14:paraId="54791124" w14:textId="77777777" w:rsidR="00C1022B" w:rsidRPr="0099253F" w:rsidRDefault="00C1022B" w:rsidP="00786D9F">
      <w:pPr>
        <w:spacing w:after="160" w:line="259" w:lineRule="auto"/>
        <w:ind w:left="720"/>
        <w:contextualSpacing/>
        <w:rPr>
          <w:kern w:val="2"/>
          <w14:ligatures w14:val="standardContextual"/>
        </w:rPr>
      </w:pPr>
      <w:r w:rsidRPr="0099253F">
        <w:rPr>
          <w:kern w:val="2"/>
          <w14:ligatures w14:val="standardContextual"/>
        </w:rPr>
        <w:t xml:space="preserve">WHY IS A “COLLATERAL PACKAGE” ANALYSIS IMPORTANT? Bondholder recovery in MFTs is highly dependent on the quality and sufficiency of the Collateral Package supporting the MFT especially in high yield MFTS. As used herein, “Collateral” includes both hard collateral (real estate/equipment) and the revenues/taxes (e.g., sales taxes) pledged to repay the debt. Collateral Package analysis is especially important for high yield MFTs as they fund riskier start-up projects like hotels, multi-family housing, mixed use retail developments, recycling/bio-gas plants, industrial projects, business parks, etc. However, it seems that many high yield MFT offering statements do not proved adequate disclosure of the nature and strength of the “pledges” and “liens” that create the Collateral Package, nor the enforcement risks involved in liquidating the Collateral Package. Consequently, NFMA analysts need to conduct a Collateral Package analysis as part of their due diligence process when looking at high yield MFTs, and understand how quickly/efficiently a Bond Trustee can realize on that Collateral Package to repay the MFT if required. </w:t>
      </w:r>
      <w:r w:rsidRPr="0099253F">
        <w:rPr>
          <w:kern w:val="2"/>
          <w14:ligatures w14:val="standardContextual"/>
        </w:rPr>
        <w:br/>
      </w:r>
      <w:r w:rsidRPr="0099253F">
        <w:rPr>
          <w:kern w:val="2"/>
          <w14:ligatures w14:val="standardContextual"/>
        </w:rPr>
        <w:br/>
        <w:t>The importance and benefits of having a “fully secured" Collateral Package in HY MFTs are as follows:</w:t>
      </w:r>
      <w:r w:rsidRPr="0099253F">
        <w:rPr>
          <w:kern w:val="2"/>
          <w14:ligatures w14:val="standardContextual"/>
        </w:rPr>
        <w:br/>
      </w:r>
      <w:r w:rsidRPr="0099253F">
        <w:rPr>
          <w:kern w:val="2"/>
          <w14:ligatures w14:val="standardContextual"/>
        </w:rPr>
        <w:br/>
        <w:t xml:space="preserve">  1) MFTs that have a “fully secured” Collateral Package should be given a higher </w:t>
      </w:r>
      <w:r>
        <w:rPr>
          <w:kern w:val="2"/>
          <w14:ligatures w14:val="standardContextual"/>
        </w:rPr>
        <w:br/>
        <w:t xml:space="preserve">       </w:t>
      </w:r>
      <w:r w:rsidRPr="0099253F">
        <w:rPr>
          <w:kern w:val="2"/>
          <w14:ligatures w14:val="standardContextual"/>
        </w:rPr>
        <w:t>internal credit</w:t>
      </w:r>
      <w:r>
        <w:rPr>
          <w:kern w:val="2"/>
          <w14:ligatures w14:val="standardContextual"/>
        </w:rPr>
        <w:t xml:space="preserve"> </w:t>
      </w:r>
      <w:r w:rsidRPr="0099253F">
        <w:rPr>
          <w:kern w:val="2"/>
          <w14:ligatures w14:val="standardContextual"/>
        </w:rPr>
        <w:t xml:space="preserve">rating than those that are “under secured” given the higher probability </w:t>
      </w:r>
      <w:r>
        <w:rPr>
          <w:kern w:val="2"/>
          <w14:ligatures w14:val="standardContextual"/>
        </w:rPr>
        <w:t xml:space="preserve">    </w:t>
      </w:r>
      <w:r>
        <w:rPr>
          <w:kern w:val="2"/>
          <w14:ligatures w14:val="standardContextual"/>
        </w:rPr>
        <w:br/>
        <w:t xml:space="preserve">       </w:t>
      </w:r>
      <w:r w:rsidRPr="0099253F">
        <w:rPr>
          <w:kern w:val="2"/>
          <w14:ligatures w14:val="standardContextual"/>
        </w:rPr>
        <w:t>of bondholder recovery before and after default;</w:t>
      </w:r>
      <w:r w:rsidRPr="0099253F">
        <w:rPr>
          <w:kern w:val="2"/>
          <w14:ligatures w14:val="standardContextual"/>
        </w:rPr>
        <w:br/>
      </w:r>
      <w:r w:rsidRPr="0099253F">
        <w:rPr>
          <w:kern w:val="2"/>
          <w14:ligatures w14:val="standardContextual"/>
        </w:rPr>
        <w:br/>
        <w:t xml:space="preserve">  2) A “fully secured” Collateral Package is needed to protect bondholders from </w:t>
      </w:r>
      <w:r>
        <w:rPr>
          <w:kern w:val="2"/>
          <w14:ligatures w14:val="standardContextual"/>
        </w:rPr>
        <w:br/>
        <w:t xml:space="preserve">      </w:t>
      </w:r>
      <w:r w:rsidRPr="0099253F">
        <w:rPr>
          <w:kern w:val="2"/>
          <w14:ligatures w14:val="standardContextual"/>
        </w:rPr>
        <w:t xml:space="preserve">bankruptcy “cramdown” in a Chapter 9 and 11 bankruptcy—often a problem in HY </w:t>
      </w:r>
      <w:r>
        <w:rPr>
          <w:kern w:val="2"/>
          <w14:ligatures w14:val="standardContextual"/>
        </w:rPr>
        <w:br/>
        <w:t xml:space="preserve">      </w:t>
      </w:r>
      <w:r w:rsidRPr="0099253F">
        <w:rPr>
          <w:kern w:val="2"/>
          <w14:ligatures w14:val="standardContextual"/>
        </w:rPr>
        <w:t>MFTs;</w:t>
      </w:r>
      <w:r w:rsidRPr="0099253F">
        <w:rPr>
          <w:kern w:val="2"/>
          <w14:ligatures w14:val="standardContextual"/>
        </w:rPr>
        <w:br/>
      </w:r>
      <w:r w:rsidRPr="0099253F">
        <w:rPr>
          <w:kern w:val="2"/>
          <w14:ligatures w14:val="standardContextual"/>
        </w:rPr>
        <w:br/>
        <w:t xml:space="preserve">  3) HY MFTS bond restructurings that have a “fully secured” Collateral Package allows </w:t>
      </w:r>
      <w:r w:rsidRPr="0099253F">
        <w:rPr>
          <w:kern w:val="2"/>
          <w14:ligatures w14:val="standardContextual"/>
        </w:rPr>
        <w:br/>
        <w:t xml:space="preserve">       bondholders to negotiate from a position of strength viz-a-viz the obligor and other </w:t>
      </w:r>
      <w:r w:rsidRPr="0099253F">
        <w:rPr>
          <w:kern w:val="2"/>
          <w14:ligatures w14:val="standardContextual"/>
        </w:rPr>
        <w:br/>
        <w:t xml:space="preserve">       competing creditors, and obtain better restructuring outcomes; </w:t>
      </w:r>
      <w:r w:rsidRPr="0099253F">
        <w:rPr>
          <w:kern w:val="2"/>
          <w14:ligatures w14:val="standardContextual"/>
        </w:rPr>
        <w:br/>
      </w:r>
      <w:r w:rsidRPr="0099253F">
        <w:rPr>
          <w:kern w:val="2"/>
          <w14:ligatures w14:val="standardContextual"/>
        </w:rPr>
        <w:br/>
        <w:t xml:space="preserve">  4) Having a “fully secured” Collateral Package with the Bond Trustee having all the </w:t>
      </w:r>
      <w:r>
        <w:rPr>
          <w:kern w:val="2"/>
          <w14:ligatures w14:val="standardContextual"/>
        </w:rPr>
        <w:br/>
        <w:t xml:space="preserve">       </w:t>
      </w:r>
      <w:r w:rsidRPr="0099253F">
        <w:rPr>
          <w:kern w:val="2"/>
          <w14:ligatures w14:val="standardContextual"/>
        </w:rPr>
        <w:t xml:space="preserve">needed rights/remedies to liquidate the collateral/collect the pledged revenues should </w:t>
      </w:r>
      <w:r>
        <w:rPr>
          <w:kern w:val="2"/>
          <w14:ligatures w14:val="standardContextual"/>
        </w:rPr>
        <w:br/>
        <w:t xml:space="preserve">       </w:t>
      </w:r>
      <w:r w:rsidRPr="0099253F">
        <w:rPr>
          <w:kern w:val="2"/>
          <w14:ligatures w14:val="standardContextual"/>
        </w:rPr>
        <w:t xml:space="preserve">minimize situations where bondholders take a loss—very common in high yield </w:t>
      </w:r>
      <w:r>
        <w:rPr>
          <w:kern w:val="2"/>
          <w14:ligatures w14:val="standardContextual"/>
        </w:rPr>
        <w:br/>
        <w:t xml:space="preserve">       </w:t>
      </w:r>
      <w:r w:rsidRPr="0099253F">
        <w:rPr>
          <w:kern w:val="2"/>
          <w14:ligatures w14:val="standardContextual"/>
        </w:rPr>
        <w:t xml:space="preserve">MFTs; and </w:t>
      </w:r>
    </w:p>
    <w:p w14:paraId="091EEDB3" w14:textId="43936E77" w:rsidR="009F2F11" w:rsidRPr="0099253F" w:rsidRDefault="00C1022B" w:rsidP="00C1022B">
      <w:pPr>
        <w:spacing w:after="160" w:line="259" w:lineRule="auto"/>
        <w:ind w:left="1080"/>
        <w:contextualSpacing/>
        <w:rPr>
          <w:kern w:val="2"/>
          <w14:ligatures w14:val="standardContextual"/>
        </w:rPr>
      </w:pPr>
      <w:r w:rsidRPr="0099253F">
        <w:rPr>
          <w:kern w:val="2"/>
          <w14:ligatures w14:val="standardContextual"/>
        </w:rPr>
        <w:br/>
        <w:t xml:space="preserve">  5) Having a “Fully Secured” Collateral Package Makes It Easier/Cheaper </w:t>
      </w:r>
      <w:proofErr w:type="gramStart"/>
      <w:r w:rsidRPr="0099253F">
        <w:rPr>
          <w:kern w:val="2"/>
          <w14:ligatures w14:val="standardContextual"/>
        </w:rPr>
        <w:t>To</w:t>
      </w:r>
      <w:proofErr w:type="gramEnd"/>
      <w:r w:rsidRPr="0099253F">
        <w:rPr>
          <w:kern w:val="2"/>
          <w14:ligatures w14:val="standardContextual"/>
        </w:rPr>
        <w:t xml:space="preserve"> Get </w:t>
      </w:r>
      <w:r>
        <w:rPr>
          <w:kern w:val="2"/>
          <w14:ligatures w14:val="standardContextual"/>
        </w:rPr>
        <w:br/>
        <w:t xml:space="preserve">      </w:t>
      </w:r>
      <w:r w:rsidRPr="0099253F">
        <w:rPr>
          <w:kern w:val="2"/>
          <w14:ligatures w14:val="standardContextual"/>
        </w:rPr>
        <w:t>Municipal Bond Insurance In Secondary Market.</w:t>
      </w:r>
      <w:r w:rsidRPr="0099253F">
        <w:rPr>
          <w:kern w:val="2"/>
          <w14:ligatures w14:val="standardContextual"/>
        </w:rPr>
        <w:br/>
      </w:r>
    </w:p>
    <w:p w14:paraId="165F3D6B" w14:textId="77777777" w:rsidR="004B1880" w:rsidRPr="0099253F" w:rsidRDefault="004B1880" w:rsidP="004B1880">
      <w:pPr>
        <w:spacing w:after="160" w:line="259" w:lineRule="auto"/>
        <w:ind w:left="720"/>
        <w:rPr>
          <w:kern w:val="2"/>
          <w14:ligatures w14:val="standardContextual"/>
        </w:rPr>
      </w:pPr>
      <w:r w:rsidRPr="0099253F">
        <w:rPr>
          <w:kern w:val="2"/>
          <w14:ligatures w14:val="standardContextual"/>
        </w:rPr>
        <w:lastRenderedPageBreak/>
        <w:t xml:space="preserve">KNOWING YOUR COLLATERAL PACKAGE AND WHAT TYPE OF PLEDGE OR LIEN ON PROPERTY SUPPORTS REPAYMENT OF YOUR BONDS IS CRUCIAL IN EVALUATING HIGH YIELD MFTS. </w:t>
      </w:r>
    </w:p>
    <w:p w14:paraId="5EC3EF29" w14:textId="77777777" w:rsidR="004B1880" w:rsidRPr="0099253F" w:rsidRDefault="004B1880" w:rsidP="004B1880">
      <w:pPr>
        <w:spacing w:after="160" w:line="259" w:lineRule="auto"/>
        <w:ind w:left="720"/>
        <w:rPr>
          <w:kern w:val="2"/>
          <w14:ligatures w14:val="standardContextual"/>
        </w:rPr>
      </w:pPr>
      <w:r w:rsidRPr="0099253F">
        <w:rPr>
          <w:kern w:val="2"/>
          <w14:ligatures w14:val="standardContextual"/>
        </w:rPr>
        <w:t>VALUE-ADDED PM SUPPORT: PUBLIC RATING AGENCIES DO NOT REALLY FOCUS ON THE STRENGTHS OF COLLATERAL PACKAGES, SO BUY-SIDE ANALYSTS HAVE AN OPPORTUNITY TO INFORM INVESTMENT DECISIONS WITH INSIGHTFUL COLLATERAL PACKAGE RISK ASSESSMENTS.</w:t>
      </w:r>
    </w:p>
    <w:p w14:paraId="2514C2E8" w14:textId="1BBE089D" w:rsidR="00C86BC2" w:rsidRPr="0066328C" w:rsidRDefault="00786D9F" w:rsidP="00786D9F">
      <w:pPr>
        <w:spacing w:after="160" w:line="259" w:lineRule="auto"/>
        <w:contextualSpacing/>
        <w:rPr>
          <w:b/>
          <w:kern w:val="2"/>
          <w:u w:val="thick"/>
          <w14:ligatures w14:val="standardContextual"/>
        </w:rPr>
      </w:pPr>
      <w:r w:rsidRPr="0066328C">
        <w:rPr>
          <w:b/>
          <w:kern w:val="2"/>
          <w:u w:val="thick"/>
          <w14:ligatures w14:val="standardContextual"/>
        </w:rPr>
        <w:t xml:space="preserve">CURRENT </w:t>
      </w:r>
      <w:r w:rsidR="004B1880" w:rsidRPr="0066328C">
        <w:rPr>
          <w:b/>
          <w:kern w:val="2"/>
          <w:u w:val="thick"/>
          <w14:ligatures w14:val="standardContextual"/>
        </w:rPr>
        <w:t xml:space="preserve">MFT OFFERING STATEMENT DISCLOSURE: LACK OF LEGAL OPINIONS ON COLLATERAL PACKAGES (PERFECTION &amp; PRIORITY) &amp; MINIMAL PLEDGE/LIEN </w:t>
      </w:r>
      <w:r w:rsidRPr="0066328C">
        <w:rPr>
          <w:b/>
          <w:kern w:val="2"/>
          <w:u w:val="thick"/>
          <w14:ligatures w14:val="standardContextual"/>
        </w:rPr>
        <w:t xml:space="preserve">AND RIGHTS/REMEDIES </w:t>
      </w:r>
      <w:r w:rsidR="004B1880" w:rsidRPr="0066328C">
        <w:rPr>
          <w:b/>
          <w:kern w:val="2"/>
          <w:u w:val="thick"/>
          <w14:ligatures w14:val="standardContextual"/>
        </w:rPr>
        <w:t>RISK DISCLOSURES</w:t>
      </w:r>
      <w:r w:rsidR="00C86BC2" w:rsidRPr="0066328C">
        <w:rPr>
          <w:b/>
          <w:kern w:val="2"/>
          <w:u w:val="thick"/>
          <w14:ligatures w14:val="standardContextual"/>
        </w:rPr>
        <w:t>.</w:t>
      </w:r>
    </w:p>
    <w:p w14:paraId="637790B2" w14:textId="389EC45E" w:rsidR="004B1880" w:rsidRPr="0066328C" w:rsidRDefault="00D7364C" w:rsidP="0066328C">
      <w:pPr>
        <w:pStyle w:val="ListParagraph"/>
        <w:numPr>
          <w:ilvl w:val="0"/>
          <w:numId w:val="64"/>
        </w:numPr>
        <w:spacing w:after="160" w:line="259" w:lineRule="auto"/>
        <w:rPr>
          <w:kern w:val="2"/>
          <w14:ligatures w14:val="standardContextual"/>
        </w:rPr>
      </w:pPr>
      <w:r w:rsidRPr="0066328C">
        <w:rPr>
          <w:kern w:val="2"/>
          <w14:ligatures w14:val="standardContextual"/>
        </w:rPr>
        <w:t xml:space="preserve">CURRENT PROBLEMS: </w:t>
      </w:r>
      <w:r w:rsidR="004B1880" w:rsidRPr="0066328C">
        <w:rPr>
          <w:kern w:val="2"/>
          <w14:ligatures w14:val="standardContextual"/>
        </w:rPr>
        <w:t xml:space="preserve">Unlike commercial loan transactions that routinely get a legal opinion on the perfection/priority of the Collateral Package (including UCC perfection/priority opinions, title insurance commitments, </w:t>
      </w:r>
      <w:proofErr w:type="spellStart"/>
      <w:r w:rsidR="004B1880" w:rsidRPr="0066328C">
        <w:rPr>
          <w:kern w:val="2"/>
          <w14:ligatures w14:val="standardContextual"/>
        </w:rPr>
        <w:t>etc</w:t>
      </w:r>
      <w:proofErr w:type="spellEnd"/>
      <w:r w:rsidR="004B1880" w:rsidRPr="0066328C">
        <w:rPr>
          <w:kern w:val="2"/>
          <w14:ligatures w14:val="standardContextual"/>
        </w:rPr>
        <w:t xml:space="preserve">) as a closing condition, MFTs usually do not provide legal opinions on the perfection/priority of the Collateral Package. In addition, MFT offering statements do not have much risk disclosure on Collateral Packages including perfection/priority risks, adverse real estate title issues, title insurance exceptions/exemptions (e.g., lack of a survey), and risks of the Bond Trustee lacking clear enforcement/collection rights in the Collateral Package. Bond counsel is usually not responsible for issues regarding the perfection/priority of “pledges”, “liens” and security interests in MFTs, and so bondholders must request underwriter’s and issuer’s counsel for adequate disclosure on these issues when reviewing </w:t>
      </w:r>
      <w:proofErr w:type="gramStart"/>
      <w:r w:rsidR="004B1880" w:rsidRPr="0066328C">
        <w:rPr>
          <w:kern w:val="2"/>
          <w14:ligatures w14:val="standardContextual"/>
        </w:rPr>
        <w:t>a</w:t>
      </w:r>
      <w:proofErr w:type="gramEnd"/>
      <w:r w:rsidR="004B1880" w:rsidRPr="0066328C">
        <w:rPr>
          <w:kern w:val="2"/>
          <w14:ligatures w14:val="standardContextual"/>
        </w:rPr>
        <w:t xml:space="preserve"> MFT—especially high yield MFTs. Consequently, NFMA analysts need to undertake their own Collateral Package analysis as part of their credit risk due diligence/assessment, and identify weaknesses in the Collateral Package of MFTs--especially in HY MFTs.</w:t>
      </w:r>
      <w:r w:rsidR="004B1880" w:rsidRPr="0066328C">
        <w:rPr>
          <w:kern w:val="2"/>
          <w14:ligatures w14:val="standardContextual"/>
        </w:rPr>
        <w:br/>
      </w:r>
    </w:p>
    <w:p w14:paraId="18E6B0F8" w14:textId="728D3AB3" w:rsidR="00310506" w:rsidRPr="0066328C" w:rsidRDefault="004B1880" w:rsidP="0066328C">
      <w:pPr>
        <w:pStyle w:val="ListParagraph"/>
        <w:numPr>
          <w:ilvl w:val="0"/>
          <w:numId w:val="64"/>
        </w:numPr>
        <w:spacing w:after="160" w:line="259" w:lineRule="auto"/>
        <w:rPr>
          <w:kern w:val="2"/>
          <w14:ligatures w14:val="standardContextual"/>
        </w:rPr>
      </w:pPr>
      <w:r w:rsidRPr="0066328C">
        <w:rPr>
          <w:kern w:val="2"/>
          <w14:ligatures w14:val="standardContextual"/>
        </w:rPr>
        <w:t>WHAT IS A “PLEDGE” AND “LIEN” IN MUNICIPAL FINANCE</w:t>
      </w:r>
      <w:r w:rsidR="00487632">
        <w:rPr>
          <w:kern w:val="2"/>
          <w14:ligatures w14:val="standardContextual"/>
        </w:rPr>
        <w:t xml:space="preserve"> </w:t>
      </w:r>
      <w:proofErr w:type="gramStart"/>
      <w:r w:rsidR="00487632">
        <w:rPr>
          <w:kern w:val="2"/>
          <w14:ligatures w14:val="standardContextual"/>
        </w:rPr>
        <w:t>TRANSACTIONS</w:t>
      </w:r>
      <w:r w:rsidRPr="0066328C">
        <w:rPr>
          <w:kern w:val="2"/>
          <w14:ligatures w14:val="standardContextual"/>
        </w:rPr>
        <w:t>?:</w:t>
      </w:r>
      <w:proofErr w:type="gramEnd"/>
      <w:r w:rsidRPr="0066328C">
        <w:rPr>
          <w:kern w:val="2"/>
          <w14:ligatures w14:val="standardContextual"/>
        </w:rPr>
        <w:t xml:space="preserve"> LACK OF ADEQUATE OFFERING</w:t>
      </w:r>
      <w:r w:rsidR="00F95238" w:rsidRPr="0066328C">
        <w:rPr>
          <w:kern w:val="2"/>
          <w14:ligatures w14:val="standardContextual"/>
        </w:rPr>
        <w:t xml:space="preserve"> </w:t>
      </w:r>
      <w:r w:rsidR="00310506" w:rsidRPr="0066328C">
        <w:rPr>
          <w:kern w:val="2"/>
          <w14:ligatures w14:val="standardContextual"/>
        </w:rPr>
        <w:t>STATEMENT DISCLOSURE.</w:t>
      </w:r>
      <w:r w:rsidR="00310506" w:rsidRPr="0066328C">
        <w:rPr>
          <w:kern w:val="2"/>
          <w14:ligatures w14:val="standardContextual"/>
        </w:rPr>
        <w:br/>
      </w:r>
      <w:r w:rsidR="009D574F" w:rsidRPr="0066328C">
        <w:rPr>
          <w:kern w:val="2"/>
          <w14:ligatures w14:val="standardContextual"/>
        </w:rPr>
        <w:br/>
      </w:r>
      <w:r w:rsidR="00310506" w:rsidRPr="0066328C">
        <w:rPr>
          <w:kern w:val="2"/>
          <w14:ligatures w14:val="standardContextual"/>
        </w:rPr>
        <w:t xml:space="preserve">1.   Introduction: “Pledges” and “liens” in MFT’s can be based on the following legal </w:t>
      </w:r>
      <w:r w:rsidR="00310506" w:rsidRPr="0066328C">
        <w:rPr>
          <w:kern w:val="2"/>
          <w14:ligatures w14:val="standardContextual"/>
        </w:rPr>
        <w:br/>
        <w:t xml:space="preserve">     </w:t>
      </w:r>
      <w:r w:rsidR="00CC04E5" w:rsidRPr="0066328C">
        <w:rPr>
          <w:kern w:val="2"/>
          <w14:ligatures w14:val="standardContextual"/>
        </w:rPr>
        <w:t xml:space="preserve"> </w:t>
      </w:r>
      <w:r w:rsidR="00310506" w:rsidRPr="0066328C">
        <w:rPr>
          <w:kern w:val="2"/>
          <w14:ligatures w14:val="standardContextual"/>
        </w:rPr>
        <w:t xml:space="preserve">concepts/structures: 1) a statutory lien; 2) a security interest created/perfected under </w:t>
      </w:r>
      <w:r w:rsidR="009D574F" w:rsidRPr="0066328C">
        <w:rPr>
          <w:kern w:val="2"/>
          <w14:ligatures w14:val="standardContextual"/>
        </w:rPr>
        <w:br/>
        <w:t xml:space="preserve">      </w:t>
      </w:r>
      <w:r w:rsidR="00310506" w:rsidRPr="0066328C">
        <w:rPr>
          <w:kern w:val="2"/>
          <w14:ligatures w14:val="standardContextual"/>
        </w:rPr>
        <w:t>UCC</w:t>
      </w:r>
      <w:r w:rsidR="009D574F" w:rsidRPr="0066328C">
        <w:rPr>
          <w:kern w:val="2"/>
          <w14:ligatures w14:val="standardContextual"/>
        </w:rPr>
        <w:t xml:space="preserve"> </w:t>
      </w:r>
      <w:r w:rsidR="00310506" w:rsidRPr="0066328C">
        <w:rPr>
          <w:kern w:val="2"/>
          <w14:ligatures w14:val="standardContextual"/>
        </w:rPr>
        <w:t xml:space="preserve">Article 9; 3) a private mortgage/deed of trust; 4) a private collateral assignment </w:t>
      </w:r>
      <w:r w:rsidR="009D574F" w:rsidRPr="0066328C">
        <w:rPr>
          <w:kern w:val="2"/>
          <w14:ligatures w14:val="standardContextual"/>
        </w:rPr>
        <w:br/>
        <w:t xml:space="preserve">      </w:t>
      </w:r>
      <w:r w:rsidR="00310506" w:rsidRPr="0066328C">
        <w:rPr>
          <w:kern w:val="2"/>
          <w14:ligatures w14:val="standardContextual"/>
        </w:rPr>
        <w:t xml:space="preserve">of contract rights; and 5) a public “common law” pledge. If the “pledge” is not </w:t>
      </w:r>
      <w:r w:rsidR="009D574F" w:rsidRPr="0066328C">
        <w:rPr>
          <w:kern w:val="2"/>
          <w14:ligatures w14:val="standardContextual"/>
        </w:rPr>
        <w:br/>
        <w:t xml:space="preserve">      </w:t>
      </w:r>
      <w:r w:rsidR="00310506" w:rsidRPr="0066328C">
        <w:rPr>
          <w:kern w:val="2"/>
          <w14:ligatures w14:val="standardContextual"/>
        </w:rPr>
        <w:t xml:space="preserve">created by one of these five legal structures, then the “pledge” or “lien” may not </w:t>
      </w:r>
      <w:r w:rsidR="009D574F" w:rsidRPr="0066328C">
        <w:rPr>
          <w:kern w:val="2"/>
          <w14:ligatures w14:val="standardContextual"/>
        </w:rPr>
        <w:br/>
        <w:t xml:space="preserve">      </w:t>
      </w:r>
      <w:r w:rsidR="00310506" w:rsidRPr="0066328C">
        <w:rPr>
          <w:kern w:val="2"/>
          <w14:ligatures w14:val="standardContextual"/>
        </w:rPr>
        <w:t>create an enforceable priori</w:t>
      </w:r>
      <w:r w:rsidR="000B60C8" w:rsidRPr="0066328C">
        <w:rPr>
          <w:kern w:val="2"/>
          <w14:ligatures w14:val="standardContextual"/>
        </w:rPr>
        <w:t xml:space="preserve">ty </w:t>
      </w:r>
      <w:r w:rsidR="00310506" w:rsidRPr="0066328C">
        <w:rPr>
          <w:kern w:val="2"/>
          <w14:ligatures w14:val="standardContextual"/>
        </w:rPr>
        <w:t xml:space="preserve">claim for the Trustee against other creditors/the </w:t>
      </w:r>
      <w:r w:rsidR="009D574F" w:rsidRPr="0066328C">
        <w:rPr>
          <w:kern w:val="2"/>
          <w14:ligatures w14:val="standardContextual"/>
        </w:rPr>
        <w:br/>
        <w:t xml:space="preserve">      </w:t>
      </w:r>
      <w:r w:rsidR="00310506" w:rsidRPr="0066328C">
        <w:rPr>
          <w:kern w:val="2"/>
          <w14:ligatures w14:val="standardContextual"/>
        </w:rPr>
        <w:t>borrower as to the revenues or</w:t>
      </w:r>
      <w:r w:rsidR="000B60C8" w:rsidRPr="0066328C">
        <w:rPr>
          <w:kern w:val="2"/>
          <w14:ligatures w14:val="standardContextual"/>
        </w:rPr>
        <w:t xml:space="preserve"> </w:t>
      </w:r>
      <w:r w:rsidR="00310506" w:rsidRPr="0066328C">
        <w:rPr>
          <w:kern w:val="2"/>
          <w14:ligatures w14:val="standardContextual"/>
        </w:rPr>
        <w:t>property</w:t>
      </w:r>
      <w:r w:rsidR="000B60C8" w:rsidRPr="0066328C">
        <w:rPr>
          <w:kern w:val="2"/>
          <w14:ligatures w14:val="standardContextual"/>
        </w:rPr>
        <w:t xml:space="preserve"> </w:t>
      </w:r>
      <w:r w:rsidR="00310506" w:rsidRPr="0066328C">
        <w:rPr>
          <w:kern w:val="2"/>
          <w14:ligatures w14:val="standardContextual"/>
        </w:rPr>
        <w:t xml:space="preserve">supporting the MFT, and the “pledge” may </w:t>
      </w:r>
      <w:r w:rsidR="009D574F" w:rsidRPr="0066328C">
        <w:rPr>
          <w:kern w:val="2"/>
          <w14:ligatures w14:val="standardContextual"/>
        </w:rPr>
        <w:br/>
        <w:t xml:space="preserve">      </w:t>
      </w:r>
      <w:r w:rsidR="00310506" w:rsidRPr="0066328C">
        <w:rPr>
          <w:kern w:val="2"/>
          <w14:ligatures w14:val="standardContextual"/>
        </w:rPr>
        <w:t>only represent an unsecured “promise”</w:t>
      </w:r>
      <w:r w:rsidR="0099253F" w:rsidRPr="0066328C">
        <w:rPr>
          <w:kern w:val="2"/>
          <w14:ligatures w14:val="standardContextual"/>
        </w:rPr>
        <w:t xml:space="preserve"> </w:t>
      </w:r>
      <w:r w:rsidR="00310506" w:rsidRPr="0066328C">
        <w:rPr>
          <w:kern w:val="2"/>
          <w14:ligatures w14:val="standardContextual"/>
        </w:rPr>
        <w:t>to pay</w:t>
      </w:r>
      <w:r w:rsidR="000B60C8" w:rsidRPr="0066328C">
        <w:rPr>
          <w:kern w:val="2"/>
          <w14:ligatures w14:val="standardContextual"/>
        </w:rPr>
        <w:t xml:space="preserve"> </w:t>
      </w:r>
      <w:r w:rsidR="00310506" w:rsidRPr="0066328C">
        <w:rPr>
          <w:kern w:val="2"/>
          <w14:ligatures w14:val="standardContextual"/>
        </w:rPr>
        <w:t xml:space="preserve">certain revenues or deliver certain </w:t>
      </w:r>
      <w:r w:rsidR="0099253F" w:rsidRPr="0066328C">
        <w:rPr>
          <w:kern w:val="2"/>
          <w14:ligatures w14:val="standardContextual"/>
        </w:rPr>
        <w:br/>
        <w:t xml:space="preserve">      </w:t>
      </w:r>
      <w:r w:rsidR="00310506" w:rsidRPr="0066328C">
        <w:rPr>
          <w:kern w:val="2"/>
          <w14:ligatures w14:val="standardContextual"/>
        </w:rPr>
        <w:t>properties to pay the MFT.</w:t>
      </w:r>
    </w:p>
    <w:p w14:paraId="651FD091" w14:textId="77777777" w:rsidR="00310506" w:rsidRPr="0099253F" w:rsidRDefault="00310506" w:rsidP="00310506">
      <w:pPr>
        <w:spacing w:after="160" w:line="259" w:lineRule="auto"/>
        <w:ind w:left="720"/>
        <w:contextualSpacing/>
        <w:rPr>
          <w:kern w:val="2"/>
          <w14:ligatures w14:val="standardContextual"/>
        </w:rPr>
      </w:pPr>
    </w:p>
    <w:p w14:paraId="3C17E839" w14:textId="3DE00963" w:rsidR="003962A7" w:rsidRPr="0099253F" w:rsidRDefault="00310506" w:rsidP="00310506">
      <w:pPr>
        <w:numPr>
          <w:ilvl w:val="0"/>
          <w:numId w:val="48"/>
        </w:numPr>
        <w:spacing w:after="160" w:line="259" w:lineRule="auto"/>
        <w:contextualSpacing/>
        <w:rPr>
          <w:kern w:val="2"/>
          <w14:ligatures w14:val="standardContextual"/>
        </w:rPr>
      </w:pPr>
      <w:r w:rsidRPr="0099253F">
        <w:rPr>
          <w:kern w:val="2"/>
          <w14:ligatures w14:val="standardContextual"/>
        </w:rPr>
        <w:t xml:space="preserve">“Pledges”: When a NFMA analyst discovers that certain revenues or property are “pledged” to repayment of a MFT, it is important that the analyst verifies what is meant by the term “pledge” in making its Collateral Package analysis. The term “pledge” does not have a single or agreed-upon legal definition in MFTs. The </w:t>
      </w:r>
      <w:r w:rsidRPr="0099253F">
        <w:rPr>
          <w:kern w:val="2"/>
          <w14:ligatures w14:val="standardContextual"/>
        </w:rPr>
        <w:lastRenderedPageBreak/>
        <w:t>attached article authored by NABL Atty Rick Weber explores all of the possible meanings of the term “pledge” in municipal finance and highlights its pervasive ambiguity. In fact, the word “pledge” used in MFT offering statements is usually in lower case and undefined—</w:t>
      </w:r>
      <w:bookmarkStart w:id="0" w:name="_Hlk149818033"/>
      <w:r w:rsidRPr="0099253F">
        <w:rPr>
          <w:kern w:val="2"/>
          <w14:ligatures w14:val="standardContextual"/>
        </w:rPr>
        <w:t xml:space="preserve">SO BUY-SIDE ANALYSTS NEED TO VERIFY THE NATURE &amp; SCOPE OF ANY “PLEDGE” NOTED IN THE MFT OFFERING STATEMENT. </w:t>
      </w:r>
      <w:bookmarkEnd w:id="0"/>
      <w:r w:rsidRPr="0099253F">
        <w:rPr>
          <w:kern w:val="2"/>
          <w14:ligatures w14:val="standardContextual"/>
        </w:rPr>
        <w:t>MFT OFFERING STATEMENT DISCLOSURE ABOUT EACH “PLEDGE” IS GENERALLY INCOMPLETE OR MISSING.</w:t>
      </w:r>
      <w:r w:rsidRPr="0099253F">
        <w:rPr>
          <w:kern w:val="2"/>
          <w14:ligatures w14:val="standardContextual"/>
        </w:rPr>
        <w:br/>
      </w:r>
      <w:r w:rsidRPr="0099253F">
        <w:rPr>
          <w:kern w:val="2"/>
          <w14:ligatures w14:val="standardContextual"/>
        </w:rPr>
        <w:br/>
      </w:r>
      <w:bookmarkStart w:id="1" w:name="_Hlk153885313"/>
      <w:r w:rsidRPr="0099253F">
        <w:rPr>
          <w:kern w:val="2"/>
          <w14:ligatures w14:val="standardContextual"/>
        </w:rPr>
        <w:t xml:space="preserve">To improve MFT disclosure of any “pledges” </w:t>
      </w:r>
      <w:r w:rsidR="00F21255">
        <w:rPr>
          <w:kern w:val="2"/>
          <w14:ligatures w14:val="standardContextual"/>
        </w:rPr>
        <w:t xml:space="preserve">that are part of </w:t>
      </w:r>
      <w:r w:rsidRPr="0099253F">
        <w:rPr>
          <w:kern w:val="2"/>
          <w14:ligatures w14:val="standardContextual"/>
        </w:rPr>
        <w:t xml:space="preserve">the Collateral Package, the MFT offering documents should identify the specific type and source of each “pledge” of Collateral described in the POS, and excerpt all relevant state or local statutes, laws, resolutions, </w:t>
      </w:r>
      <w:proofErr w:type="spellStart"/>
      <w:r w:rsidRPr="0099253F">
        <w:rPr>
          <w:kern w:val="2"/>
          <w14:ligatures w14:val="standardContextual"/>
        </w:rPr>
        <w:t>etc</w:t>
      </w:r>
      <w:proofErr w:type="spellEnd"/>
      <w:r w:rsidRPr="0099253F">
        <w:rPr>
          <w:kern w:val="2"/>
          <w14:ligatures w14:val="standardContextual"/>
        </w:rPr>
        <w:t xml:space="preserve"> creating such pledge and the associated rights/remedies available to the Bond Trustee to collect/foreclose/realize on the pledged property. </w:t>
      </w:r>
      <w:bookmarkEnd w:id="1"/>
      <w:r w:rsidRPr="0099253F">
        <w:rPr>
          <w:kern w:val="2"/>
          <w14:ligatures w14:val="standardContextual"/>
        </w:rPr>
        <w:t>NFMA analysts can use the attached Checklist in Section M below to help them undertake this “pledge” analysis when evaluating Collateral Packages.</w:t>
      </w:r>
      <w:r w:rsidR="003962A7" w:rsidRPr="0099253F">
        <w:rPr>
          <w:kern w:val="2"/>
          <w14:ligatures w14:val="standardContextual"/>
        </w:rPr>
        <w:br/>
      </w:r>
    </w:p>
    <w:p w14:paraId="1091268B" w14:textId="117AA62E" w:rsidR="00310506" w:rsidRPr="0099253F" w:rsidRDefault="003962A7" w:rsidP="00310506">
      <w:pPr>
        <w:numPr>
          <w:ilvl w:val="0"/>
          <w:numId w:val="48"/>
        </w:numPr>
        <w:spacing w:after="160" w:line="259" w:lineRule="auto"/>
        <w:contextualSpacing/>
        <w:rPr>
          <w:kern w:val="2"/>
          <w14:ligatures w14:val="standardContextual"/>
        </w:rPr>
      </w:pPr>
      <w:r w:rsidRPr="0099253F">
        <w:rPr>
          <w:kern w:val="2"/>
          <w14:ligatures w14:val="standardContextual"/>
        </w:rPr>
        <w:t xml:space="preserve"> “</w:t>
      </w:r>
      <w:r w:rsidR="00BA0520" w:rsidRPr="0099253F">
        <w:rPr>
          <w:kern w:val="2"/>
          <w14:ligatures w14:val="standardContextual"/>
        </w:rPr>
        <w:t>L</w:t>
      </w:r>
      <w:r w:rsidR="00310506" w:rsidRPr="0099253F">
        <w:rPr>
          <w:kern w:val="2"/>
          <w14:ligatures w14:val="standardContextual"/>
        </w:rPr>
        <w:t xml:space="preserve">iens”: When a NFMA analyst discovers that certain revenues or property are subject to a “lien” in favor of the Trustee to secure repayment of a MFT, it is important that the analyst verifies what is meant by the term “lien” in making its Collateral Package analysis. The term “lien” is usually undefined and in lower case in MFT offering statements, SO ANALYSTS NEED TO VERIFY THE NATURE &amp; SCOPE OF ANY “LIEN” NOTED IN THE OFFERING STATEMENT. “Liens” are usually based on a specific federal/state statute or a local ordinance/resolution, and “Liens” cover tax liens (property taxes/income taxes), mechanics liens, landlord liens, contractor liens, bank liens (against accounts), and judgment liens. However, the term “lien” could also refer to a private real estate mortgage/deed of trust or private security interest, so analysts need to verify the source of the “lien” described in the MFT POS. One important subset of “liens” commonly found in MFTs are called Statutory Liens granting a lien on specific property or revenue stream in support of a MFT, may enjoy special creditor treatment in bankruptcy, and which generally are not subject to any special public perfection or filing requirements. [NOTE: Statutory Liens are covered in a separate NFMA Whitepaper entitled “General Obligation Bond Payments: Statutory Liens &amp; Related Disclosures” (December 2017) which is attached to these materials]. </w:t>
      </w:r>
      <w:r w:rsidR="00310506" w:rsidRPr="0099253F">
        <w:rPr>
          <w:kern w:val="2"/>
          <w14:ligatures w14:val="standardContextual"/>
        </w:rPr>
        <w:br/>
      </w:r>
      <w:r w:rsidR="00310506" w:rsidRPr="0099253F">
        <w:rPr>
          <w:kern w:val="2"/>
          <w14:ligatures w14:val="standardContextual"/>
        </w:rPr>
        <w:br/>
        <w:t xml:space="preserve">The generic term “lien” used in a MFT offering statement can be ambiguous unless it refers to a specific Statutory Lien (as discussed below). When a NFMA analyst discovers that certain revenues or property are covered by a “lien” in favor of the Bond Trustee (or in favor of the issuer in cases where there is </w:t>
      </w:r>
      <w:proofErr w:type="gramStart"/>
      <w:r w:rsidR="00310506" w:rsidRPr="0099253F">
        <w:rPr>
          <w:kern w:val="2"/>
          <w14:ligatures w14:val="standardContextual"/>
        </w:rPr>
        <w:t>a</w:t>
      </w:r>
      <w:proofErr w:type="gramEnd"/>
      <w:r w:rsidR="00310506" w:rsidRPr="0099253F">
        <w:rPr>
          <w:kern w:val="2"/>
          <w14:ligatures w14:val="standardContextual"/>
        </w:rPr>
        <w:t xml:space="preserve"> underlying borrower/obligor which is commonplace in HY MFTs), it is important that the analyst verifies the source of the lien (federal/state statute; local ordinance; or bond resolution) and verify if it is a Statutory Lien (see discussion below). The MFT offering statement should provide a specific reference to the legal source of the “lien”, excerpt language on the scope, terms, perfection and priority of the lien, and excerpt the rights/remedies of the lienholder (which in this case is either the bond </w:t>
      </w:r>
      <w:r w:rsidR="00310506" w:rsidRPr="0099253F">
        <w:rPr>
          <w:kern w:val="2"/>
          <w14:ligatures w14:val="standardContextual"/>
        </w:rPr>
        <w:lastRenderedPageBreak/>
        <w:t>trustee or the issuer depending on the type of MFT financing involved). NFMA analysts can use the attached Checklist in Section M below when undertaking this “lien” analysis.</w:t>
      </w:r>
    </w:p>
    <w:p w14:paraId="1B4EB6D7" w14:textId="77777777" w:rsidR="00E91383" w:rsidRPr="0099253F" w:rsidRDefault="00E91383" w:rsidP="00E91383">
      <w:pPr>
        <w:spacing w:after="160" w:line="259" w:lineRule="auto"/>
        <w:contextualSpacing/>
        <w:rPr>
          <w:kern w:val="2"/>
          <w14:ligatures w14:val="standardContextual"/>
        </w:rPr>
      </w:pPr>
    </w:p>
    <w:p w14:paraId="70575AF1" w14:textId="0D724A72" w:rsidR="007F5B31" w:rsidRPr="0066328C" w:rsidRDefault="00207B06" w:rsidP="00B50748">
      <w:pPr>
        <w:spacing w:after="160" w:line="259" w:lineRule="auto"/>
        <w:contextualSpacing/>
        <w:rPr>
          <w:b/>
          <w:caps/>
          <w:u w:val="thick"/>
        </w:rPr>
      </w:pPr>
      <w:r w:rsidRPr="0066328C">
        <w:rPr>
          <w:b/>
          <w:bCs/>
          <w:caps/>
          <w:u w:val="thick"/>
        </w:rPr>
        <w:t xml:space="preserve">The Legal </w:t>
      </w:r>
      <w:r w:rsidR="00821C05">
        <w:rPr>
          <w:b/>
          <w:bCs/>
          <w:caps/>
          <w:u w:val="thick"/>
        </w:rPr>
        <w:t>STRUCTURED</w:t>
      </w:r>
      <w:r w:rsidRPr="0066328C">
        <w:rPr>
          <w:b/>
          <w:bCs/>
          <w:caps/>
          <w:u w:val="thick"/>
        </w:rPr>
        <w:t xml:space="preserve"> </w:t>
      </w:r>
      <w:r w:rsidR="008F30B3" w:rsidRPr="0066328C">
        <w:rPr>
          <w:b/>
          <w:bCs/>
          <w:caps/>
          <w:u w:val="thick"/>
        </w:rPr>
        <w:t xml:space="preserve">Involved In Evaluating </w:t>
      </w:r>
      <w:r w:rsidR="00024951" w:rsidRPr="0066328C">
        <w:rPr>
          <w:b/>
          <w:bCs/>
          <w:caps/>
          <w:u w:val="thick"/>
        </w:rPr>
        <w:t xml:space="preserve">MUNICIPAL </w:t>
      </w:r>
      <w:r w:rsidR="008F30B3" w:rsidRPr="0066328C">
        <w:rPr>
          <w:b/>
          <w:bCs/>
          <w:caps/>
          <w:u w:val="thick"/>
        </w:rPr>
        <w:t>Collateral P</w:t>
      </w:r>
      <w:r w:rsidR="00024951" w:rsidRPr="0066328C">
        <w:rPr>
          <w:b/>
          <w:bCs/>
          <w:caps/>
          <w:u w:val="thick"/>
        </w:rPr>
        <w:t xml:space="preserve">ACKAGES </w:t>
      </w:r>
    </w:p>
    <w:p w14:paraId="6248BA2C" w14:textId="77777777" w:rsidR="007F5B31" w:rsidRPr="00280FAB" w:rsidRDefault="007F5B31">
      <w:pPr>
        <w:jc w:val="both"/>
      </w:pPr>
    </w:p>
    <w:p w14:paraId="331040B0" w14:textId="3656C7AC" w:rsidR="00FD4AD4" w:rsidRPr="00D31A50" w:rsidRDefault="008E2DF3" w:rsidP="0066328C">
      <w:pPr>
        <w:pStyle w:val="ListParagraph"/>
        <w:numPr>
          <w:ilvl w:val="0"/>
          <w:numId w:val="65"/>
        </w:numPr>
        <w:spacing w:after="160" w:line="259" w:lineRule="auto"/>
        <w:jc w:val="both"/>
        <w:rPr>
          <w:b/>
          <w:kern w:val="2"/>
          <w14:ligatures w14:val="standardContextual"/>
        </w:rPr>
      </w:pPr>
      <w:r w:rsidRPr="00D31A50">
        <w:rPr>
          <w:b/>
          <w:kern w:val="2"/>
          <w14:ligatures w14:val="standardContextual"/>
        </w:rPr>
        <w:t>WHAT LEGAL STRUCTURES SUPPORT COLLATERAL PACKAGES IN MUNICIPAL FINANCE TRANSACTIONS?</w:t>
      </w:r>
    </w:p>
    <w:p w14:paraId="4945931E" w14:textId="05316876" w:rsidR="00FD4AD4" w:rsidRDefault="008E2DF3" w:rsidP="00FD4AD4">
      <w:pPr>
        <w:spacing w:after="160" w:line="259" w:lineRule="auto"/>
        <w:ind w:left="1080"/>
        <w:contextualSpacing/>
        <w:jc w:val="both"/>
        <w:rPr>
          <w:kern w:val="2"/>
          <w14:ligatures w14:val="standardContextual"/>
        </w:rPr>
      </w:pPr>
      <w:r w:rsidRPr="00DA058E">
        <w:rPr>
          <w:kern w:val="2"/>
          <w14:ligatures w14:val="standardContextual"/>
        </w:rPr>
        <w:t xml:space="preserve">This Whitepaper has identified five (5) legal structures that are involved in creating the Collateral Package supporting </w:t>
      </w:r>
      <w:proofErr w:type="gramStart"/>
      <w:r w:rsidRPr="00DA058E">
        <w:rPr>
          <w:kern w:val="2"/>
          <w14:ligatures w14:val="standardContextual"/>
        </w:rPr>
        <w:t>a</w:t>
      </w:r>
      <w:proofErr w:type="gramEnd"/>
      <w:r w:rsidRPr="00DA058E">
        <w:rPr>
          <w:kern w:val="2"/>
          <w14:ligatures w14:val="standardContextual"/>
        </w:rPr>
        <w:t xml:space="preserve"> MFT*. More than one legal structure may be involved in creating the Collateral Package for a particular MFT.</w:t>
      </w:r>
    </w:p>
    <w:p w14:paraId="62E5B996" w14:textId="53813462" w:rsidR="00FD4AD4" w:rsidRDefault="008E2DF3" w:rsidP="00FD4AD4">
      <w:pPr>
        <w:spacing w:after="160" w:line="259" w:lineRule="auto"/>
        <w:ind w:left="1080"/>
        <w:contextualSpacing/>
        <w:jc w:val="both"/>
        <w:rPr>
          <w:kern w:val="2"/>
          <w14:ligatures w14:val="standardContextual"/>
        </w:rPr>
      </w:pPr>
      <w:r w:rsidRPr="00DA058E">
        <w:rPr>
          <w:kern w:val="2"/>
          <w14:ligatures w14:val="standardContextual"/>
        </w:rPr>
        <w:br/>
        <w:t xml:space="preserve">   1) Statutory Liens;</w:t>
      </w:r>
    </w:p>
    <w:p w14:paraId="29EF928B" w14:textId="1EC37250" w:rsidR="00FD4AD4" w:rsidRDefault="008E2DF3" w:rsidP="00FD4AD4">
      <w:pPr>
        <w:spacing w:after="160" w:line="259" w:lineRule="auto"/>
        <w:ind w:left="1080"/>
        <w:contextualSpacing/>
        <w:jc w:val="both"/>
        <w:rPr>
          <w:kern w:val="2"/>
          <w14:ligatures w14:val="standardContextual"/>
        </w:rPr>
      </w:pPr>
      <w:r w:rsidRPr="00DA058E">
        <w:rPr>
          <w:kern w:val="2"/>
          <w14:ligatures w14:val="standardContextual"/>
        </w:rPr>
        <w:br/>
        <w:t xml:space="preserve">   2) UCC-9 Security Interests (Needed To Create “Special Revenues” Under </w:t>
      </w:r>
      <w:r w:rsidR="00FD4AD4">
        <w:rPr>
          <w:kern w:val="2"/>
          <w14:ligatures w14:val="standardContextual"/>
        </w:rPr>
        <w:br/>
        <w:t xml:space="preserve">         </w:t>
      </w:r>
      <w:proofErr w:type="gramStart"/>
      <w:r w:rsidRPr="00DA058E">
        <w:rPr>
          <w:kern w:val="2"/>
          <w14:ligatures w14:val="standardContextual"/>
        </w:rPr>
        <w:t>Bankruptcy  Code</w:t>
      </w:r>
      <w:proofErr w:type="gramEnd"/>
      <w:r w:rsidRPr="00DA058E">
        <w:rPr>
          <w:kern w:val="2"/>
          <w14:ligatures w14:val="standardContextual"/>
        </w:rPr>
        <w:t>):</w:t>
      </w:r>
    </w:p>
    <w:p w14:paraId="7B786E4C" w14:textId="77777777" w:rsidR="00FD4AD4" w:rsidRDefault="008E2DF3" w:rsidP="00FD4AD4">
      <w:pPr>
        <w:spacing w:after="160" w:line="259" w:lineRule="auto"/>
        <w:ind w:left="1080"/>
        <w:contextualSpacing/>
        <w:jc w:val="both"/>
        <w:rPr>
          <w:kern w:val="2"/>
          <w14:ligatures w14:val="standardContextual"/>
        </w:rPr>
      </w:pPr>
      <w:r w:rsidRPr="00DA058E">
        <w:rPr>
          <w:kern w:val="2"/>
          <w14:ligatures w14:val="standardContextual"/>
        </w:rPr>
        <w:br/>
        <w:t xml:space="preserve">   3) Real Estate Mortgages/Deeds </w:t>
      </w:r>
      <w:proofErr w:type="gramStart"/>
      <w:r w:rsidRPr="00DA058E">
        <w:rPr>
          <w:kern w:val="2"/>
          <w14:ligatures w14:val="standardContextual"/>
        </w:rPr>
        <w:t>Of</w:t>
      </w:r>
      <w:proofErr w:type="gramEnd"/>
      <w:r w:rsidRPr="00DA058E">
        <w:rPr>
          <w:kern w:val="2"/>
          <w14:ligatures w14:val="standardContextual"/>
        </w:rPr>
        <w:t xml:space="preserve"> Trust (“Real Estate Liens”);</w:t>
      </w:r>
    </w:p>
    <w:p w14:paraId="7E4A0D13" w14:textId="77777777" w:rsidR="00FD4AD4" w:rsidRDefault="008E2DF3" w:rsidP="00FD4AD4">
      <w:pPr>
        <w:spacing w:after="160" w:line="259" w:lineRule="auto"/>
        <w:ind w:left="1080"/>
        <w:contextualSpacing/>
        <w:jc w:val="both"/>
        <w:rPr>
          <w:kern w:val="2"/>
          <w14:ligatures w14:val="standardContextual"/>
        </w:rPr>
      </w:pPr>
      <w:r w:rsidRPr="00DA058E">
        <w:rPr>
          <w:kern w:val="2"/>
          <w14:ligatures w14:val="standardContextual"/>
        </w:rPr>
        <w:br/>
        <w:t xml:space="preserve">   4) Common Law Pledges; and</w:t>
      </w:r>
    </w:p>
    <w:p w14:paraId="743DF884" w14:textId="77777777" w:rsidR="00FD4AD4" w:rsidRDefault="008E2DF3" w:rsidP="00FD4AD4">
      <w:pPr>
        <w:spacing w:after="160" w:line="259" w:lineRule="auto"/>
        <w:ind w:left="1080"/>
        <w:contextualSpacing/>
        <w:jc w:val="both"/>
        <w:rPr>
          <w:kern w:val="2"/>
          <w14:ligatures w14:val="standardContextual"/>
        </w:rPr>
      </w:pPr>
      <w:r w:rsidRPr="00DA058E">
        <w:rPr>
          <w:kern w:val="2"/>
          <w14:ligatures w14:val="standardContextual"/>
        </w:rPr>
        <w:br/>
        <w:t xml:space="preserve">   5) Collateral Assignment of Contracts.</w:t>
      </w:r>
    </w:p>
    <w:p w14:paraId="2E69C8AF" w14:textId="653C8F21" w:rsidR="00BF3BA3" w:rsidRPr="00280FAB" w:rsidRDefault="008E2DF3" w:rsidP="0066328C">
      <w:pPr>
        <w:spacing w:after="160" w:line="259" w:lineRule="auto"/>
        <w:ind w:left="1080"/>
        <w:contextualSpacing/>
        <w:jc w:val="both"/>
      </w:pPr>
      <w:r w:rsidRPr="00DA058E">
        <w:rPr>
          <w:kern w:val="2"/>
          <w14:ligatures w14:val="standardContextual"/>
        </w:rPr>
        <w:br/>
        <w:t xml:space="preserve">While there may be other state/federal legal structures supporting a Collateral Package, the five described above are the most common especially in high-yield MFTs. While there is no clear preference ranking of legal structures, Statutory Liens may be the easiest to perfect and enforce if no public filing/notice is needed and certain Statutory Liens have a special continuation after the filing of a Chapter 9 bankruptcy. UCC-9 Security Interests have some unique benefits in that they are created under the UCC which has complete and broad listing of the rights/remedies of secured parties. </w:t>
      </w:r>
      <w:r w:rsidRPr="00DA058E">
        <w:rPr>
          <w:kern w:val="2"/>
          <w14:ligatures w14:val="standardContextual"/>
        </w:rPr>
        <w:br/>
      </w:r>
      <w:r w:rsidRPr="00DA058E">
        <w:rPr>
          <w:kern w:val="2"/>
          <w14:ligatures w14:val="standardContextual"/>
        </w:rPr>
        <w:br/>
      </w:r>
      <w:r w:rsidR="008C1245" w:rsidRPr="00280FAB">
        <w:t>MCPs are essential in supporting the credit quality and repayment of</w:t>
      </w:r>
      <w:r w:rsidR="00154CCC">
        <w:t xml:space="preserve"> MFTs</w:t>
      </w:r>
      <w:r w:rsidR="00570A81" w:rsidRPr="00280FAB">
        <w:t>. MCPs are of special importance in assuring that municipal bonds are repaid in the event the issuer</w:t>
      </w:r>
      <w:r w:rsidR="00573454" w:rsidRPr="00280FAB">
        <w:t xml:space="preserve"> or borrower/obligor experiences financial difficulties and cannot themselves pay the municipal bond debt when required</w:t>
      </w:r>
      <w:r w:rsidR="004332A6" w:rsidRPr="00280FAB">
        <w:t>. Buy-side analysts often do not have the luxury</w:t>
      </w:r>
      <w:r w:rsidR="00A05A00" w:rsidRPr="00280FAB">
        <w:t xml:space="preserve"> of having well-trained lawyers to review all the MCPs </w:t>
      </w:r>
      <w:r w:rsidR="00DF5E80" w:rsidRPr="00280FAB">
        <w:t>that come to market each week. The primary purpose of this Whitepaper is to educate buy-side analysts on th</w:t>
      </w:r>
      <w:r w:rsidR="00CC17B2">
        <w:t>e major</w:t>
      </w:r>
      <w:r w:rsidR="005C09B9" w:rsidRPr="00280FAB">
        <w:t xml:space="preserve"> </w:t>
      </w:r>
      <w:r w:rsidR="00DF5E80" w:rsidRPr="00280FAB">
        <w:t xml:space="preserve">legal </w:t>
      </w:r>
      <w:r w:rsidR="00D70902">
        <w:t>structures</w:t>
      </w:r>
      <w:r w:rsidR="00DF5E80" w:rsidRPr="00280FAB">
        <w:t xml:space="preserve"> supporti</w:t>
      </w:r>
      <w:r w:rsidR="005C09B9" w:rsidRPr="00280FAB">
        <w:t>n</w:t>
      </w:r>
      <w:r w:rsidR="00DF5E80" w:rsidRPr="00280FAB">
        <w:t>g</w:t>
      </w:r>
      <w:r w:rsidR="005C09B9" w:rsidRPr="00280FAB">
        <w:t xml:space="preserve"> MCPs</w:t>
      </w:r>
      <w:r w:rsidR="00A05A00" w:rsidRPr="00280FAB">
        <w:t xml:space="preserve"> </w:t>
      </w:r>
      <w:r w:rsidR="005C09B9" w:rsidRPr="00280FAB">
        <w:t xml:space="preserve">in </w:t>
      </w:r>
      <w:r w:rsidR="00A05A00" w:rsidRPr="00280FAB">
        <w:t>municipal finance transactions</w:t>
      </w:r>
      <w:r w:rsidR="005C09B9" w:rsidRPr="00280FAB">
        <w:t xml:space="preserve">, and </w:t>
      </w:r>
      <w:r w:rsidR="00A247AB" w:rsidRPr="00280FAB">
        <w:t>recommend best practices in disclosing the</w:t>
      </w:r>
      <w:r w:rsidR="00EF5D34" w:rsidRPr="00280FAB">
        <w:t xml:space="preserve"> </w:t>
      </w:r>
      <w:r w:rsidR="0059409E" w:rsidRPr="00280FAB">
        <w:t>type</w:t>
      </w:r>
      <w:r w:rsidR="00D95877" w:rsidRPr="00280FAB">
        <w:t>s</w:t>
      </w:r>
      <w:r w:rsidR="00EF5D34" w:rsidRPr="00280FAB">
        <w:t>, nature</w:t>
      </w:r>
      <w:r w:rsidR="0059409E" w:rsidRPr="00280FAB">
        <w:t xml:space="preserve"> and risks of</w:t>
      </w:r>
      <w:r w:rsidR="00D95877" w:rsidRPr="00280FAB">
        <w:t xml:space="preserve"> each </w:t>
      </w:r>
      <w:r w:rsidR="006364A6" w:rsidRPr="00280FAB">
        <w:t xml:space="preserve">MCP. </w:t>
      </w:r>
      <w:r w:rsidR="00B62A42" w:rsidRPr="00280FAB">
        <w:t xml:space="preserve">This Whitepaper will greatly assist buy-side analysts in understanding and framing the appropriate questions regarding the MCP for purchaser’s counsel, underwriters and underwriters counsel, and other </w:t>
      </w:r>
      <w:r w:rsidR="00C43EF7" w:rsidRPr="00280FAB">
        <w:t xml:space="preserve">professionals on the sell-side. Given the number of </w:t>
      </w:r>
      <w:r w:rsidR="00666A8D">
        <w:t>MFTs</w:t>
      </w:r>
      <w:r w:rsidR="00D00217" w:rsidRPr="00280FAB">
        <w:t xml:space="preserve"> that are </w:t>
      </w:r>
      <w:r w:rsidR="00233A79" w:rsidRPr="00280FAB">
        <w:t>brought to market each week, buyside analysts need to be well educated</w:t>
      </w:r>
      <w:r w:rsidR="008D2A62" w:rsidRPr="00280FAB">
        <w:t xml:space="preserve"> and prepared </w:t>
      </w:r>
      <w:r w:rsidR="008D2A62" w:rsidRPr="00280FAB">
        <w:lastRenderedPageBreak/>
        <w:t xml:space="preserve">to evaluate MCPs as one part of their job to evaluate the credit and liquidity risks presented by these </w:t>
      </w:r>
      <w:r w:rsidR="00EA7C25" w:rsidRPr="00280FAB">
        <w:t>various transactions to their portfolio managers, traders and compliance teams.</w:t>
      </w:r>
    </w:p>
    <w:p w14:paraId="792BE7C4" w14:textId="3A17F162" w:rsidR="007F5B31" w:rsidRPr="0099253F" w:rsidRDefault="007F5B31" w:rsidP="00BF3BA3">
      <w:pPr>
        <w:jc w:val="both"/>
      </w:pPr>
    </w:p>
    <w:p w14:paraId="0346DFAF" w14:textId="0B6953F6" w:rsidR="00763903" w:rsidRPr="0099253F" w:rsidRDefault="008C328C" w:rsidP="00530F5A">
      <w:pPr>
        <w:jc w:val="both"/>
      </w:pPr>
      <w:r>
        <w:t xml:space="preserve">                    </w:t>
      </w:r>
      <w:r w:rsidR="00F006C7" w:rsidRPr="0099253F">
        <w:t xml:space="preserve">The </w:t>
      </w:r>
      <w:r w:rsidR="003F055B">
        <w:t>five principal l</w:t>
      </w:r>
      <w:r w:rsidR="00F006C7" w:rsidRPr="0099253F">
        <w:t xml:space="preserve">egal </w:t>
      </w:r>
      <w:r w:rsidR="00330B91">
        <w:t>structures</w:t>
      </w:r>
      <w:r w:rsidR="00F006C7" w:rsidRPr="0099253F">
        <w:t xml:space="preserve"> </w:t>
      </w:r>
      <w:r w:rsidR="003F055B">
        <w:t>s</w:t>
      </w:r>
      <w:r w:rsidR="00F006C7" w:rsidRPr="0099253F">
        <w:t>upporting MCP</w:t>
      </w:r>
      <w:r w:rsidR="00330B91">
        <w:t>s are as follows</w:t>
      </w:r>
      <w:r w:rsidR="00763903" w:rsidRPr="0099253F">
        <w:t>:</w:t>
      </w:r>
    </w:p>
    <w:p w14:paraId="43AC3AA3" w14:textId="5F4BCF89" w:rsidR="000F6A04" w:rsidRDefault="00F006C7" w:rsidP="00B42A4B">
      <w:pPr>
        <w:jc w:val="both"/>
        <w:rPr>
          <w:b/>
          <w:bCs/>
          <w:color w:val="FF0000"/>
        </w:rPr>
      </w:pPr>
      <w:r>
        <w:rPr>
          <w:b/>
        </w:rPr>
        <w:br/>
      </w:r>
      <w:r w:rsidR="00330B91">
        <w:rPr>
          <w:b/>
          <w:bCs/>
        </w:rPr>
        <w:t xml:space="preserve">       </w:t>
      </w:r>
      <w:r w:rsidR="00666A8D">
        <w:rPr>
          <w:b/>
          <w:bCs/>
        </w:rPr>
        <w:t>B.</w:t>
      </w:r>
      <w:r w:rsidR="00745686">
        <w:rPr>
          <w:b/>
          <w:bCs/>
        </w:rPr>
        <w:t xml:space="preserve"> </w:t>
      </w:r>
      <w:r w:rsidR="00766F27" w:rsidRPr="00EC74EE">
        <w:rPr>
          <w:b/>
          <w:bCs/>
        </w:rPr>
        <w:t>Statutory Lien</w:t>
      </w:r>
      <w:r w:rsidR="009779EE" w:rsidRPr="00EC74EE">
        <w:rPr>
          <w:b/>
          <w:bCs/>
        </w:rPr>
        <w:t xml:space="preserve">s (Federal, State &amp; </w:t>
      </w:r>
      <w:proofErr w:type="gramStart"/>
      <w:r w:rsidR="009779EE" w:rsidRPr="00EC74EE">
        <w:rPr>
          <w:b/>
          <w:bCs/>
        </w:rPr>
        <w:t>Local)</w:t>
      </w:r>
      <w:r w:rsidR="00D40D07">
        <w:rPr>
          <w:b/>
          <w:bCs/>
        </w:rPr>
        <w:t xml:space="preserve">  </w:t>
      </w:r>
      <w:r w:rsidR="00D40D07" w:rsidRPr="000A38DA">
        <w:rPr>
          <w:b/>
          <w:bCs/>
          <w:color w:val="FF0000"/>
        </w:rPr>
        <w:t>KIM</w:t>
      </w:r>
      <w:proofErr w:type="gramEnd"/>
    </w:p>
    <w:p w14:paraId="10E69FD0" w14:textId="36301B23" w:rsidR="004750E9" w:rsidRDefault="000F6A04" w:rsidP="00555A1D">
      <w:pPr>
        <w:jc w:val="both"/>
      </w:pPr>
      <w:r>
        <w:rPr>
          <w:b/>
          <w:bCs/>
          <w:color w:val="FF0000"/>
        </w:rPr>
        <w:br/>
      </w:r>
      <w:r w:rsidR="00405C00">
        <w:rPr>
          <w:color w:val="000000"/>
          <w:szCs w:val="27"/>
        </w:rPr>
        <w:t xml:space="preserve">        </w:t>
      </w:r>
      <w:r w:rsidR="00CA63C0">
        <w:rPr>
          <w:color w:val="000000"/>
          <w:szCs w:val="27"/>
        </w:rPr>
        <w:t xml:space="preserve">        </w:t>
      </w:r>
      <w:r w:rsidR="004750E9">
        <w:rPr>
          <w:color w:val="000000"/>
          <w:szCs w:val="27"/>
        </w:rPr>
        <w:t xml:space="preserve"> </w:t>
      </w:r>
      <w:r w:rsidR="00405C00">
        <w:rPr>
          <w:color w:val="000000"/>
          <w:szCs w:val="27"/>
        </w:rPr>
        <w:t xml:space="preserve">   </w:t>
      </w:r>
      <w:r>
        <w:t xml:space="preserve">A statutory lien is a lien that attaches by operation of law rather than by consent of or </w:t>
      </w:r>
      <w:r w:rsidR="00F521D0">
        <w:br/>
        <w:t xml:space="preserve">         </w:t>
      </w:r>
      <w:r w:rsidR="004750E9">
        <w:t xml:space="preserve">         </w:t>
      </w:r>
      <w:r w:rsidR="00F521D0">
        <w:t xml:space="preserve">  </w:t>
      </w:r>
      <w:r>
        <w:t xml:space="preserve">security agreement with the debtor.  These liens are codified in state statute and do </w:t>
      </w:r>
      <w:r w:rsidR="004750E9">
        <w:br/>
        <w:t xml:space="preserve">                    </w:t>
      </w:r>
      <w:r>
        <w:t xml:space="preserve">not depend on common law or specific contractual arrangements for their existence.  </w:t>
      </w:r>
      <w:r w:rsidR="004750E9">
        <w:br/>
        <w:t xml:space="preserve">                    </w:t>
      </w:r>
      <w:r>
        <w:t>Many</w:t>
      </w:r>
      <w:r w:rsidR="004750E9">
        <w:t xml:space="preserve"> </w:t>
      </w:r>
      <w:r>
        <w:t xml:space="preserve">states have passed statutory provisions intending to provide for liens on </w:t>
      </w:r>
    </w:p>
    <w:p w14:paraId="009F5F97" w14:textId="510531C8" w:rsidR="00E91A52" w:rsidRDefault="004750E9" w:rsidP="00555A1D">
      <w:pPr>
        <w:jc w:val="both"/>
      </w:pPr>
      <w:r>
        <w:t xml:space="preserve">                    </w:t>
      </w:r>
      <w:r w:rsidR="000F6A04">
        <w:t>municipal ad</w:t>
      </w:r>
      <w:r w:rsidR="00E91A52">
        <w:t xml:space="preserve"> </w:t>
      </w:r>
      <w:r w:rsidR="000F6A04">
        <w:t xml:space="preserve">valorem taxes.  A key difference between a statutory lien and a </w:t>
      </w:r>
    </w:p>
    <w:p w14:paraId="3E8CA193" w14:textId="09517D7C" w:rsidR="00E91A52" w:rsidRDefault="00E91A52" w:rsidP="00555A1D">
      <w:pPr>
        <w:jc w:val="both"/>
      </w:pPr>
      <w:r>
        <w:t xml:space="preserve">                    </w:t>
      </w:r>
      <w:r w:rsidR="000F6A04">
        <w:t>contractual or UCC lien is</w:t>
      </w:r>
      <w:r>
        <w:t xml:space="preserve"> </w:t>
      </w:r>
      <w:r w:rsidR="000F6A04">
        <w:t xml:space="preserve">that a statutory lien could attach to revenues received by </w:t>
      </w:r>
      <w:r>
        <w:br/>
        <w:t xml:space="preserve">                    </w:t>
      </w:r>
      <w:r w:rsidR="000F6A04">
        <w:t>the municipality after it files for</w:t>
      </w:r>
      <w:r>
        <w:t xml:space="preserve"> </w:t>
      </w:r>
      <w:r w:rsidR="000F6A04">
        <w:t xml:space="preserve">bankruptcy, while a contractual lien does not. Under </w:t>
      </w:r>
    </w:p>
    <w:p w14:paraId="1A683247" w14:textId="3E6BCF47" w:rsidR="000F6A04" w:rsidRDefault="00E91A52" w:rsidP="00555A1D">
      <w:pPr>
        <w:jc w:val="both"/>
      </w:pPr>
      <w:r>
        <w:t xml:space="preserve">                    </w:t>
      </w:r>
      <w:r w:rsidR="000F6A04">
        <w:t>Section 552(a) of the Bankruptcy</w:t>
      </w:r>
      <w:r>
        <w:t xml:space="preserve"> </w:t>
      </w:r>
      <w:r w:rsidR="000F6A04">
        <w:t xml:space="preserve">Code, a perfected consensual security interest in </w:t>
      </w:r>
      <w:r>
        <w:br/>
        <w:t xml:space="preserve">                    </w:t>
      </w:r>
      <w:r w:rsidR="000F6A04">
        <w:t>property can terminate upon the filing of</w:t>
      </w:r>
      <w:r w:rsidR="00472DB0">
        <w:t xml:space="preserve"> </w:t>
      </w:r>
      <w:r w:rsidR="000F6A04">
        <w:t xml:space="preserve">a Chapter 9 (except in certain circumstances </w:t>
      </w:r>
      <w:r w:rsidR="00472DB0">
        <w:br/>
        <w:t xml:space="preserve">                    </w:t>
      </w:r>
      <w:r w:rsidR="000F6A04">
        <w:t>such as a consensual lien on special revenues).</w:t>
      </w:r>
      <w:r w:rsidR="00472DB0">
        <w:t xml:space="preserve"> </w:t>
      </w:r>
      <w:r w:rsidR="000F6A04">
        <w:t xml:space="preserve">However, Chapter 9 of the Bankruptcy </w:t>
      </w:r>
      <w:r w:rsidR="00472DB0">
        <w:br/>
        <w:t xml:space="preserve">                    </w:t>
      </w:r>
      <w:r w:rsidR="000F6A04">
        <w:t>Code limits the jurisdiction and powers of the</w:t>
      </w:r>
      <w:r w:rsidR="00472DB0">
        <w:t xml:space="preserve"> </w:t>
      </w:r>
      <w:r w:rsidR="000F6A04">
        <w:t xml:space="preserve">bankruptcy court – the bankruptcy court </w:t>
      </w:r>
      <w:r w:rsidR="00472DB0">
        <w:br/>
        <w:t xml:space="preserve">                    </w:t>
      </w:r>
      <w:r w:rsidR="000F6A04">
        <w:t>cannot, without consent of the municipality,</w:t>
      </w:r>
      <w:r w:rsidR="0019301F">
        <w:t xml:space="preserve"> </w:t>
      </w:r>
      <w:r w:rsidR="000F6A04">
        <w:t xml:space="preserve">“interfere with the governmental or </w:t>
      </w:r>
      <w:r w:rsidR="00362B5F">
        <w:br/>
        <w:t xml:space="preserve">                    </w:t>
      </w:r>
      <w:r w:rsidR="000F6A04">
        <w:t>political powers or the revenues, property, use or</w:t>
      </w:r>
      <w:r w:rsidR="00362B5F">
        <w:t xml:space="preserve"> </w:t>
      </w:r>
      <w:r w:rsidR="000F6A04">
        <w:t>enjoyment of the property of the</w:t>
      </w:r>
      <w:r w:rsidR="00362B5F">
        <w:br/>
        <w:t xml:space="preserve">                   </w:t>
      </w:r>
      <w:r w:rsidR="000F6A04">
        <w:t xml:space="preserve"> municipality.”  As such, the “bankruptcy court cannot</w:t>
      </w:r>
      <w:r w:rsidR="0019301F">
        <w:t xml:space="preserve"> </w:t>
      </w:r>
      <w:r w:rsidR="000F6A04">
        <w:t xml:space="preserve">impair, limit or adversely affect </w:t>
      </w:r>
      <w:r w:rsidR="00362B5F">
        <w:br/>
        <w:t xml:space="preserve">                    </w:t>
      </w:r>
      <w:r w:rsidR="000F6A04">
        <w:t>such statutory liens. [Section D page 133] [PROBABLY</w:t>
      </w:r>
      <w:r w:rsidR="0019301F">
        <w:t xml:space="preserve"> </w:t>
      </w:r>
      <w:r w:rsidR="000F6A04">
        <w:t xml:space="preserve">NEED A BANKRUPTCY </w:t>
      </w:r>
      <w:r w:rsidR="00362B5F">
        <w:br/>
        <w:t xml:space="preserve">                    </w:t>
      </w:r>
      <w:r w:rsidR="000F6A04">
        <w:t>LAWYER TO WEIGH IN HERE RELATED TO PUERTO</w:t>
      </w:r>
      <w:r w:rsidR="00362B5F">
        <w:t xml:space="preserve"> </w:t>
      </w:r>
      <w:r w:rsidR="000F6A04">
        <w:t xml:space="preserve">RICO AND </w:t>
      </w:r>
      <w:r w:rsidR="00362B5F">
        <w:br/>
        <w:t xml:space="preserve">                    </w:t>
      </w:r>
      <w:r w:rsidR="000F6A04">
        <w:t xml:space="preserve">DECISIONS AROUND STATUTORY LIENS AND SPECIAL REVENUES </w:t>
      </w:r>
      <w:r w:rsidR="0019301F">
        <w:br/>
        <w:t xml:space="preserve">           </w:t>
      </w:r>
      <w:r w:rsidR="00362B5F">
        <w:t xml:space="preserve">         </w:t>
      </w:r>
      <w:r w:rsidR="000F6A04">
        <w:t>THERE].</w:t>
      </w:r>
      <w:r w:rsidR="00961776">
        <w:br/>
      </w:r>
    </w:p>
    <w:p w14:paraId="4C5500FC" w14:textId="017E75EC" w:rsidR="00E60413" w:rsidRDefault="00362B5F" w:rsidP="00E60413">
      <w:pPr>
        <w:pStyle w:val="00BodyText5"/>
        <w:jc w:val="both"/>
      </w:pPr>
      <w:r>
        <w:t xml:space="preserve">         </w:t>
      </w:r>
      <w:r w:rsidR="000F6A04">
        <w:t xml:space="preserve">For more information on what constitutes a statutory lien and when a statutory lien </w:t>
      </w:r>
      <w:r>
        <w:br/>
        <w:t xml:space="preserve">                     </w:t>
      </w:r>
      <w:r w:rsidR="000F6A04">
        <w:t>arises,</w:t>
      </w:r>
      <w:r w:rsidR="0019301F">
        <w:t xml:space="preserve"> </w:t>
      </w:r>
      <w:r w:rsidR="000F6A04">
        <w:t xml:space="preserve">see NFMA’s “White Paper on General Obligation Bond Payments: Statutory </w:t>
      </w:r>
      <w:r>
        <w:br/>
        <w:t xml:space="preserve">                     </w:t>
      </w:r>
      <w:r w:rsidR="000F6A04">
        <w:t>Liens an</w:t>
      </w:r>
      <w:r w:rsidR="00E60413">
        <w:t xml:space="preserve">d </w:t>
      </w:r>
      <w:r w:rsidR="000F6A04">
        <w:t>Relat</w:t>
      </w:r>
      <w:r w:rsidR="0019301F">
        <w:t>ed</w:t>
      </w:r>
    </w:p>
    <w:p w14:paraId="2A5D9666" w14:textId="55EDB715" w:rsidR="000F6A04" w:rsidRDefault="00E60413" w:rsidP="005E2BFB">
      <w:pPr>
        <w:pStyle w:val="00BodyText5"/>
        <w:jc w:val="both"/>
      </w:pPr>
      <w:r>
        <w:t>Dis</w:t>
      </w:r>
      <w:r w:rsidR="000F6A04">
        <w:t>closures”(</w:t>
      </w:r>
      <w:hyperlink r:id="rId9" w:history="1">
        <w:r w:rsidRPr="00E60413">
          <w:rPr>
            <w:rStyle w:val="Hyperlink"/>
          </w:rPr>
          <w:t>https://www.nfma.org/assets/documents/position.stmt/wp_statliens_final_d</w:t>
        </w:r>
        <w:r w:rsidRPr="00E60413">
          <w:rPr>
            <w:rStyle w:val="Hyperlink"/>
          </w:rPr>
          <w:br/>
          <w:t xml:space="preserve">                     ec2017. pdf</w:t>
        </w:r>
      </w:hyperlink>
      <w:r w:rsidR="000F6A04">
        <w:t xml:space="preserve">).  The language in the statute or law creating the statutory lien must </w:t>
      </w:r>
      <w:r>
        <w:br/>
        <w:t xml:space="preserve">                      </w:t>
      </w:r>
      <w:r w:rsidR="000F6A04">
        <w:t>clearly create a</w:t>
      </w:r>
      <w:r>
        <w:t xml:space="preserve"> </w:t>
      </w:r>
      <w:r w:rsidR="000F6A04">
        <w:t xml:space="preserve">lien on specific revenues.  Disclosure related to bonds or municipal </w:t>
      </w:r>
      <w:r>
        <w:br/>
        <w:t xml:space="preserve">                      </w:t>
      </w:r>
      <w:r w:rsidR="000F6A04">
        <w:t>obligations secured by</w:t>
      </w:r>
      <w:r>
        <w:t xml:space="preserve"> </w:t>
      </w:r>
      <w:r w:rsidR="000F6A04">
        <w:t xml:space="preserve">a statutory lien should clearly state what the statutory </w:t>
      </w:r>
      <w:r>
        <w:br/>
        <w:t xml:space="preserve">                      </w:t>
      </w:r>
      <w:r w:rsidR="000F6A04">
        <w:t>requirements are for the lien to be</w:t>
      </w:r>
      <w:r w:rsidR="005E2BFB">
        <w:t xml:space="preserve"> </w:t>
      </w:r>
      <w:r w:rsidR="000F6A04">
        <w:t xml:space="preserve">effective or applicable in a section related to </w:t>
      </w:r>
      <w:r w:rsidR="005E2BFB">
        <w:br/>
        <w:t xml:space="preserve">                      </w:t>
      </w:r>
      <w:r w:rsidR="000F6A04">
        <w:t>security for the bonds or municipal</w:t>
      </w:r>
      <w:r w:rsidR="00AE32B4">
        <w:t xml:space="preserve"> </w:t>
      </w:r>
      <w:r w:rsidR="000F6A04">
        <w:t xml:space="preserve">obligations.  Risk factors should include </w:t>
      </w:r>
      <w:r w:rsidR="005E2BFB">
        <w:br/>
        <w:t xml:space="preserve">                      </w:t>
      </w:r>
      <w:r w:rsidR="000F6A04">
        <w:t>discussion of any circumstances where the lien</w:t>
      </w:r>
      <w:r w:rsidR="005E2BFB">
        <w:t xml:space="preserve"> </w:t>
      </w:r>
      <w:r w:rsidR="000F6A04">
        <w:t xml:space="preserve">may not be effective, if applicable, </w:t>
      </w:r>
      <w:r w:rsidR="005E2BFB">
        <w:br/>
        <w:t xml:space="preserve">                      </w:t>
      </w:r>
      <w:r w:rsidR="000F6A04">
        <w:t xml:space="preserve">and disclosure of how the lien would or may be treated </w:t>
      </w:r>
      <w:r w:rsidR="00AE32B4">
        <w:br/>
        <w:t xml:space="preserve">          </w:t>
      </w:r>
      <w:r w:rsidR="005E2BFB">
        <w:t xml:space="preserve">           </w:t>
      </w:r>
      <w:r w:rsidR="00AE32B4">
        <w:t xml:space="preserve"> </w:t>
      </w:r>
      <w:r w:rsidR="000F6A04">
        <w:t xml:space="preserve">in bankruptcy, including any inability of creditors to continue receiving revenues if </w:t>
      </w:r>
      <w:r w:rsidR="005E2BFB">
        <w:t xml:space="preserve">      </w:t>
      </w:r>
      <w:r w:rsidR="005E2BFB">
        <w:br/>
        <w:t xml:space="preserve">                      </w:t>
      </w:r>
      <w:r w:rsidR="000F6A04">
        <w:t>the</w:t>
      </w:r>
      <w:r w:rsidR="005E2BFB">
        <w:t xml:space="preserve"> </w:t>
      </w:r>
      <w:r w:rsidR="000F6A04">
        <w:t xml:space="preserve">municipal entity commences a Chapter 9 bankruptcy.  </w:t>
      </w:r>
    </w:p>
    <w:p w14:paraId="41CD01A1" w14:textId="119834FC" w:rsidR="00F76337" w:rsidRPr="00B42A4B" w:rsidRDefault="008501E4" w:rsidP="00555A1D">
      <w:pPr>
        <w:pStyle w:val="NormalWeb"/>
        <w:rPr>
          <w:b/>
          <w:bCs/>
          <w:smallCaps/>
        </w:rPr>
      </w:pPr>
      <w:r>
        <w:rPr>
          <w:color w:val="000000"/>
          <w:szCs w:val="27"/>
        </w:rPr>
        <w:t xml:space="preserve">                </w:t>
      </w:r>
      <w:r w:rsidR="00666A8D">
        <w:rPr>
          <w:color w:val="000000"/>
          <w:szCs w:val="27"/>
        </w:rPr>
        <w:t>C.</w:t>
      </w:r>
      <w:r>
        <w:rPr>
          <w:color w:val="000000"/>
          <w:szCs w:val="27"/>
        </w:rPr>
        <w:t xml:space="preserve">     </w:t>
      </w:r>
      <w:r w:rsidR="001B2C80" w:rsidRPr="00B42A4B">
        <w:rPr>
          <w:b/>
          <w:bCs/>
        </w:rPr>
        <w:t>UCC Security Interests (State Law)</w:t>
      </w:r>
      <w:r w:rsidR="00D40D07" w:rsidRPr="00B42A4B">
        <w:rPr>
          <w:b/>
          <w:bCs/>
        </w:rPr>
        <w:t xml:space="preserve"> </w:t>
      </w:r>
      <w:r w:rsidR="00D40D07" w:rsidRPr="00B42A4B">
        <w:rPr>
          <w:b/>
          <w:bCs/>
          <w:color w:val="FF0000"/>
        </w:rPr>
        <w:t>LES</w:t>
      </w:r>
      <w:r w:rsidR="00902884" w:rsidRPr="00B42A4B">
        <w:rPr>
          <w:b/>
          <w:bCs/>
          <w:smallCaps/>
        </w:rPr>
        <w:t xml:space="preserve"> </w:t>
      </w:r>
    </w:p>
    <w:p w14:paraId="1685E06B" w14:textId="6806C950" w:rsidR="00F76337" w:rsidRPr="00390837" w:rsidRDefault="00745686" w:rsidP="00F76337">
      <w:pPr>
        <w:keepNext/>
        <w:spacing w:before="240"/>
        <w:rPr>
          <w:b/>
          <w:bCs/>
        </w:rPr>
      </w:pPr>
      <w:r>
        <w:rPr>
          <w:b/>
          <w:bCs/>
        </w:rPr>
        <w:t xml:space="preserve">                   </w:t>
      </w:r>
      <w:r w:rsidR="00F76337" w:rsidRPr="00390837">
        <w:rPr>
          <w:b/>
          <w:bCs/>
        </w:rPr>
        <w:t>General</w:t>
      </w:r>
    </w:p>
    <w:p w14:paraId="28FF239E" w14:textId="648F62CF" w:rsidR="00F76337" w:rsidRDefault="0041654B" w:rsidP="00F76337">
      <w:pPr>
        <w:spacing w:before="240"/>
      </w:pPr>
      <w:r>
        <w:t xml:space="preserve">                    </w:t>
      </w:r>
      <w:r w:rsidR="00F76337">
        <w:t xml:space="preserve">A secured party has an actual property interest in pledged collateral; an unsecured </w:t>
      </w:r>
      <w:r>
        <w:t xml:space="preserve">                   </w:t>
      </w:r>
      <w:r>
        <w:br/>
        <w:t xml:space="preserve">                    </w:t>
      </w:r>
      <w:r w:rsidR="00F76337">
        <w:t xml:space="preserve">party has no property rights.  Consequently, upon default (whether or not also in </w:t>
      </w:r>
      <w:r>
        <w:br/>
      </w:r>
      <w:r>
        <w:lastRenderedPageBreak/>
        <w:t xml:space="preserve">                    </w:t>
      </w:r>
      <w:r w:rsidR="00F76337">
        <w:t xml:space="preserve">bankruptcy), when the collateral is liquidated, a ‘secured party’ has a dollar for </w:t>
      </w:r>
      <w:r>
        <w:br/>
        <w:t xml:space="preserve">                    </w:t>
      </w:r>
      <w:r w:rsidR="00F76337">
        <w:t xml:space="preserve">dollar claim on the liquidation proceeds (up to the lower of the secured debt or the </w:t>
      </w:r>
      <w:r>
        <w:br/>
        <w:t xml:space="preserve">                    </w:t>
      </w:r>
      <w:r w:rsidR="00F76337">
        <w:t xml:space="preserve">amount of the liquidation proceeds). By contrast, an unsecured creditor only </w:t>
      </w:r>
      <w:r w:rsidR="000C0737">
        <w:br/>
        <w:t xml:space="preserve">                    </w:t>
      </w:r>
      <w:r w:rsidR="00F76337">
        <w:t xml:space="preserve">receives its proportionate share of the funds available for all unsecured creditors – </w:t>
      </w:r>
      <w:r w:rsidR="000C0737">
        <w:br/>
        <w:t xml:space="preserve">                    </w:t>
      </w:r>
      <w:r w:rsidR="00F76337">
        <w:t xml:space="preserve">which doesn’t include liquidation proceeds paid to secured parties – and therefore </w:t>
      </w:r>
      <w:r w:rsidR="000C0737">
        <w:br/>
        <w:t xml:space="preserve">                    </w:t>
      </w:r>
      <w:r w:rsidR="00F76337">
        <w:t xml:space="preserve">the unsecured creditors often get just pennies on the dollar.  While there can be </w:t>
      </w:r>
      <w:r w:rsidR="000C0737">
        <w:br/>
        <w:t xml:space="preserve">                    </w:t>
      </w:r>
      <w:r w:rsidR="00F76337">
        <w:t xml:space="preserve">competing interests in collateral by multiple ‘secured’ parties, it’s almost always </w:t>
      </w:r>
      <w:r w:rsidR="000C0737">
        <w:br/>
        <w:t xml:space="preserve">                    </w:t>
      </w:r>
      <w:r w:rsidR="00F76337">
        <w:t>better to be a ‘secured party’ than an unsecured creditor.</w:t>
      </w:r>
    </w:p>
    <w:p w14:paraId="5F062775" w14:textId="6C215AA8" w:rsidR="00F76337" w:rsidRDefault="000C0737" w:rsidP="00F76337">
      <w:pPr>
        <w:spacing w:before="240"/>
      </w:pPr>
      <w:r>
        <w:t xml:space="preserve">                    </w:t>
      </w:r>
      <w:r w:rsidR="00F76337">
        <w:t xml:space="preserve">One rationale for the Uniform Commercial Code (UCC), enacted in the 1950s, was </w:t>
      </w:r>
      <w:r>
        <w:br/>
        <w:t xml:space="preserve">                    </w:t>
      </w:r>
      <w:r w:rsidR="00F76337">
        <w:t xml:space="preserve">to provide public notice to a debtor’s actual and prospective creditors that ‘secured </w:t>
      </w:r>
      <w:r>
        <w:br/>
        <w:t xml:space="preserve">                    </w:t>
      </w:r>
      <w:r w:rsidR="00F76337">
        <w:t xml:space="preserve">parties’ have a security interest in the debtor’s collateral.  Thereafter, upon an event </w:t>
      </w:r>
      <w:r>
        <w:br/>
        <w:t xml:space="preserve">                    </w:t>
      </w:r>
      <w:r w:rsidR="00F76337">
        <w:t xml:space="preserve">of default, the collateral can be disposed of so that sale proceeds can be used to </w:t>
      </w:r>
      <w:r>
        <w:br/>
        <w:t xml:space="preserve">                    </w:t>
      </w:r>
      <w:r w:rsidR="00F76337">
        <w:t>satisfy</w:t>
      </w:r>
      <w:r w:rsidR="00F76337" w:rsidRPr="00300AA8">
        <w:t xml:space="preserve"> </w:t>
      </w:r>
      <w:r w:rsidR="00F76337">
        <w:t xml:space="preserve">the secured debt.  If the collateral can be sold for an amount equal or greater </w:t>
      </w:r>
      <w:r>
        <w:br/>
        <w:t xml:space="preserve">                    </w:t>
      </w:r>
      <w:r w:rsidR="00F76337">
        <w:t>than the debt, the ‘secured party’ can be paid in full even if the debtor is insolvent.</w:t>
      </w:r>
    </w:p>
    <w:p w14:paraId="6498A55A" w14:textId="55091636" w:rsidR="00A64F76" w:rsidRDefault="00A64F76" w:rsidP="00F76337">
      <w:pPr>
        <w:spacing w:before="240"/>
      </w:pPr>
      <w:r>
        <w:t xml:space="preserve">                    INSERT DISCUSSION ON </w:t>
      </w:r>
      <w:r w:rsidR="0059638F">
        <w:t xml:space="preserve">APPLICABILITY OF UCC 9&amp; STATE LAW </w:t>
      </w:r>
      <w:r w:rsidR="0059638F">
        <w:br/>
        <w:t xml:space="preserve">                    VARIATION CONCERNS/RISKS. ALSO DISCUSS THE IDEA OF HAVING </w:t>
      </w:r>
      <w:r w:rsidR="00715690">
        <w:br/>
        <w:t xml:space="preserve">                    </w:t>
      </w:r>
      <w:r w:rsidR="0059638F">
        <w:t xml:space="preserve">THE INDENTURE AND LOAN/SECURITY SGREEMENT </w:t>
      </w:r>
      <w:r w:rsidR="001A7F69">
        <w:t xml:space="preserve">STATE THAT UCC </w:t>
      </w:r>
      <w:r w:rsidR="00715690">
        <w:br/>
        <w:t xml:space="preserve">                    </w:t>
      </w:r>
      <w:r w:rsidR="001A7F69">
        <w:t xml:space="preserve">9 APPLIES TO THE MCP TO THE EXREWNT NOT INCONSISTENT WITH </w:t>
      </w:r>
      <w:r w:rsidR="00715690">
        <w:br/>
        <w:t xml:space="preserve">                    </w:t>
      </w:r>
      <w:r w:rsidR="001A7F69">
        <w:t>ANY OTHER STATE LAW (ESSENTIALLY A CHOICE OF LAW ELECTION!)</w:t>
      </w:r>
    </w:p>
    <w:p w14:paraId="1174ADC0" w14:textId="7ED0EB46" w:rsidR="00715690" w:rsidRDefault="00715690" w:rsidP="00F76337">
      <w:pPr>
        <w:spacing w:before="240"/>
      </w:pPr>
      <w:r>
        <w:t xml:space="preserve">                    INSERT DISCUSSION ON HOW GOVT REVENUES/TAXES WOULD BE </w:t>
      </w:r>
      <w:r w:rsidR="002022F4">
        <w:br/>
        <w:t xml:space="preserve">                    </w:t>
      </w:r>
      <w:r>
        <w:t xml:space="preserve">TREATED UNDER UCC-9? </w:t>
      </w:r>
      <w:r w:rsidR="002022F4">
        <w:t xml:space="preserve">THEY MIGHT BE ACCOUNTS BUT COYLD </w:t>
      </w:r>
      <w:r w:rsidR="002022F4">
        <w:br/>
        <w:t xml:space="preserve">                    ALSO BE GENERAL INTANGIBLES, ETC.</w:t>
      </w:r>
    </w:p>
    <w:p w14:paraId="46BE99BD" w14:textId="0BCB59C0" w:rsidR="00C02AEC" w:rsidRDefault="00C02AEC" w:rsidP="00F76337">
      <w:pPr>
        <w:spacing w:before="240"/>
      </w:pPr>
      <w:r>
        <w:t xml:space="preserve">                    INSERT DISC</w:t>
      </w:r>
      <w:r w:rsidR="00236535">
        <w:t xml:space="preserve">USSION ON </w:t>
      </w:r>
      <w:r w:rsidR="0047578E">
        <w:t xml:space="preserve">DURATION </w:t>
      </w:r>
      <w:r w:rsidR="00CB24D2">
        <w:t xml:space="preserve">OF UCC FILINGS FOR </w:t>
      </w:r>
      <w:r w:rsidR="00236535">
        <w:t xml:space="preserve">PUBLIC </w:t>
      </w:r>
      <w:r w:rsidR="00F519D2">
        <w:br/>
        <w:t xml:space="preserve">                    </w:t>
      </w:r>
      <w:r w:rsidR="00236535">
        <w:t xml:space="preserve">FINANCE TRANSACTIONS </w:t>
      </w:r>
      <w:r w:rsidR="009D7737">
        <w:t xml:space="preserve">&amp; </w:t>
      </w:r>
      <w:r w:rsidR="00630113">
        <w:t xml:space="preserve">TRANSMITTING </w:t>
      </w:r>
      <w:r w:rsidR="009D7737">
        <w:t>UTILITY</w:t>
      </w:r>
      <w:r w:rsidR="00630113">
        <w:t xml:space="preserve"> </w:t>
      </w:r>
      <w:r w:rsidR="00CB24D2">
        <w:t xml:space="preserve">TRANSACTIONS </w:t>
      </w:r>
      <w:r w:rsidR="00F519D2">
        <w:br/>
        <w:t xml:space="preserve">                    </w:t>
      </w:r>
      <w:r w:rsidR="00CB24D2">
        <w:t>UNDER 9-</w:t>
      </w:r>
      <w:r w:rsidR="00F519D2">
        <w:t>515.</w:t>
      </w:r>
    </w:p>
    <w:p w14:paraId="0A24A327" w14:textId="1206A91F" w:rsidR="00F76337" w:rsidRPr="00390837" w:rsidRDefault="00677DEA" w:rsidP="00F76337">
      <w:pPr>
        <w:spacing w:before="240"/>
        <w:rPr>
          <w:b/>
          <w:bCs/>
        </w:rPr>
      </w:pPr>
      <w:r>
        <w:rPr>
          <w:b/>
          <w:bCs/>
        </w:rPr>
        <w:t xml:space="preserve">                    </w:t>
      </w:r>
      <w:r w:rsidR="00F76337" w:rsidRPr="00390837">
        <w:rPr>
          <w:b/>
          <w:bCs/>
        </w:rPr>
        <w:t>Documentation</w:t>
      </w:r>
      <w:r w:rsidR="002022F4">
        <w:rPr>
          <w:b/>
          <w:bCs/>
        </w:rPr>
        <w:t xml:space="preserve"> </w:t>
      </w:r>
    </w:p>
    <w:p w14:paraId="3A93B502" w14:textId="7C6BE146" w:rsidR="00F76337" w:rsidRDefault="00677DEA" w:rsidP="00F76337">
      <w:pPr>
        <w:spacing w:before="240"/>
        <w:rPr>
          <w:i/>
          <w:iCs/>
        </w:rPr>
      </w:pPr>
      <w:r>
        <w:rPr>
          <w:i/>
          <w:iCs/>
        </w:rPr>
        <w:t xml:space="preserve">                    </w:t>
      </w:r>
      <w:r w:rsidR="00F76337">
        <w:rPr>
          <w:i/>
          <w:iCs/>
        </w:rPr>
        <w:t>Security Agreement</w:t>
      </w:r>
    </w:p>
    <w:p w14:paraId="4F93DD26" w14:textId="05024CDD" w:rsidR="00F76337" w:rsidRDefault="00677DEA" w:rsidP="00F76337">
      <w:pPr>
        <w:spacing w:before="240"/>
      </w:pPr>
      <w:r>
        <w:t xml:space="preserve">                    </w:t>
      </w:r>
      <w:r w:rsidR="00F76337">
        <w:t xml:space="preserve">A security agreement (the personal property analogy to a mortgage) must </w:t>
      </w:r>
      <w:r>
        <w:br/>
        <w:t xml:space="preserve">                 </w:t>
      </w:r>
      <w:proofErr w:type="gramStart"/>
      <w:r>
        <w:t xml:space="preserve">   </w:t>
      </w:r>
      <w:r w:rsidR="00F76337">
        <w:t>“</w:t>
      </w:r>
      <w:proofErr w:type="gramEnd"/>
      <w:r w:rsidR="00F76337">
        <w:t xml:space="preserve">reasonably identify” the collateral (just like a mortgage must specifically identify </w:t>
      </w:r>
      <w:r>
        <w:br/>
        <w:t xml:space="preserve">                    </w:t>
      </w:r>
      <w:r w:rsidR="00F76337">
        <w:t xml:space="preserve">the mortgaged real property). A security agreement can include “after-acquired </w:t>
      </w:r>
      <w:r>
        <w:br/>
        <w:t xml:space="preserve">                    </w:t>
      </w:r>
      <w:r w:rsidR="00F76337">
        <w:t xml:space="preserve">property” as collateral, not just existing property, but that must be clear in the </w:t>
      </w:r>
      <w:r>
        <w:br/>
        <w:t xml:space="preserve">                    </w:t>
      </w:r>
      <w:r w:rsidR="00F76337">
        <w:t xml:space="preserve">collateral description. The security agreement must also identify the debt that is </w:t>
      </w:r>
      <w:r>
        <w:br/>
        <w:t xml:space="preserve">                    </w:t>
      </w:r>
      <w:r w:rsidR="00F76337">
        <w:t xml:space="preserve">being secured. It can cover “future advances” as well as current (when the </w:t>
      </w:r>
      <w:r>
        <w:br/>
        <w:t xml:space="preserve">                    </w:t>
      </w:r>
      <w:r w:rsidR="00F76337">
        <w:t>agreement is signed) advances, but that must be clear in the security agreement.</w:t>
      </w:r>
    </w:p>
    <w:p w14:paraId="7697E952" w14:textId="42819688" w:rsidR="00F76337" w:rsidRDefault="00677DEA" w:rsidP="00F76337">
      <w:pPr>
        <w:keepNext/>
        <w:spacing w:before="240"/>
        <w:rPr>
          <w:i/>
          <w:iCs/>
        </w:rPr>
      </w:pPr>
      <w:r>
        <w:rPr>
          <w:i/>
          <w:iCs/>
        </w:rPr>
        <w:t xml:space="preserve">                    </w:t>
      </w:r>
      <w:r w:rsidR="00F76337">
        <w:rPr>
          <w:i/>
          <w:iCs/>
        </w:rPr>
        <w:t>UCC Financing Statement</w:t>
      </w:r>
      <w:r w:rsidR="00F76337" w:rsidRPr="00720F71">
        <w:rPr>
          <w:i/>
          <w:iCs/>
        </w:rPr>
        <w:t xml:space="preserve"> Filings</w:t>
      </w:r>
    </w:p>
    <w:p w14:paraId="3CDEEBEB" w14:textId="1C7BA460" w:rsidR="00F76337" w:rsidRDefault="00677DEA" w:rsidP="00F76337">
      <w:pPr>
        <w:spacing w:before="240"/>
      </w:pPr>
      <w:r>
        <w:t xml:space="preserve">                    </w:t>
      </w:r>
      <w:r w:rsidR="00F76337">
        <w:t xml:space="preserve">Although a security agreement is valid as between the debtor and the ‘secured </w:t>
      </w:r>
      <w:r>
        <w:br/>
        <w:t xml:space="preserve">                    </w:t>
      </w:r>
      <w:r w:rsidR="00F76337">
        <w:t xml:space="preserve">party,’ it is not a powerful </w:t>
      </w:r>
      <w:proofErr w:type="gramStart"/>
      <w:r w:rsidR="00F76337">
        <w:t>real world</w:t>
      </w:r>
      <w:proofErr w:type="gramEnd"/>
      <w:r w:rsidR="00F76337">
        <w:t xml:space="preserve"> tool unless the security interest is “perfected.” </w:t>
      </w:r>
      <w:r>
        <w:br/>
        <w:t xml:space="preserve">                    </w:t>
      </w:r>
      <w:r w:rsidR="00F76337">
        <w:t>In generally, perfection is achieved by the filing of a UCC Financing Statement.</w:t>
      </w:r>
    </w:p>
    <w:p w14:paraId="4F0D7D66" w14:textId="5E3BD454" w:rsidR="00F76337" w:rsidRDefault="00677DEA" w:rsidP="00F76337">
      <w:pPr>
        <w:spacing w:before="240"/>
      </w:pPr>
      <w:r>
        <w:lastRenderedPageBreak/>
        <w:t xml:space="preserve">                    </w:t>
      </w:r>
      <w:r w:rsidR="00F76337">
        <w:t xml:space="preserve">The collateral must be identified in the UCC Financing Statement. The best practice </w:t>
      </w:r>
      <w:r>
        <w:br/>
        <w:t xml:space="preserve">                     </w:t>
      </w:r>
      <w:r w:rsidR="00F76337">
        <w:t xml:space="preserve">is probably to use the same description in both the security agreement and the </w:t>
      </w:r>
      <w:r>
        <w:br/>
        <w:t xml:space="preserve">                     </w:t>
      </w:r>
      <w:r w:rsidR="00F76337">
        <w:t>financing statement.</w:t>
      </w:r>
    </w:p>
    <w:p w14:paraId="53908287" w14:textId="3BB3738B" w:rsidR="00F76337" w:rsidRPr="00390837" w:rsidRDefault="00677DEA" w:rsidP="00F76337">
      <w:pPr>
        <w:spacing w:before="240"/>
        <w:ind w:firstLine="720"/>
        <w:rPr>
          <w:i/>
          <w:iCs/>
        </w:rPr>
      </w:pPr>
      <w:r>
        <w:rPr>
          <w:i/>
          <w:iCs/>
        </w:rPr>
        <w:t xml:space="preserve">         </w:t>
      </w:r>
      <w:r w:rsidR="00F76337" w:rsidRPr="00390837">
        <w:rPr>
          <w:i/>
          <w:iCs/>
        </w:rPr>
        <w:t>Exceptions</w:t>
      </w:r>
    </w:p>
    <w:p w14:paraId="69EC5207" w14:textId="4C2B7155" w:rsidR="00F76337" w:rsidRDefault="00677DEA" w:rsidP="00F76337">
      <w:pPr>
        <w:spacing w:before="240"/>
      </w:pPr>
      <w:r>
        <w:t xml:space="preserve">                     </w:t>
      </w:r>
      <w:r w:rsidR="00F76337">
        <w:t xml:space="preserve">There are a few types of collateral for which a financing statement cannot perfect </w:t>
      </w:r>
      <w:r>
        <w:br/>
        <w:t xml:space="preserve">                      </w:t>
      </w:r>
      <w:r w:rsidR="00F76337">
        <w:t xml:space="preserve">the security interest. These are demand bank accounts (called “deposit accounts” in </w:t>
      </w:r>
      <w:r>
        <w:br/>
        <w:t xml:space="preserve">                      </w:t>
      </w:r>
      <w:r w:rsidR="00F76337">
        <w:t xml:space="preserve">the UCC) and rights to draw under letters of credit (called “letter of credit rights”) </w:t>
      </w:r>
      <w:r>
        <w:br/>
        <w:t xml:space="preserve">                      </w:t>
      </w:r>
      <w:r w:rsidR="00F76337">
        <w:t xml:space="preserve">in the UCC. In those cases, perfection is achieved by establishing “control.” But </w:t>
      </w:r>
      <w:r>
        <w:br/>
        <w:t xml:space="preserve">                      </w:t>
      </w:r>
      <w:r w:rsidR="00F76337">
        <w:t>this can be very complex.</w:t>
      </w:r>
    </w:p>
    <w:p w14:paraId="2A13C058" w14:textId="5E1B7532" w:rsidR="00F76337" w:rsidRPr="00390837" w:rsidRDefault="00677DEA" w:rsidP="00F76337">
      <w:pPr>
        <w:spacing w:before="240"/>
        <w:ind w:firstLine="720"/>
        <w:rPr>
          <w:i/>
          <w:iCs/>
        </w:rPr>
      </w:pPr>
      <w:r>
        <w:rPr>
          <w:i/>
          <w:iCs/>
        </w:rPr>
        <w:t xml:space="preserve">          </w:t>
      </w:r>
      <w:r w:rsidR="00F76337" w:rsidRPr="00390837">
        <w:rPr>
          <w:i/>
          <w:iCs/>
        </w:rPr>
        <w:t>Refiling Requirements</w:t>
      </w:r>
    </w:p>
    <w:p w14:paraId="52C6B5BA" w14:textId="016A8739" w:rsidR="00F76337" w:rsidRDefault="00677DEA" w:rsidP="00F76337">
      <w:pPr>
        <w:spacing w:before="240"/>
      </w:pPr>
      <w:r>
        <w:t xml:space="preserve">                      </w:t>
      </w:r>
      <w:r w:rsidR="00F76337">
        <w:t xml:space="preserve">UCC Financing Statements must generally be refiled every five (5) years to </w:t>
      </w:r>
      <w:r w:rsidR="00B1781E">
        <w:br/>
        <w:t xml:space="preserve">                       </w:t>
      </w:r>
      <w:r w:rsidR="00F76337">
        <w:t xml:space="preserve">maintain perfection of security interests not required through control.  However, </w:t>
      </w:r>
      <w:r w:rsidR="00B1781E">
        <w:br/>
        <w:t xml:space="preserve">                       </w:t>
      </w:r>
      <w:r w:rsidR="00F76337">
        <w:t>such UCC filings do not expire for thirty (30) years in public finance transactions.</w:t>
      </w:r>
    </w:p>
    <w:p w14:paraId="2C367E88" w14:textId="2A7FB5FE" w:rsidR="00F76337" w:rsidRPr="00390837" w:rsidRDefault="00B1781E" w:rsidP="00F76337">
      <w:pPr>
        <w:keepNext/>
        <w:spacing w:before="240"/>
        <w:rPr>
          <w:b/>
          <w:bCs/>
        </w:rPr>
      </w:pPr>
      <w:r>
        <w:rPr>
          <w:b/>
          <w:bCs/>
        </w:rPr>
        <w:t xml:space="preserve">                    </w:t>
      </w:r>
      <w:r w:rsidR="00F76337" w:rsidRPr="00390837">
        <w:rPr>
          <w:b/>
          <w:bCs/>
        </w:rPr>
        <w:t>Proceeds</w:t>
      </w:r>
    </w:p>
    <w:p w14:paraId="41A0F8B4" w14:textId="3914B25B" w:rsidR="00F76337" w:rsidRPr="00390837" w:rsidRDefault="00B1781E" w:rsidP="00F76337">
      <w:pPr>
        <w:spacing w:before="240"/>
        <w:rPr>
          <w:i/>
          <w:iCs/>
        </w:rPr>
      </w:pPr>
      <w:r>
        <w:rPr>
          <w:i/>
          <w:iCs/>
        </w:rPr>
        <w:t xml:space="preserve">                    </w:t>
      </w:r>
      <w:r w:rsidR="00F76337" w:rsidRPr="00390837">
        <w:rPr>
          <w:i/>
          <w:iCs/>
        </w:rPr>
        <w:t>General</w:t>
      </w:r>
    </w:p>
    <w:p w14:paraId="5771EE4D" w14:textId="5A6FC600" w:rsidR="00F76337" w:rsidRDefault="00B1781E" w:rsidP="00F76337">
      <w:pPr>
        <w:spacing w:before="240"/>
      </w:pPr>
      <w:r>
        <w:t xml:space="preserve">                     </w:t>
      </w:r>
      <w:r w:rsidR="00F76337">
        <w:t xml:space="preserve">Whenever collateral is sold or otherwise disposed of (including, for example, </w:t>
      </w:r>
      <w:r w:rsidR="00F528B4">
        <w:br/>
        <w:t xml:space="preserve">                      </w:t>
      </w:r>
      <w:r w:rsidR="00F76337">
        <w:t xml:space="preserve">equipment that is leased by a borrower to a third party), the security interest in the </w:t>
      </w:r>
      <w:r w:rsidR="00F528B4">
        <w:br/>
        <w:t xml:space="preserve">                      </w:t>
      </w:r>
      <w:r w:rsidR="00F76337">
        <w:t xml:space="preserve">collateral continues in the “identifiable proceeds” of the collateral. This is true </w:t>
      </w:r>
      <w:r w:rsidR="00F528B4">
        <w:br/>
        <w:t xml:space="preserve">                      </w:t>
      </w:r>
      <w:r w:rsidR="00F76337">
        <w:t xml:space="preserve">whether the collateral itself has been sold to a third party free of the security </w:t>
      </w:r>
      <w:r w:rsidR="00F528B4">
        <w:br/>
        <w:t xml:space="preserve">                      </w:t>
      </w:r>
      <w:r w:rsidR="00F76337">
        <w:t>interest or subject to the security interest.</w:t>
      </w:r>
    </w:p>
    <w:p w14:paraId="48CFE2CE" w14:textId="6FEA1431" w:rsidR="00F76337" w:rsidRPr="00390837" w:rsidRDefault="009E6780" w:rsidP="00F76337">
      <w:pPr>
        <w:spacing w:before="240"/>
        <w:rPr>
          <w:i/>
          <w:iCs/>
        </w:rPr>
      </w:pPr>
      <w:r>
        <w:rPr>
          <w:i/>
          <w:iCs/>
        </w:rPr>
        <w:t xml:space="preserve">                     </w:t>
      </w:r>
      <w:r w:rsidR="00F76337" w:rsidRPr="00390837">
        <w:rPr>
          <w:i/>
          <w:iCs/>
        </w:rPr>
        <w:t>Tracing</w:t>
      </w:r>
    </w:p>
    <w:p w14:paraId="6A3CC2B7" w14:textId="6696F0DF" w:rsidR="00F76337" w:rsidRDefault="004D3C20" w:rsidP="00F76337">
      <w:pPr>
        <w:spacing w:before="240"/>
      </w:pPr>
      <w:r>
        <w:t xml:space="preserve">                     </w:t>
      </w:r>
      <w:r w:rsidR="00F76337">
        <w:t xml:space="preserve">Tracing proceeds can get complicated and assistance from counsel may be required. </w:t>
      </w:r>
      <w:r>
        <w:br/>
        <w:t xml:space="preserve">                      </w:t>
      </w:r>
      <w:r w:rsidR="00F76337">
        <w:t xml:space="preserve">From the perspective of the ‘secured party,’ the best practice would be to </w:t>
      </w:r>
      <w:r>
        <w:br/>
        <w:t xml:space="preserve">                      </w:t>
      </w:r>
      <w:r w:rsidR="00F76337">
        <w:t xml:space="preserve">proactively monitor dispositions of collateral so that, when it is disposed of, the </w:t>
      </w:r>
      <w:r>
        <w:br/>
        <w:t xml:space="preserve">                      </w:t>
      </w:r>
      <w:r w:rsidR="00F76337">
        <w:t xml:space="preserve">proceeds can be identified sooner than later. That is because tracing gets more </w:t>
      </w:r>
      <w:r>
        <w:br/>
        <w:t xml:space="preserve">                      </w:t>
      </w:r>
      <w:r w:rsidR="00F76337">
        <w:t>complicated over time.</w:t>
      </w:r>
    </w:p>
    <w:p w14:paraId="3806C411" w14:textId="4FCFF8EE" w:rsidR="00F76337" w:rsidRPr="00390837" w:rsidRDefault="004D3C20" w:rsidP="00F76337">
      <w:pPr>
        <w:spacing w:before="240"/>
        <w:rPr>
          <w:i/>
          <w:iCs/>
        </w:rPr>
      </w:pPr>
      <w:r>
        <w:rPr>
          <w:i/>
          <w:iCs/>
        </w:rPr>
        <w:t xml:space="preserve">                      </w:t>
      </w:r>
      <w:r w:rsidR="00F76337" w:rsidRPr="00390837">
        <w:rPr>
          <w:i/>
          <w:iCs/>
        </w:rPr>
        <w:t>Case Study</w:t>
      </w:r>
    </w:p>
    <w:p w14:paraId="769C94FE" w14:textId="2E44B195" w:rsidR="00F76337" w:rsidRDefault="004D3C20" w:rsidP="00F76337">
      <w:pPr>
        <w:spacing w:before="240"/>
      </w:pPr>
      <w:r>
        <w:t xml:space="preserve">                      </w:t>
      </w:r>
      <w:r w:rsidR="00F76337">
        <w:t xml:space="preserve">Here’s one illustration of the complexity of tracing of proceeds in a disposition for </w:t>
      </w:r>
      <w:r>
        <w:br/>
        <w:t xml:space="preserve">                      </w:t>
      </w:r>
      <w:r w:rsidR="00F76337">
        <w:t xml:space="preserve">security interest purposes: </w:t>
      </w:r>
    </w:p>
    <w:p w14:paraId="700CC5CA" w14:textId="752B9905" w:rsidR="00F76337" w:rsidRDefault="004D3C20" w:rsidP="00F76337">
      <w:pPr>
        <w:spacing w:before="240"/>
      </w:pPr>
      <w:r>
        <w:t xml:space="preserve">                      </w:t>
      </w:r>
      <w:r w:rsidR="00F76337">
        <w:t xml:space="preserve">Suppose the original collateral is a borrower’s inventory. Inventory gets told to a </w:t>
      </w:r>
      <w:r>
        <w:br/>
        <w:t xml:space="preserve">                      </w:t>
      </w:r>
      <w:r w:rsidR="00F76337">
        <w:t xml:space="preserve">customer and an invoice is issued to the customer. The proceeds are now the new </w:t>
      </w:r>
      <w:r w:rsidR="00FC5F24">
        <w:br/>
        <w:t xml:space="preserve">                      </w:t>
      </w:r>
      <w:r w:rsidR="00F76337">
        <w:t xml:space="preserve">collateral. The customer later sends a check in payment for the inventory. The new </w:t>
      </w:r>
      <w:r w:rsidR="00FC5F24">
        <w:br/>
        <w:t xml:space="preserve">                      </w:t>
      </w:r>
      <w:r w:rsidR="00F76337">
        <w:t xml:space="preserve">collateral could be considered an “instrument.” </w:t>
      </w:r>
    </w:p>
    <w:p w14:paraId="350CB76A" w14:textId="325C8B57" w:rsidR="00F76337" w:rsidRDefault="00FC5F24" w:rsidP="00F76337">
      <w:pPr>
        <w:spacing w:before="240"/>
      </w:pPr>
      <w:r>
        <w:t xml:space="preserve">                      </w:t>
      </w:r>
      <w:r w:rsidR="00F76337">
        <w:t xml:space="preserve">The borrower then deposits the check into its bank account. Now the collateral is </w:t>
      </w:r>
      <w:r>
        <w:br/>
        <w:t xml:space="preserve">                   </w:t>
      </w:r>
      <w:proofErr w:type="gramStart"/>
      <w:r>
        <w:t xml:space="preserve">   </w:t>
      </w:r>
      <w:r w:rsidR="00F76337">
        <w:t>“</w:t>
      </w:r>
      <w:proofErr w:type="gramEnd"/>
      <w:r w:rsidR="00F76337">
        <w:t xml:space="preserve">identifiable cash proceeds” in a “deposit account.” The borrower then withdraws </w:t>
      </w:r>
      <w:r>
        <w:br/>
        <w:t xml:space="preserve">                       </w:t>
      </w:r>
      <w:r w:rsidR="00F76337">
        <w:t xml:space="preserve">some money from the bank account and buys some equipment. If that withdrawal </w:t>
      </w:r>
      <w:r w:rsidR="00EE31BA">
        <w:br/>
        <w:t xml:space="preserve">                       </w:t>
      </w:r>
      <w:r w:rsidR="00F76337">
        <w:t xml:space="preserve">can be traced to the deposited check (there are ways to do this), the collateral is </w:t>
      </w:r>
      <w:r w:rsidR="00EE31BA">
        <w:br/>
      </w:r>
      <w:r w:rsidR="00EE31BA">
        <w:lastRenderedPageBreak/>
        <w:t xml:space="preserve">                       </w:t>
      </w:r>
      <w:r w:rsidR="00F76337">
        <w:t xml:space="preserve">now that “equipment.” However, if the lender’s UCC Financing Statement only </w:t>
      </w:r>
      <w:r w:rsidR="00EE31BA">
        <w:br/>
        <w:t xml:space="preserve">                       </w:t>
      </w:r>
      <w:r w:rsidR="00F76337">
        <w:t xml:space="preserve">identified “inventory” as the collateral, the lender’s security interest will become </w:t>
      </w:r>
      <w:r w:rsidR="00EE31BA">
        <w:br/>
        <w:t xml:space="preserve">                       </w:t>
      </w:r>
      <w:r w:rsidR="00F76337">
        <w:t xml:space="preserve">unperfected subsequent to purchase of the equipment. </w:t>
      </w:r>
    </w:p>
    <w:p w14:paraId="43E5400A" w14:textId="4EE144CC" w:rsidR="00F76337" w:rsidRDefault="00EE31BA" w:rsidP="00F76337">
      <w:pPr>
        <w:spacing w:before="240"/>
      </w:pPr>
      <w:r>
        <w:t xml:space="preserve">                       </w:t>
      </w:r>
      <w:r w:rsidR="00F76337">
        <w:t xml:space="preserve">If, on the other hand, the lender’s UCC Financing Statement also identified </w:t>
      </w:r>
      <w:r>
        <w:br/>
        <w:t xml:space="preserve">                    </w:t>
      </w:r>
      <w:proofErr w:type="gramStart"/>
      <w:r>
        <w:t xml:space="preserve">   </w:t>
      </w:r>
      <w:r w:rsidR="00F76337">
        <w:t>“</w:t>
      </w:r>
      <w:proofErr w:type="gramEnd"/>
      <w:r w:rsidR="00F76337">
        <w:t xml:space="preserve">equipment” in the collateral description, the security interest would not become </w:t>
      </w:r>
      <w:r>
        <w:br/>
        <w:t xml:space="preserve">                       </w:t>
      </w:r>
      <w:r w:rsidR="00F76337">
        <w:t xml:space="preserve">unperfected. But a borrower that is not borrowing from the lender to finance </w:t>
      </w:r>
      <w:r>
        <w:br/>
        <w:t xml:space="preserve">                       </w:t>
      </w:r>
      <w:r w:rsidR="00F76337">
        <w:t>equipment purchases may object to such a broader collateral description.</w:t>
      </w:r>
    </w:p>
    <w:p w14:paraId="4CD69400" w14:textId="6BC2809C" w:rsidR="00F76337" w:rsidRPr="00390837" w:rsidRDefault="00EE31BA" w:rsidP="00F76337">
      <w:pPr>
        <w:keepNext/>
        <w:spacing w:before="240"/>
        <w:rPr>
          <w:b/>
          <w:bCs/>
        </w:rPr>
      </w:pPr>
      <w:r>
        <w:rPr>
          <w:b/>
          <w:bCs/>
        </w:rPr>
        <w:t xml:space="preserve">                       </w:t>
      </w:r>
      <w:r w:rsidR="00F76337" w:rsidRPr="00390837">
        <w:rPr>
          <w:b/>
          <w:bCs/>
        </w:rPr>
        <w:t>Priority and Exceptions</w:t>
      </w:r>
    </w:p>
    <w:p w14:paraId="05D42FDD" w14:textId="06EE2EFD" w:rsidR="00F76337" w:rsidRDefault="00EE31BA" w:rsidP="00F76337">
      <w:pPr>
        <w:spacing w:before="240"/>
      </w:pPr>
      <w:r>
        <w:t xml:space="preserve">                       </w:t>
      </w:r>
      <w:r w:rsidR="00F76337">
        <w:t xml:space="preserve">Generally, the first filed UCC Financing Statement has priority over financing </w:t>
      </w:r>
      <w:r>
        <w:br/>
        <w:t xml:space="preserve">                       </w:t>
      </w:r>
      <w:r w:rsidR="00F76337">
        <w:t>statements filed</w:t>
      </w:r>
      <w:r>
        <w:t xml:space="preserve"> </w:t>
      </w:r>
      <w:r w:rsidR="00F76337">
        <w:t>later. But there are exceptions.</w:t>
      </w:r>
    </w:p>
    <w:p w14:paraId="383CE42A" w14:textId="10D05A3A" w:rsidR="00F76337" w:rsidRDefault="00EE31BA" w:rsidP="00F76337">
      <w:pPr>
        <w:keepNext/>
        <w:spacing w:before="240"/>
        <w:rPr>
          <w:i/>
          <w:iCs/>
        </w:rPr>
      </w:pPr>
      <w:r>
        <w:rPr>
          <w:i/>
          <w:iCs/>
        </w:rPr>
        <w:t xml:space="preserve">                      </w:t>
      </w:r>
      <w:r w:rsidR="00F76337" w:rsidRPr="00720F71">
        <w:rPr>
          <w:i/>
          <w:iCs/>
        </w:rPr>
        <w:t>Pu</w:t>
      </w:r>
      <w:r w:rsidR="00F76337">
        <w:rPr>
          <w:i/>
          <w:iCs/>
        </w:rPr>
        <w:t>r</w:t>
      </w:r>
      <w:r w:rsidR="00F76337" w:rsidRPr="00720F71">
        <w:rPr>
          <w:i/>
          <w:iCs/>
        </w:rPr>
        <w:t xml:space="preserve">chase Money </w:t>
      </w:r>
      <w:r w:rsidR="00F76337">
        <w:rPr>
          <w:i/>
          <w:iCs/>
        </w:rPr>
        <w:t>Security Interests</w:t>
      </w:r>
    </w:p>
    <w:p w14:paraId="1309DF8D" w14:textId="06CDD53A" w:rsidR="00F76337" w:rsidRDefault="00EE31BA" w:rsidP="00F76337">
      <w:pPr>
        <w:spacing w:before="240"/>
      </w:pPr>
      <w:r>
        <w:t xml:space="preserve">                      </w:t>
      </w:r>
      <w:r w:rsidR="00F76337">
        <w:t xml:space="preserve">Under the UCC, a purchase money security interest (“PMSI”) in equipment and </w:t>
      </w:r>
      <w:r>
        <w:br/>
        <w:t xml:space="preserve">                      </w:t>
      </w:r>
      <w:r w:rsidR="00F76337">
        <w:t xml:space="preserve">inventory will have priority over an earlier filed financing statement covering the </w:t>
      </w:r>
      <w:r>
        <w:br/>
        <w:t xml:space="preserve">                      </w:t>
      </w:r>
      <w:r w:rsidR="00F76337">
        <w:t>same collateral if the ‘secured party’ observes some special rules.</w:t>
      </w:r>
    </w:p>
    <w:p w14:paraId="7CD1D1DA" w14:textId="14455B25" w:rsidR="00F76337" w:rsidRPr="00390837" w:rsidRDefault="00F76337" w:rsidP="00F76337">
      <w:pPr>
        <w:spacing w:before="240"/>
        <w:rPr>
          <w:i/>
          <w:iCs/>
        </w:rPr>
      </w:pPr>
      <w:r w:rsidRPr="00390837">
        <w:rPr>
          <w:i/>
          <w:iCs/>
        </w:rPr>
        <w:tab/>
      </w:r>
      <w:r w:rsidR="00EE31BA">
        <w:rPr>
          <w:i/>
          <w:iCs/>
        </w:rPr>
        <w:t xml:space="preserve">          </w:t>
      </w:r>
      <w:r w:rsidRPr="00390837">
        <w:rPr>
          <w:i/>
          <w:iCs/>
        </w:rPr>
        <w:t>Equipment</w:t>
      </w:r>
    </w:p>
    <w:p w14:paraId="186C89CA" w14:textId="76BF3B12" w:rsidR="00F76337" w:rsidRDefault="00EE31BA" w:rsidP="00F76337">
      <w:pPr>
        <w:spacing w:before="240"/>
      </w:pPr>
      <w:r>
        <w:t xml:space="preserve">                      </w:t>
      </w:r>
      <w:r w:rsidR="00F76337">
        <w:t xml:space="preserve">The purpose of this exception is to facilitate borrowings secured only by the </w:t>
      </w:r>
      <w:r>
        <w:br/>
        <w:t xml:space="preserve">                      </w:t>
      </w:r>
      <w:r w:rsidR="00F76337">
        <w:t xml:space="preserve">financed equipment, occasionally by the manufacturer of the equipment who is </w:t>
      </w:r>
      <w:r w:rsidR="0007243A">
        <w:br/>
        <w:t xml:space="preserve">                      </w:t>
      </w:r>
      <w:r w:rsidR="00F76337">
        <w:t xml:space="preserve">able to provide better financing terms than the borrower’s existing ‘secured party.’ </w:t>
      </w:r>
      <w:r w:rsidR="0007243A">
        <w:br/>
        <w:t xml:space="preserve">                      </w:t>
      </w:r>
      <w:r w:rsidR="00F76337">
        <w:t xml:space="preserve">In an equipment financing, the equipment lender’s financing statement takes </w:t>
      </w:r>
      <w:r w:rsidR="0007243A">
        <w:br/>
        <w:t xml:space="preserve">                      </w:t>
      </w:r>
      <w:r w:rsidR="00F76337">
        <w:t xml:space="preserve">priority over the earlier filed financing statement of the borrower’s existing </w:t>
      </w:r>
      <w:r w:rsidR="0007243A">
        <w:br/>
        <w:t xml:space="preserve">                   </w:t>
      </w:r>
      <w:proofErr w:type="gramStart"/>
      <w:r w:rsidR="0007243A">
        <w:t xml:space="preserve">   </w:t>
      </w:r>
      <w:r w:rsidR="00F76337">
        <w:t>‘</w:t>
      </w:r>
      <w:proofErr w:type="gramEnd"/>
      <w:r w:rsidR="00F76337">
        <w:t>secured party’ even if that financing statement includes “equipment” as collateral.</w:t>
      </w:r>
    </w:p>
    <w:p w14:paraId="16EECBF3" w14:textId="5A0EB796" w:rsidR="00F76337" w:rsidRPr="00390837" w:rsidRDefault="0007243A" w:rsidP="00F76337">
      <w:pPr>
        <w:spacing w:before="240"/>
        <w:ind w:firstLine="720"/>
        <w:rPr>
          <w:i/>
          <w:iCs/>
        </w:rPr>
      </w:pPr>
      <w:r>
        <w:rPr>
          <w:i/>
          <w:iCs/>
        </w:rPr>
        <w:t xml:space="preserve">           </w:t>
      </w:r>
      <w:r w:rsidR="00F76337" w:rsidRPr="00390837">
        <w:rPr>
          <w:i/>
          <w:iCs/>
        </w:rPr>
        <w:t>Inventory</w:t>
      </w:r>
    </w:p>
    <w:p w14:paraId="6212DA47" w14:textId="21234828" w:rsidR="00F76337" w:rsidRDefault="0007243A" w:rsidP="00F76337">
      <w:pPr>
        <w:spacing w:before="240"/>
      </w:pPr>
      <w:r>
        <w:t xml:space="preserve">                       </w:t>
      </w:r>
      <w:r w:rsidR="00F76337">
        <w:t xml:space="preserve">The rules for PMSIs in inventory are more stringent. The inventory lender must </w:t>
      </w:r>
      <w:r>
        <w:br/>
        <w:t xml:space="preserve">                       </w:t>
      </w:r>
      <w:r w:rsidR="00F76337">
        <w:t xml:space="preserve">give written notice to all other secured parties who have financing statements on </w:t>
      </w:r>
      <w:r>
        <w:br/>
        <w:t xml:space="preserve">                       </w:t>
      </w:r>
      <w:r w:rsidR="00F76337">
        <w:t xml:space="preserve">file against the same borrower and covering inventory before the PMSI loan is </w:t>
      </w:r>
      <w:r>
        <w:br/>
        <w:t xml:space="preserve">                       </w:t>
      </w:r>
      <w:r w:rsidR="00F76337">
        <w:t xml:space="preserve">advanced. For an inventory financing, the inventory lender’s financing statement </w:t>
      </w:r>
      <w:r>
        <w:br/>
        <w:t xml:space="preserve">                       </w:t>
      </w:r>
      <w:r w:rsidR="00F76337">
        <w:t>must be on file before the financed inventory is delivered to the borrower.</w:t>
      </w:r>
    </w:p>
    <w:p w14:paraId="084CCE0E" w14:textId="58EA8DEE" w:rsidR="00F76337" w:rsidRPr="00390837" w:rsidRDefault="00F76337" w:rsidP="00F76337">
      <w:pPr>
        <w:spacing w:before="240"/>
        <w:rPr>
          <w:i/>
          <w:iCs/>
        </w:rPr>
      </w:pPr>
      <w:r w:rsidRPr="00390837">
        <w:rPr>
          <w:i/>
          <w:iCs/>
        </w:rPr>
        <w:tab/>
      </w:r>
      <w:r w:rsidR="00A563EE">
        <w:rPr>
          <w:i/>
          <w:iCs/>
        </w:rPr>
        <w:t xml:space="preserve">           </w:t>
      </w:r>
      <w:r w:rsidRPr="00390837">
        <w:rPr>
          <w:i/>
          <w:iCs/>
        </w:rPr>
        <w:t>Contrasting Treatment of Proceeds for Equipment and Inventory</w:t>
      </w:r>
    </w:p>
    <w:p w14:paraId="0589B705" w14:textId="15BDCB9F" w:rsidR="00F76337" w:rsidRDefault="00A563EE" w:rsidP="00F76337">
      <w:pPr>
        <w:spacing w:before="240"/>
      </w:pPr>
      <w:r>
        <w:t xml:space="preserve">                       </w:t>
      </w:r>
      <w:r w:rsidR="00F76337">
        <w:t xml:space="preserve">An inventory lender’s PMSI security interest generally only has priority in the </w:t>
      </w:r>
      <w:r>
        <w:br/>
        <w:t xml:space="preserve">                       </w:t>
      </w:r>
      <w:r w:rsidR="00F76337">
        <w:t xml:space="preserve">financed inventory, not the proceeds of that inventory when the borrower sells it. </w:t>
      </w:r>
      <w:r>
        <w:br/>
        <w:t xml:space="preserve">                       </w:t>
      </w:r>
      <w:r w:rsidR="00F76337">
        <w:t xml:space="preserve">By contrast, an equipment lender’s PMSI security interest has priority not only in </w:t>
      </w:r>
      <w:r>
        <w:br/>
        <w:t xml:space="preserve">                       </w:t>
      </w:r>
      <w:r w:rsidR="00F76337">
        <w:t>the equipment but also in the proceeds when the borrower sells it.</w:t>
      </w:r>
    </w:p>
    <w:p w14:paraId="0F3EFCAF" w14:textId="0C2691AB" w:rsidR="00F76337" w:rsidRDefault="00A563EE" w:rsidP="00F76337">
      <w:pPr>
        <w:keepNext/>
        <w:spacing w:before="240"/>
        <w:rPr>
          <w:i/>
          <w:iCs/>
        </w:rPr>
      </w:pPr>
      <w:r>
        <w:rPr>
          <w:i/>
          <w:iCs/>
        </w:rPr>
        <w:t xml:space="preserve">               </w:t>
      </w:r>
      <w:r w:rsidR="00F76337">
        <w:rPr>
          <w:i/>
          <w:iCs/>
        </w:rPr>
        <w:t>Permissible Collateral Sales Free and Clear of the Security Interest</w:t>
      </w:r>
    </w:p>
    <w:p w14:paraId="7E706C15" w14:textId="1D654DF7" w:rsidR="00F76337" w:rsidRDefault="00A563EE" w:rsidP="00F76337">
      <w:pPr>
        <w:spacing w:before="240"/>
        <w:ind w:firstLine="720"/>
        <w:rPr>
          <w:i/>
          <w:iCs/>
        </w:rPr>
      </w:pPr>
      <w:r>
        <w:rPr>
          <w:i/>
          <w:iCs/>
        </w:rPr>
        <w:t xml:space="preserve">           </w:t>
      </w:r>
      <w:r w:rsidR="00F76337" w:rsidRPr="00390837">
        <w:rPr>
          <w:i/>
          <w:iCs/>
        </w:rPr>
        <w:t>Ordinary Course Sales</w:t>
      </w:r>
    </w:p>
    <w:p w14:paraId="39EF6FC5" w14:textId="34DA60A5" w:rsidR="00F76337" w:rsidRDefault="00A563EE" w:rsidP="00F76337">
      <w:pPr>
        <w:spacing w:before="240"/>
      </w:pPr>
      <w:r>
        <w:t xml:space="preserve">                       </w:t>
      </w:r>
      <w:r w:rsidR="00F76337">
        <w:t xml:space="preserve">For example, if the collateral is inventory in the hands of the borrower – that is, </w:t>
      </w:r>
      <w:r>
        <w:br/>
        <w:t xml:space="preserve">                       </w:t>
      </w:r>
      <w:r w:rsidR="00F76337">
        <w:t xml:space="preserve">the borrower sells the inventory in the ordinary course of its business – then a </w:t>
      </w:r>
      <w:r>
        <w:br/>
      </w:r>
      <w:r>
        <w:lastRenderedPageBreak/>
        <w:t xml:space="preserve">                    </w:t>
      </w:r>
      <w:proofErr w:type="gramStart"/>
      <w:r>
        <w:t xml:space="preserve">   </w:t>
      </w:r>
      <w:r w:rsidR="00F76337">
        <w:t>“</w:t>
      </w:r>
      <w:proofErr w:type="gramEnd"/>
      <w:r w:rsidR="00F76337">
        <w:t xml:space="preserve">buyer in the ordinary course of business” can buy the inventory from the </w:t>
      </w:r>
      <w:r w:rsidR="00C466AA">
        <w:br/>
        <w:t xml:space="preserve">                        </w:t>
      </w:r>
      <w:r w:rsidR="00F76337">
        <w:t xml:space="preserve">borrower free of the ‘secured party’s’ security interest no matter what the security </w:t>
      </w:r>
      <w:r w:rsidR="00C466AA">
        <w:br/>
        <w:t xml:space="preserve">                        </w:t>
      </w:r>
      <w:r w:rsidR="00F76337">
        <w:t xml:space="preserve">agreement says. Although the above-described term emphasizes the role of the </w:t>
      </w:r>
      <w:r w:rsidR="00C466AA">
        <w:br/>
        <w:t xml:space="preserve">                        </w:t>
      </w:r>
      <w:r w:rsidR="00F76337">
        <w:t>buyer, the seller must be selling in the ordinary course of its business as well.</w:t>
      </w:r>
    </w:p>
    <w:p w14:paraId="319FA213" w14:textId="347757BB" w:rsidR="00F76337" w:rsidRPr="00390837" w:rsidRDefault="00C466AA" w:rsidP="00F76337">
      <w:pPr>
        <w:spacing w:before="240"/>
        <w:rPr>
          <w:i/>
          <w:iCs/>
        </w:rPr>
      </w:pPr>
      <w:r>
        <w:rPr>
          <w:i/>
          <w:iCs/>
        </w:rPr>
        <w:t xml:space="preserve"> </w:t>
      </w:r>
      <w:r w:rsidR="00F76337" w:rsidRPr="00390837">
        <w:rPr>
          <w:i/>
          <w:iCs/>
        </w:rPr>
        <w:tab/>
        <w:t xml:space="preserve">Routine </w:t>
      </w:r>
      <w:r w:rsidR="00F76337">
        <w:rPr>
          <w:i/>
          <w:iCs/>
        </w:rPr>
        <w:t xml:space="preserve">Sales </w:t>
      </w:r>
      <w:r w:rsidR="00F76337" w:rsidRPr="00390837">
        <w:rPr>
          <w:i/>
          <w:iCs/>
        </w:rPr>
        <w:t>Practice</w:t>
      </w:r>
    </w:p>
    <w:p w14:paraId="54196DA5" w14:textId="0FF36E11" w:rsidR="00F76337" w:rsidRDefault="00C466AA" w:rsidP="00F76337">
      <w:pPr>
        <w:spacing w:before="240"/>
      </w:pPr>
      <w:r>
        <w:t xml:space="preserve">                        </w:t>
      </w:r>
      <w:r w:rsidR="00F76337">
        <w:t xml:space="preserve">If the ‘secured party’ permits the sale of collateral free and clear of the security </w:t>
      </w:r>
      <w:r>
        <w:br/>
        <w:t xml:space="preserve">                        </w:t>
      </w:r>
      <w:r w:rsidR="00F76337">
        <w:t xml:space="preserve">interest, the buyer takes free and clear. This would generally require some express </w:t>
      </w:r>
      <w:r w:rsidR="00301A59">
        <w:br/>
        <w:t xml:space="preserve">                        </w:t>
      </w:r>
      <w:r w:rsidR="00F76337">
        <w:t xml:space="preserve">approval by the ‘secured party,’ but permission can be inferred by conduct. </w:t>
      </w:r>
      <w:r w:rsidR="00301A59">
        <w:br/>
        <w:t xml:space="preserve">                        </w:t>
      </w:r>
      <w:r w:rsidR="00F76337">
        <w:t xml:space="preserve">Suppose a borrower routinely sells used equipment when it decides to replace it </w:t>
      </w:r>
      <w:r w:rsidR="00301A59">
        <w:br/>
        <w:t xml:space="preserve">                        </w:t>
      </w:r>
      <w:r w:rsidR="00F76337">
        <w:t xml:space="preserve">with new equipment; the borrower’s ‘secured party’ knows of this practice; and </w:t>
      </w:r>
      <w:r w:rsidR="00301A59">
        <w:br/>
        <w:t xml:space="preserve">                        </w:t>
      </w:r>
      <w:r w:rsidR="00F76337">
        <w:t xml:space="preserve">the ‘secured party’ never objects. Permission can fairly be inferred in a case like </w:t>
      </w:r>
      <w:r w:rsidR="00301A59">
        <w:t xml:space="preserve"> </w:t>
      </w:r>
      <w:r w:rsidR="00301A59">
        <w:br/>
        <w:t xml:space="preserve">                        </w:t>
      </w:r>
      <w:r w:rsidR="00F76337">
        <w:t>that.</w:t>
      </w:r>
    </w:p>
    <w:p w14:paraId="6E903C5D" w14:textId="77777777" w:rsidR="00F76337" w:rsidRPr="00390837" w:rsidRDefault="00F76337" w:rsidP="00F76337">
      <w:pPr>
        <w:spacing w:before="240"/>
        <w:rPr>
          <w:i/>
          <w:iCs/>
        </w:rPr>
      </w:pPr>
      <w:r w:rsidRPr="00390837">
        <w:rPr>
          <w:i/>
          <w:iCs/>
        </w:rPr>
        <w:tab/>
        <w:t>Negotiable Securities Sales</w:t>
      </w:r>
    </w:p>
    <w:p w14:paraId="2E68AB6E" w14:textId="36078ADF" w:rsidR="00F76337" w:rsidRDefault="00C35B1F" w:rsidP="00F76337">
      <w:pPr>
        <w:spacing w:before="240"/>
      </w:pPr>
      <w:r>
        <w:t xml:space="preserve">                       </w:t>
      </w:r>
      <w:r w:rsidR="00F76337">
        <w:t xml:space="preserve">If the collateral consists of negotiable securities – including stocks and bonds and </w:t>
      </w:r>
      <w:r>
        <w:br/>
        <w:t xml:space="preserve">                       </w:t>
      </w:r>
      <w:r w:rsidR="00F76337">
        <w:t xml:space="preserve">investment property credited to a securities account with a broker – a buyer who </w:t>
      </w:r>
      <w:r>
        <w:br/>
        <w:t xml:space="preserve">                       </w:t>
      </w:r>
      <w:r w:rsidR="00F76337">
        <w:t xml:space="preserve">gives value, who has no notice that any other party has a claim to the collateral, </w:t>
      </w:r>
      <w:r>
        <w:br/>
        <w:t xml:space="preserve">                       </w:t>
      </w:r>
      <w:r w:rsidR="00F76337">
        <w:t xml:space="preserve">and who obtains “control” of the collateral, can take free of a security interest even </w:t>
      </w:r>
      <w:r>
        <w:br/>
        <w:t xml:space="preserve">                       </w:t>
      </w:r>
      <w:r w:rsidR="00F76337">
        <w:t xml:space="preserve">if perfected. Such a buyer used to be called a “good faith purchaser without </w:t>
      </w:r>
      <w:r>
        <w:br/>
        <w:t xml:space="preserve">                       </w:t>
      </w:r>
      <w:r w:rsidR="00F76337">
        <w:t xml:space="preserve">notice.” </w:t>
      </w:r>
    </w:p>
    <w:p w14:paraId="00856751" w14:textId="69419997" w:rsidR="00F76337" w:rsidRDefault="00325576" w:rsidP="00F76337">
      <w:pPr>
        <w:spacing w:before="240"/>
      </w:pPr>
      <w:r>
        <w:t xml:space="preserve">                       </w:t>
      </w:r>
      <w:r w:rsidR="00F76337">
        <w:t xml:space="preserve">The purpose of this exception is to permit the sale of negotiable securities to </w:t>
      </w:r>
      <w:r>
        <w:br/>
        <w:t xml:space="preserve">                        </w:t>
      </w:r>
      <w:r w:rsidR="00F76337">
        <w:t xml:space="preserve">purchasers in circumstances in which it is not customary for a buyer to search </w:t>
      </w:r>
      <w:r>
        <w:br/>
        <w:t xml:space="preserve">                        </w:t>
      </w:r>
      <w:r w:rsidR="00F76337">
        <w:t xml:space="preserve">UCC records because that would be inconsistent with the notion that the asset </w:t>
      </w:r>
      <w:r>
        <w:br/>
        <w:t xml:space="preserve">                        </w:t>
      </w:r>
      <w:r w:rsidR="00F76337">
        <w:t>being purchased is “negotiable.”</w:t>
      </w:r>
    </w:p>
    <w:p w14:paraId="18D9456D" w14:textId="77777777" w:rsidR="00F76337" w:rsidRDefault="00F76337" w:rsidP="00F76337">
      <w:pPr>
        <w:keepNext/>
        <w:spacing w:before="240"/>
        <w:ind w:left="720"/>
        <w:rPr>
          <w:i/>
          <w:iCs/>
        </w:rPr>
      </w:pPr>
      <w:r w:rsidRPr="00305C2E">
        <w:rPr>
          <w:i/>
          <w:iCs/>
        </w:rPr>
        <w:t>Collateral Repledging</w:t>
      </w:r>
    </w:p>
    <w:p w14:paraId="62492683" w14:textId="53A1A810" w:rsidR="00F76337" w:rsidRDefault="00325576" w:rsidP="00F76337">
      <w:pPr>
        <w:spacing w:before="240"/>
      </w:pPr>
      <w:r>
        <w:t xml:space="preserve">                         </w:t>
      </w:r>
      <w:r w:rsidR="00F76337">
        <w:t xml:space="preserve">Another exception occurs when a lender or a swap provider repledges the </w:t>
      </w:r>
      <w:r>
        <w:br/>
        <w:t xml:space="preserve">                         </w:t>
      </w:r>
      <w:r w:rsidR="00F76337">
        <w:t xml:space="preserve">collateral, which is often permitted under financing documents involving </w:t>
      </w:r>
      <w:r>
        <w:br/>
        <w:t xml:space="preserve">                         </w:t>
      </w:r>
      <w:r w:rsidR="00F76337">
        <w:t>securities as collateral.</w:t>
      </w:r>
    </w:p>
    <w:p w14:paraId="2B57529C" w14:textId="6636EF1D" w:rsidR="00F76337" w:rsidRDefault="00C23A21" w:rsidP="00F76337">
      <w:pPr>
        <w:spacing w:before="240"/>
      </w:pPr>
      <w:r>
        <w:t xml:space="preserve">                         </w:t>
      </w:r>
      <w:r w:rsidR="00F76337">
        <w:t xml:space="preserve">The purpose of this exception is to permit secured parties to leverage their loans </w:t>
      </w:r>
      <w:r>
        <w:br/>
        <w:t xml:space="preserve">                          </w:t>
      </w:r>
      <w:r w:rsidR="00F76337">
        <w:t xml:space="preserve">to make additional loans to other qualified borrowers.  However, this exception </w:t>
      </w:r>
      <w:r>
        <w:br/>
        <w:t xml:space="preserve">                          </w:t>
      </w:r>
      <w:r w:rsidR="00F76337">
        <w:t xml:space="preserve">also permits secured parties to leverage off of an issuer’s or conduit borrower’s </w:t>
      </w:r>
      <w:r>
        <w:br/>
        <w:t xml:space="preserve">                          </w:t>
      </w:r>
      <w:r w:rsidR="00F76337">
        <w:t xml:space="preserve">collateral when it itself is subject to financial distress and even absent an event </w:t>
      </w:r>
      <w:r>
        <w:br/>
        <w:t xml:space="preserve">                          </w:t>
      </w:r>
      <w:r w:rsidR="00F76337">
        <w:t>of default by the issuer or conduit borrower.</w:t>
      </w:r>
    </w:p>
    <w:p w14:paraId="5008F2C1" w14:textId="22245566" w:rsidR="00F76337" w:rsidRDefault="00C23A21" w:rsidP="00F76337">
      <w:pPr>
        <w:spacing w:before="240"/>
      </w:pPr>
      <w:r>
        <w:t xml:space="preserve">                          </w:t>
      </w:r>
      <w:r w:rsidR="00F76337">
        <w:t xml:space="preserve">Such risks are subject to standard disclosure by the </w:t>
      </w:r>
      <w:proofErr w:type="gramStart"/>
      <w:r w:rsidR="00F76337">
        <w:t>Securities</w:t>
      </w:r>
      <w:proofErr w:type="gramEnd"/>
      <w:r w:rsidR="00F76337">
        <w:t xml:space="preserve"> Industry and </w:t>
      </w:r>
      <w:r>
        <w:br/>
        <w:t xml:space="preserve">                          </w:t>
      </w:r>
      <w:r w:rsidR="00F76337">
        <w:t xml:space="preserve">Financial Markets Association (SIFMA) where the re-use risks and </w:t>
      </w:r>
      <w:r>
        <w:br/>
        <w:t xml:space="preserve">                          </w:t>
      </w:r>
      <w:r w:rsidR="00F76337">
        <w:t>consequences of repledging enumerated include:</w:t>
      </w:r>
    </w:p>
    <w:p w14:paraId="0255A5EA" w14:textId="2E97D38A" w:rsidR="00F76337" w:rsidRDefault="00C23A21" w:rsidP="00F76337">
      <w:pPr>
        <w:pStyle w:val="ListParagraph"/>
        <w:numPr>
          <w:ilvl w:val="0"/>
          <w:numId w:val="54"/>
        </w:numPr>
        <w:spacing w:before="240"/>
      </w:pPr>
      <w:r>
        <w:t xml:space="preserve">                        </w:t>
      </w:r>
      <w:r w:rsidR="00F76337">
        <w:t>The loss of proprietary rights in the collateral</w:t>
      </w:r>
    </w:p>
    <w:p w14:paraId="2ACAC6A5" w14:textId="56A25867" w:rsidR="00F76337" w:rsidRDefault="00C23A21" w:rsidP="00F76337">
      <w:pPr>
        <w:pStyle w:val="ListParagraph"/>
        <w:numPr>
          <w:ilvl w:val="0"/>
          <w:numId w:val="54"/>
        </w:numPr>
        <w:spacing w:before="240"/>
      </w:pPr>
      <w:r>
        <w:t xml:space="preserve">                        </w:t>
      </w:r>
      <w:r w:rsidR="00F76337">
        <w:t>The related claim will not be secured in the event of insolvency</w:t>
      </w:r>
    </w:p>
    <w:p w14:paraId="40336A1B" w14:textId="6F0B8346" w:rsidR="00F76337" w:rsidRDefault="00C23A21" w:rsidP="00F76337">
      <w:pPr>
        <w:pStyle w:val="ListParagraph"/>
        <w:numPr>
          <w:ilvl w:val="0"/>
          <w:numId w:val="54"/>
        </w:numPr>
        <w:spacing w:before="240"/>
      </w:pPr>
      <w:r>
        <w:t xml:space="preserve">                        </w:t>
      </w:r>
      <w:r w:rsidR="00F76337">
        <w:t xml:space="preserve">There is no obligation to notify any party about the repledging or any </w:t>
      </w:r>
      <w:r w:rsidR="00CA054D">
        <w:br/>
        <w:t xml:space="preserve">                         </w:t>
      </w:r>
      <w:r w:rsidR="00F76337">
        <w:t>insolvency, subject to an express agreement</w:t>
      </w:r>
    </w:p>
    <w:p w14:paraId="5ACEA4A3" w14:textId="19AF80E4" w:rsidR="00902884" w:rsidRPr="000A38DA" w:rsidRDefault="000201DE" w:rsidP="0099253F">
      <w:pPr>
        <w:pStyle w:val="ListParagraph"/>
        <w:spacing w:before="240"/>
        <w:ind w:left="1170"/>
        <w:rPr>
          <w:b/>
          <w:bCs/>
          <w:smallCaps/>
        </w:rPr>
      </w:pPr>
      <w:r>
        <w:rPr>
          <w:b/>
          <w:bCs/>
          <w:smallCaps/>
        </w:rPr>
        <w:lastRenderedPageBreak/>
        <w:br/>
      </w:r>
    </w:p>
    <w:p w14:paraId="4E0A9CB0" w14:textId="1F38B39E" w:rsidR="00F57ABC" w:rsidRDefault="00F57ABC" w:rsidP="00EA7C25">
      <w:pPr>
        <w:jc w:val="both"/>
      </w:pPr>
    </w:p>
    <w:p w14:paraId="7761EF0B" w14:textId="2D0A09BB" w:rsidR="00F922D0" w:rsidRPr="0066328C" w:rsidRDefault="00B94D36" w:rsidP="0066328C">
      <w:pPr>
        <w:pStyle w:val="ListParagraph"/>
        <w:numPr>
          <w:ilvl w:val="0"/>
          <w:numId w:val="62"/>
        </w:numPr>
        <w:rPr>
          <w:b/>
          <w:bCs/>
          <w:szCs w:val="24"/>
        </w:rPr>
      </w:pPr>
      <w:r w:rsidRPr="0066328C">
        <w:rPr>
          <w:b/>
          <w:bCs/>
        </w:rPr>
        <w:t>Real Estate Mortgages/Deeds Of Trust</w:t>
      </w:r>
      <w:r w:rsidR="005312D2" w:rsidRPr="0066328C">
        <w:rPr>
          <w:b/>
          <w:bCs/>
        </w:rPr>
        <w:t xml:space="preserve"> (</w:t>
      </w:r>
      <w:r w:rsidR="00B66381" w:rsidRPr="0066328C">
        <w:rPr>
          <w:b/>
          <w:bCs/>
        </w:rPr>
        <w:t>“</w:t>
      </w:r>
      <w:r w:rsidR="005312D2" w:rsidRPr="0066328C">
        <w:rPr>
          <w:b/>
          <w:bCs/>
        </w:rPr>
        <w:t xml:space="preserve">Real Estate Liens”) &amp; </w:t>
      </w:r>
      <w:r w:rsidR="005D6CC2" w:rsidRPr="0066328C">
        <w:rPr>
          <w:b/>
          <w:bCs/>
        </w:rPr>
        <w:t xml:space="preserve">Ground </w:t>
      </w:r>
      <w:proofErr w:type="gramStart"/>
      <w:r w:rsidR="005D6CC2" w:rsidRPr="0066328C">
        <w:rPr>
          <w:b/>
          <w:bCs/>
        </w:rPr>
        <w:t>Leases</w:t>
      </w:r>
      <w:r w:rsidR="007E2223" w:rsidRPr="0066328C">
        <w:rPr>
          <w:b/>
          <w:bCs/>
        </w:rPr>
        <w:t xml:space="preserve"> </w:t>
      </w:r>
      <w:r w:rsidR="00D40D07" w:rsidRPr="0066328C">
        <w:rPr>
          <w:b/>
          <w:bCs/>
        </w:rPr>
        <w:t xml:space="preserve"> </w:t>
      </w:r>
      <w:r w:rsidR="00D40D07" w:rsidRPr="0066328C">
        <w:rPr>
          <w:b/>
          <w:bCs/>
          <w:color w:val="FF0000"/>
        </w:rPr>
        <w:t>CASEY</w:t>
      </w:r>
      <w:proofErr w:type="gramEnd"/>
      <w:r w:rsidR="00B42A4B" w:rsidRPr="0066328C">
        <w:rPr>
          <w:b/>
          <w:bCs/>
          <w:color w:val="FF0000"/>
        </w:rPr>
        <w:br/>
      </w:r>
      <w:r w:rsidR="00BA4EB0" w:rsidRPr="0066328C">
        <w:rPr>
          <w:b/>
          <w:bCs/>
          <w:color w:val="FF0000"/>
        </w:rPr>
        <w:t xml:space="preserve">              </w:t>
      </w:r>
      <w:r w:rsidR="00EA7C25" w:rsidRPr="0066328C">
        <w:rPr>
          <w:b/>
          <w:bCs/>
        </w:rPr>
        <w:br/>
      </w:r>
      <w:r w:rsidR="00F922D0" w:rsidRPr="0066328C">
        <w:rPr>
          <w:b/>
          <w:bCs/>
          <w:szCs w:val="24"/>
        </w:rPr>
        <w:t>Mortgage vs. Deed of Trust</w:t>
      </w:r>
      <w:r w:rsidR="00CA054D" w:rsidRPr="0066328C">
        <w:rPr>
          <w:b/>
          <w:bCs/>
          <w:szCs w:val="24"/>
        </w:rPr>
        <w:br/>
      </w:r>
    </w:p>
    <w:p w14:paraId="76CFA65B" w14:textId="21FD0EA5" w:rsidR="00F922D0" w:rsidRPr="00312E98" w:rsidRDefault="00BA4EB0" w:rsidP="00F922D0">
      <w:pPr>
        <w:rPr>
          <w:szCs w:val="24"/>
        </w:rPr>
      </w:pPr>
      <w:r>
        <w:rPr>
          <w:szCs w:val="24"/>
        </w:rPr>
        <w:t xml:space="preserve">                    </w:t>
      </w:r>
      <w:r w:rsidR="00F922D0" w:rsidRPr="00312E98">
        <w:rPr>
          <w:szCs w:val="24"/>
        </w:rPr>
        <w:t xml:space="preserve">Mortgages and deeds of trust differ in two fundamental aspects, one being the </w:t>
      </w:r>
      <w:r>
        <w:rPr>
          <w:szCs w:val="24"/>
        </w:rPr>
        <w:br/>
        <w:t xml:space="preserve">                    </w:t>
      </w:r>
      <w:r w:rsidR="00F922D0" w:rsidRPr="00312E98">
        <w:rPr>
          <w:szCs w:val="24"/>
        </w:rPr>
        <w:t xml:space="preserve">number of parties involved and the other being foreclosure proceedings in the event </w:t>
      </w:r>
      <w:r>
        <w:rPr>
          <w:szCs w:val="24"/>
        </w:rPr>
        <w:br/>
        <w:t xml:space="preserve">                    </w:t>
      </w:r>
      <w:r w:rsidR="00F922D0" w:rsidRPr="00312E98">
        <w:rPr>
          <w:szCs w:val="24"/>
        </w:rPr>
        <w:t>of default.</w:t>
      </w:r>
      <w:r w:rsidR="00CF676B">
        <w:rPr>
          <w:szCs w:val="24"/>
        </w:rPr>
        <w:t xml:space="preserve"> </w:t>
      </w:r>
      <w:r w:rsidR="00F922D0" w:rsidRPr="00312E98">
        <w:rPr>
          <w:szCs w:val="24"/>
        </w:rPr>
        <w:t xml:space="preserve">The two parties involved in mortgages are the lender, which can either be </w:t>
      </w:r>
      <w:r w:rsidR="00CF676B">
        <w:rPr>
          <w:szCs w:val="24"/>
        </w:rPr>
        <w:br/>
        <w:t xml:space="preserve">                    </w:t>
      </w:r>
      <w:r w:rsidR="00F922D0" w:rsidRPr="00312E98">
        <w:rPr>
          <w:szCs w:val="24"/>
        </w:rPr>
        <w:t xml:space="preserve">the issuer or the Bond Trustee, and the owner of the fee interest/leasehold interest. </w:t>
      </w:r>
      <w:r w:rsidR="00CF676B">
        <w:rPr>
          <w:szCs w:val="24"/>
        </w:rPr>
        <w:br/>
        <w:t xml:space="preserve">                    </w:t>
      </w:r>
      <w:r w:rsidR="00F922D0" w:rsidRPr="00312E98">
        <w:rPr>
          <w:szCs w:val="24"/>
        </w:rPr>
        <w:t xml:space="preserve">Through the mortgage, the lender is given the right to use the property by the owner </w:t>
      </w:r>
      <w:r w:rsidR="00CF676B">
        <w:rPr>
          <w:szCs w:val="24"/>
        </w:rPr>
        <w:br/>
        <w:t xml:space="preserve">                    </w:t>
      </w:r>
      <w:r w:rsidR="00F922D0" w:rsidRPr="00312E98">
        <w:rPr>
          <w:szCs w:val="24"/>
        </w:rPr>
        <w:t xml:space="preserve">of the fee interest/leasehold interest. Mortgages, unlike deeds of trust, require a state </w:t>
      </w:r>
      <w:r w:rsidR="00CF676B">
        <w:rPr>
          <w:szCs w:val="24"/>
        </w:rPr>
        <w:br/>
        <w:t xml:space="preserve">                    </w:t>
      </w:r>
      <w:r w:rsidR="00F922D0" w:rsidRPr="00312E98">
        <w:rPr>
          <w:szCs w:val="24"/>
        </w:rPr>
        <w:t xml:space="preserve">foreclosure proceeding to liquidate the real estate. </w:t>
      </w:r>
    </w:p>
    <w:p w14:paraId="6DE9C95B" w14:textId="028CCF79" w:rsidR="00F922D0" w:rsidRPr="00312E98" w:rsidRDefault="009F0CCC" w:rsidP="00F922D0">
      <w:pPr>
        <w:rPr>
          <w:b/>
          <w:bCs/>
          <w:szCs w:val="24"/>
        </w:rPr>
      </w:pPr>
      <w:r>
        <w:rPr>
          <w:szCs w:val="24"/>
        </w:rPr>
        <w:t xml:space="preserve">                    </w:t>
      </w:r>
      <w:r w:rsidR="00F922D0" w:rsidRPr="00312E98">
        <w:rPr>
          <w:szCs w:val="24"/>
        </w:rPr>
        <w:t xml:space="preserve">On the other hand, deeds of trusts involved three parties, the beneficiary/lender, the </w:t>
      </w:r>
      <w:r>
        <w:rPr>
          <w:szCs w:val="24"/>
        </w:rPr>
        <w:br/>
        <w:t xml:space="preserve">                    </w:t>
      </w:r>
      <w:r w:rsidR="00F922D0" w:rsidRPr="00312E98">
        <w:rPr>
          <w:szCs w:val="24"/>
        </w:rPr>
        <w:t xml:space="preserve">trustee and the trustor/borrower. In this arrangement the trustee is an independent </w:t>
      </w:r>
      <w:r>
        <w:rPr>
          <w:szCs w:val="24"/>
        </w:rPr>
        <w:br/>
        <w:t xml:space="preserve">                    </w:t>
      </w:r>
      <w:r w:rsidR="00F922D0" w:rsidRPr="00312E98">
        <w:rPr>
          <w:szCs w:val="24"/>
        </w:rPr>
        <w:t xml:space="preserve">third party, usually a state/local entity, who holds the real estate interest for the </w:t>
      </w:r>
      <w:r>
        <w:rPr>
          <w:szCs w:val="24"/>
        </w:rPr>
        <w:br/>
        <w:t xml:space="preserve">                    </w:t>
      </w:r>
      <w:r w:rsidR="00F922D0" w:rsidRPr="00312E98">
        <w:rPr>
          <w:szCs w:val="24"/>
        </w:rPr>
        <w:t>beneficiary/lende</w:t>
      </w:r>
      <w:r>
        <w:rPr>
          <w:szCs w:val="24"/>
        </w:rPr>
        <w:t>r</w:t>
      </w:r>
      <w:r w:rsidR="00C407AE">
        <w:rPr>
          <w:szCs w:val="24"/>
        </w:rPr>
        <w:t xml:space="preserve">. </w:t>
      </w:r>
      <w:r w:rsidR="00F922D0" w:rsidRPr="00312E98">
        <w:rPr>
          <w:szCs w:val="24"/>
        </w:rPr>
        <w:t xml:space="preserve">If the trustor defaults, the trustee has the legal right to take full </w:t>
      </w:r>
      <w:r w:rsidR="00C407AE">
        <w:rPr>
          <w:szCs w:val="24"/>
        </w:rPr>
        <w:br/>
        <w:t xml:space="preserve">                    </w:t>
      </w:r>
      <w:r w:rsidR="00F922D0" w:rsidRPr="00312E98">
        <w:rPr>
          <w:szCs w:val="24"/>
        </w:rPr>
        <w:t xml:space="preserve">control of the property. The trustee’s job is to correct the default and repay the </w:t>
      </w:r>
      <w:r w:rsidR="00C407AE">
        <w:rPr>
          <w:szCs w:val="24"/>
        </w:rPr>
        <w:br/>
        <w:t xml:space="preserve">                    </w:t>
      </w:r>
      <w:r w:rsidR="00F922D0" w:rsidRPr="00312E98">
        <w:rPr>
          <w:szCs w:val="24"/>
        </w:rPr>
        <w:t xml:space="preserve">lender. To do this, the trustee may have to sell the property and in most deeds of </w:t>
      </w:r>
      <w:r w:rsidR="00C407AE">
        <w:rPr>
          <w:szCs w:val="24"/>
        </w:rPr>
        <w:br/>
        <w:t xml:space="preserve">                    </w:t>
      </w:r>
      <w:r w:rsidR="00F922D0" w:rsidRPr="00312E98">
        <w:rPr>
          <w:szCs w:val="24"/>
        </w:rPr>
        <w:t xml:space="preserve">trust, it has the power to do that without seeking formal court permission to </w:t>
      </w:r>
      <w:r w:rsidR="00C407AE">
        <w:rPr>
          <w:szCs w:val="24"/>
        </w:rPr>
        <w:br/>
        <w:t xml:space="preserve">                    </w:t>
      </w:r>
      <w:r w:rsidR="00F922D0" w:rsidRPr="00312E98">
        <w:rPr>
          <w:szCs w:val="24"/>
        </w:rPr>
        <w:t>foreclose on it.</w:t>
      </w:r>
      <w:r w:rsidR="00F922D0" w:rsidRPr="00312E98">
        <w:rPr>
          <w:rStyle w:val="FootnoteReference"/>
          <w:szCs w:val="24"/>
        </w:rPr>
        <w:footnoteReference w:id="1"/>
      </w:r>
      <w:r w:rsidR="00F922D0" w:rsidRPr="00312E98">
        <w:rPr>
          <w:szCs w:val="24"/>
        </w:rPr>
        <w:t xml:space="preserve"> This may expedite the liquidation as well as lower costs. It’s </w:t>
      </w:r>
      <w:r w:rsidR="006D42CA">
        <w:rPr>
          <w:szCs w:val="24"/>
        </w:rPr>
        <w:br/>
        <w:t xml:space="preserve">                    </w:t>
      </w:r>
      <w:r w:rsidR="00F922D0" w:rsidRPr="00312E98">
        <w:rPr>
          <w:szCs w:val="24"/>
        </w:rPr>
        <w:t>important to note, not all states recognize a deed of trust.</w:t>
      </w:r>
      <w:r w:rsidR="00F922D0" w:rsidRPr="00312E98">
        <w:rPr>
          <w:rStyle w:val="FootnoteReference"/>
          <w:szCs w:val="24"/>
        </w:rPr>
        <w:footnoteReference w:id="2"/>
      </w:r>
      <w:r w:rsidR="006D42CA">
        <w:rPr>
          <w:szCs w:val="24"/>
        </w:rPr>
        <w:br/>
      </w:r>
      <w:r w:rsidR="006D42CA">
        <w:rPr>
          <w:szCs w:val="24"/>
        </w:rPr>
        <w:br/>
      </w:r>
      <w:r w:rsidR="006D42CA">
        <w:rPr>
          <w:b/>
          <w:bCs/>
          <w:szCs w:val="24"/>
        </w:rPr>
        <w:t xml:space="preserve">        </w:t>
      </w:r>
      <w:r w:rsidR="00F922D0" w:rsidRPr="00312E98">
        <w:rPr>
          <w:b/>
          <w:bCs/>
          <w:szCs w:val="24"/>
        </w:rPr>
        <w:t xml:space="preserve">Fee </w:t>
      </w:r>
      <w:r w:rsidR="006D42CA">
        <w:rPr>
          <w:b/>
          <w:bCs/>
          <w:szCs w:val="24"/>
        </w:rPr>
        <w:t>S</w:t>
      </w:r>
      <w:r w:rsidR="00F922D0" w:rsidRPr="00312E98">
        <w:rPr>
          <w:b/>
          <w:bCs/>
          <w:szCs w:val="24"/>
        </w:rPr>
        <w:t xml:space="preserve">imple </w:t>
      </w:r>
      <w:r w:rsidR="006D42CA">
        <w:rPr>
          <w:b/>
          <w:bCs/>
          <w:szCs w:val="24"/>
        </w:rPr>
        <w:t>M</w:t>
      </w:r>
      <w:r w:rsidR="00F922D0" w:rsidRPr="00312E98">
        <w:rPr>
          <w:b/>
          <w:bCs/>
          <w:szCs w:val="24"/>
        </w:rPr>
        <w:t>ortgages/</w:t>
      </w:r>
      <w:r w:rsidR="006D42CA">
        <w:rPr>
          <w:b/>
          <w:bCs/>
          <w:szCs w:val="24"/>
        </w:rPr>
        <w:t>D</w:t>
      </w:r>
      <w:r w:rsidR="00F922D0" w:rsidRPr="00312E98">
        <w:rPr>
          <w:b/>
          <w:bCs/>
          <w:szCs w:val="24"/>
        </w:rPr>
        <w:t xml:space="preserve">eeds </w:t>
      </w:r>
      <w:proofErr w:type="gramStart"/>
      <w:r w:rsidR="006D42CA">
        <w:rPr>
          <w:b/>
          <w:bCs/>
          <w:szCs w:val="24"/>
        </w:rPr>
        <w:t>O</w:t>
      </w:r>
      <w:r w:rsidR="00F922D0" w:rsidRPr="00312E98">
        <w:rPr>
          <w:b/>
          <w:bCs/>
          <w:szCs w:val="24"/>
        </w:rPr>
        <w:t>f</w:t>
      </w:r>
      <w:proofErr w:type="gramEnd"/>
      <w:r w:rsidR="00F922D0" w:rsidRPr="00312E98">
        <w:rPr>
          <w:b/>
          <w:bCs/>
          <w:szCs w:val="24"/>
        </w:rPr>
        <w:t xml:space="preserve"> </w:t>
      </w:r>
      <w:r w:rsidR="006D42CA">
        <w:rPr>
          <w:b/>
          <w:bCs/>
          <w:szCs w:val="24"/>
        </w:rPr>
        <w:t>T</w:t>
      </w:r>
      <w:r w:rsidR="00F922D0" w:rsidRPr="00312E98">
        <w:rPr>
          <w:b/>
          <w:bCs/>
          <w:szCs w:val="24"/>
        </w:rPr>
        <w:t>rust</w:t>
      </w:r>
      <w:r w:rsidR="006D42CA">
        <w:rPr>
          <w:b/>
          <w:bCs/>
          <w:szCs w:val="24"/>
        </w:rPr>
        <w:br/>
      </w:r>
    </w:p>
    <w:p w14:paraId="3CDE9574" w14:textId="19AF8F1B" w:rsidR="00F922D0" w:rsidRDefault="007A2AE9" w:rsidP="00F922D0">
      <w:pPr>
        <w:rPr>
          <w:szCs w:val="24"/>
        </w:rPr>
      </w:pPr>
      <w:r>
        <w:rPr>
          <w:szCs w:val="24"/>
        </w:rPr>
        <w:t xml:space="preserve">                    </w:t>
      </w:r>
      <w:r w:rsidR="00F922D0" w:rsidRPr="00312E98">
        <w:rPr>
          <w:szCs w:val="24"/>
        </w:rPr>
        <w:t xml:space="preserve">A fee mortgage/deed of trust gives the owner full and irrevocable ownership of land, </w:t>
      </w:r>
      <w:r>
        <w:rPr>
          <w:szCs w:val="24"/>
        </w:rPr>
        <w:br/>
        <w:t xml:space="preserve">                    </w:t>
      </w:r>
      <w:r w:rsidR="00F922D0" w:rsidRPr="00312E98">
        <w:rPr>
          <w:szCs w:val="24"/>
        </w:rPr>
        <w:t>and any buildings on that land.</w:t>
      </w:r>
      <w:r w:rsidR="00F922D0" w:rsidRPr="00312E98">
        <w:rPr>
          <w:rStyle w:val="FootnoteReference"/>
          <w:szCs w:val="24"/>
        </w:rPr>
        <w:footnoteReference w:id="3"/>
      </w:r>
    </w:p>
    <w:p w14:paraId="4ECA690F" w14:textId="77777777" w:rsidR="007A2AE9" w:rsidRPr="00312E98" w:rsidRDefault="007A2AE9" w:rsidP="00F922D0">
      <w:pPr>
        <w:rPr>
          <w:szCs w:val="24"/>
        </w:rPr>
      </w:pPr>
    </w:p>
    <w:p w14:paraId="42186479" w14:textId="39EC6E74" w:rsidR="00F922D0" w:rsidRPr="00312E98" w:rsidRDefault="007A2AE9" w:rsidP="00F922D0">
      <w:pPr>
        <w:rPr>
          <w:b/>
          <w:bCs/>
          <w:szCs w:val="24"/>
        </w:rPr>
      </w:pPr>
      <w:r>
        <w:rPr>
          <w:b/>
          <w:bCs/>
          <w:szCs w:val="24"/>
        </w:rPr>
        <w:t xml:space="preserve">         </w:t>
      </w:r>
      <w:r w:rsidR="00F922D0" w:rsidRPr="00312E98">
        <w:rPr>
          <w:b/>
          <w:bCs/>
          <w:szCs w:val="24"/>
        </w:rPr>
        <w:t xml:space="preserve">Leasehold </w:t>
      </w:r>
      <w:r>
        <w:rPr>
          <w:b/>
          <w:bCs/>
          <w:szCs w:val="24"/>
        </w:rPr>
        <w:t>M</w:t>
      </w:r>
      <w:r w:rsidR="00F922D0" w:rsidRPr="00312E98">
        <w:rPr>
          <w:b/>
          <w:bCs/>
          <w:szCs w:val="24"/>
        </w:rPr>
        <w:t>ortgages/</w:t>
      </w:r>
      <w:r>
        <w:rPr>
          <w:b/>
          <w:bCs/>
          <w:szCs w:val="24"/>
        </w:rPr>
        <w:t>D</w:t>
      </w:r>
      <w:r w:rsidR="00F922D0" w:rsidRPr="00312E98">
        <w:rPr>
          <w:b/>
          <w:bCs/>
          <w:szCs w:val="24"/>
        </w:rPr>
        <w:t xml:space="preserve">eeds </w:t>
      </w:r>
      <w:proofErr w:type="gramStart"/>
      <w:r>
        <w:rPr>
          <w:b/>
          <w:bCs/>
          <w:szCs w:val="24"/>
        </w:rPr>
        <w:t>O</w:t>
      </w:r>
      <w:r w:rsidR="00F922D0" w:rsidRPr="00312E98">
        <w:rPr>
          <w:b/>
          <w:bCs/>
          <w:szCs w:val="24"/>
        </w:rPr>
        <w:t>f</w:t>
      </w:r>
      <w:proofErr w:type="gramEnd"/>
      <w:r w:rsidR="00F922D0" w:rsidRPr="00312E98">
        <w:rPr>
          <w:b/>
          <w:bCs/>
          <w:szCs w:val="24"/>
        </w:rPr>
        <w:t xml:space="preserve"> </w:t>
      </w:r>
      <w:r>
        <w:rPr>
          <w:b/>
          <w:bCs/>
          <w:szCs w:val="24"/>
        </w:rPr>
        <w:t>T</w:t>
      </w:r>
      <w:r w:rsidR="00F922D0" w:rsidRPr="00312E98">
        <w:rPr>
          <w:b/>
          <w:bCs/>
          <w:szCs w:val="24"/>
        </w:rPr>
        <w:t xml:space="preserve">rust </w:t>
      </w:r>
      <w:r>
        <w:rPr>
          <w:b/>
          <w:bCs/>
          <w:szCs w:val="24"/>
        </w:rPr>
        <w:br/>
      </w:r>
    </w:p>
    <w:p w14:paraId="3CD34DEC" w14:textId="2C6FD9B3" w:rsidR="00F922D0" w:rsidRPr="00312E98" w:rsidRDefault="007A2AE9" w:rsidP="00F922D0">
      <w:pPr>
        <w:rPr>
          <w:szCs w:val="24"/>
        </w:rPr>
      </w:pPr>
      <w:r>
        <w:rPr>
          <w:szCs w:val="24"/>
        </w:rPr>
        <w:t xml:space="preserve">                    </w:t>
      </w:r>
      <w:r w:rsidR="00F922D0" w:rsidRPr="00312E98">
        <w:rPr>
          <w:szCs w:val="24"/>
        </w:rPr>
        <w:t xml:space="preserve">A leasehold mortgage/deed of trust is a type of mortgage that is secured by a </w:t>
      </w:r>
      <w:r>
        <w:rPr>
          <w:szCs w:val="24"/>
        </w:rPr>
        <w:br/>
        <w:t xml:space="preserve">                    </w:t>
      </w:r>
      <w:r w:rsidR="00F922D0" w:rsidRPr="00312E98">
        <w:rPr>
          <w:szCs w:val="24"/>
        </w:rPr>
        <w:t xml:space="preserve">leasehold interest in a property. This means that the borrower owns the right to use </w:t>
      </w:r>
      <w:r w:rsidR="005B7DD8">
        <w:rPr>
          <w:szCs w:val="24"/>
        </w:rPr>
        <w:br/>
        <w:t xml:space="preserve">                    </w:t>
      </w:r>
      <w:r w:rsidR="00F922D0" w:rsidRPr="00312E98">
        <w:rPr>
          <w:szCs w:val="24"/>
        </w:rPr>
        <w:t xml:space="preserve">and occupy the property for a certain period of time but does not own the property </w:t>
      </w:r>
      <w:r w:rsidR="005B7DD8">
        <w:rPr>
          <w:szCs w:val="24"/>
        </w:rPr>
        <w:br/>
        <w:t xml:space="preserve">                    </w:t>
      </w:r>
      <w:r w:rsidR="00F922D0" w:rsidRPr="00312E98">
        <w:rPr>
          <w:szCs w:val="24"/>
        </w:rPr>
        <w:t>itself.</w:t>
      </w:r>
      <w:r w:rsidR="00F922D0" w:rsidRPr="00312E98">
        <w:rPr>
          <w:rStyle w:val="FootnoteReference"/>
          <w:szCs w:val="24"/>
        </w:rPr>
        <w:footnoteReference w:id="4"/>
      </w:r>
      <w:r w:rsidR="00F922D0" w:rsidRPr="00312E98">
        <w:rPr>
          <w:szCs w:val="24"/>
        </w:rPr>
        <w:t xml:space="preserve"> For this reason, leasehold mortgages are less secure than fee mortgages. </w:t>
      </w:r>
    </w:p>
    <w:p w14:paraId="11613A04" w14:textId="397EB378" w:rsidR="00F922D0" w:rsidRDefault="005B7DD8" w:rsidP="00F922D0">
      <w:pPr>
        <w:rPr>
          <w:szCs w:val="24"/>
        </w:rPr>
      </w:pPr>
      <w:r>
        <w:rPr>
          <w:szCs w:val="24"/>
        </w:rPr>
        <w:t xml:space="preserve">                    </w:t>
      </w:r>
      <w:r w:rsidR="00F922D0" w:rsidRPr="00312E98">
        <w:rPr>
          <w:szCs w:val="24"/>
        </w:rPr>
        <w:t xml:space="preserve">For both fee and leasehold mortgages, it’s imperative that the proper real estate </w:t>
      </w:r>
      <w:r>
        <w:rPr>
          <w:szCs w:val="24"/>
        </w:rPr>
        <w:br/>
        <w:t xml:space="preserve">                    </w:t>
      </w:r>
      <w:r w:rsidR="00F922D0" w:rsidRPr="00312E98">
        <w:rPr>
          <w:szCs w:val="24"/>
        </w:rPr>
        <w:t xml:space="preserve">records be perfected by public recording. Additionally, it’s important to check if </w:t>
      </w:r>
      <w:r>
        <w:rPr>
          <w:szCs w:val="24"/>
        </w:rPr>
        <w:br/>
        <w:t xml:space="preserve">                    </w:t>
      </w:r>
      <w:r w:rsidR="00F922D0" w:rsidRPr="00312E98">
        <w:rPr>
          <w:szCs w:val="24"/>
        </w:rPr>
        <w:t xml:space="preserve">state laws grant any other creditor priority over the mortgage and if there are any </w:t>
      </w:r>
      <w:r>
        <w:rPr>
          <w:szCs w:val="24"/>
        </w:rPr>
        <w:br/>
        <w:t xml:space="preserve">                    </w:t>
      </w:r>
      <w:r w:rsidR="00F922D0" w:rsidRPr="00312E98">
        <w:rPr>
          <w:szCs w:val="24"/>
        </w:rPr>
        <w:t>material title exceptions, defects or limitations regarding the real estate.</w:t>
      </w:r>
      <w:r w:rsidR="00F922D0" w:rsidRPr="00312E98">
        <w:rPr>
          <w:rStyle w:val="FootnoteReference"/>
          <w:szCs w:val="24"/>
        </w:rPr>
        <w:footnoteReference w:id="5"/>
      </w:r>
    </w:p>
    <w:p w14:paraId="6053925A" w14:textId="77777777" w:rsidR="00327DB2" w:rsidRDefault="00327DB2" w:rsidP="00F922D0">
      <w:pPr>
        <w:rPr>
          <w:szCs w:val="24"/>
        </w:rPr>
      </w:pPr>
    </w:p>
    <w:p w14:paraId="4029138C" w14:textId="3357D4D4" w:rsidR="00327DB2" w:rsidRPr="00907228" w:rsidRDefault="00327DB2" w:rsidP="00F922D0">
      <w:pPr>
        <w:rPr>
          <w:szCs w:val="24"/>
        </w:rPr>
      </w:pPr>
      <w:r>
        <w:rPr>
          <w:szCs w:val="24"/>
        </w:rPr>
        <w:t xml:space="preserve">                    INSERT</w:t>
      </w:r>
    </w:p>
    <w:p w14:paraId="4A35A6C8" w14:textId="3E5634C1" w:rsidR="00672381" w:rsidRPr="00763903" w:rsidRDefault="00672381" w:rsidP="0099253F">
      <w:pPr>
        <w:pStyle w:val="ListParagraph"/>
        <w:ind w:left="1170"/>
        <w:rPr>
          <w:b/>
          <w:bCs/>
          <w:u w:val="single"/>
        </w:rPr>
      </w:pPr>
    </w:p>
    <w:p w14:paraId="6CD871B7" w14:textId="40C5E174" w:rsidR="001477E7" w:rsidRPr="002022F4" w:rsidRDefault="00672381" w:rsidP="0066328C">
      <w:pPr>
        <w:pStyle w:val="ListParagraph"/>
        <w:numPr>
          <w:ilvl w:val="0"/>
          <w:numId w:val="62"/>
        </w:numPr>
        <w:rPr>
          <w:b/>
          <w:bCs/>
        </w:rPr>
      </w:pPr>
      <w:r w:rsidRPr="002022F4">
        <w:rPr>
          <w:b/>
          <w:bCs/>
        </w:rPr>
        <w:lastRenderedPageBreak/>
        <w:t xml:space="preserve">Common Law </w:t>
      </w:r>
      <w:r w:rsidR="00E870B6">
        <w:rPr>
          <w:b/>
          <w:bCs/>
        </w:rPr>
        <w:t>&amp; Possessory</w:t>
      </w:r>
      <w:r w:rsidR="00FB0B6D">
        <w:rPr>
          <w:b/>
          <w:bCs/>
        </w:rPr>
        <w:t xml:space="preserve"> </w:t>
      </w:r>
      <w:r w:rsidRPr="002022F4">
        <w:rPr>
          <w:b/>
          <w:bCs/>
        </w:rPr>
        <w:t>Pledges (</w:t>
      </w:r>
      <w:r w:rsidR="00FB0B6D">
        <w:rPr>
          <w:b/>
          <w:bCs/>
        </w:rPr>
        <w:t xml:space="preserve">State Law &amp; </w:t>
      </w:r>
      <w:r w:rsidR="001477E7" w:rsidRPr="002022F4">
        <w:rPr>
          <w:b/>
          <w:bCs/>
        </w:rPr>
        <w:t>Judicial Decisions)</w:t>
      </w:r>
      <w:r w:rsidR="009965D0" w:rsidRPr="002022F4">
        <w:rPr>
          <w:b/>
          <w:bCs/>
        </w:rPr>
        <w:t xml:space="preserve"> </w:t>
      </w:r>
      <w:r w:rsidR="009965D0" w:rsidRPr="002022F4">
        <w:rPr>
          <w:b/>
          <w:bCs/>
          <w:color w:val="FF0000"/>
        </w:rPr>
        <w:t>MEGAN</w:t>
      </w:r>
      <w:r w:rsidR="00EA7C25" w:rsidRPr="002022F4">
        <w:rPr>
          <w:b/>
          <w:bCs/>
          <w:color w:val="FF0000"/>
        </w:rPr>
        <w:br/>
      </w:r>
      <w:r w:rsidR="00EA7C25" w:rsidRPr="002022F4">
        <w:rPr>
          <w:b/>
          <w:bCs/>
        </w:rPr>
        <w:br/>
      </w:r>
    </w:p>
    <w:p w14:paraId="2D6B5FD7" w14:textId="6BB94E24" w:rsidR="00F01E5D" w:rsidRDefault="007F6692" w:rsidP="0066328C">
      <w:pPr>
        <w:pStyle w:val="00BodyText5"/>
        <w:numPr>
          <w:ilvl w:val="0"/>
          <w:numId w:val="62"/>
        </w:numPr>
        <w:jc w:val="both"/>
      </w:pPr>
      <w:r w:rsidRPr="00EC74EE">
        <w:rPr>
          <w:b/>
          <w:bCs/>
          <w:u w:val="single"/>
        </w:rPr>
        <w:t xml:space="preserve">Collateral Assignments </w:t>
      </w:r>
      <w:proofErr w:type="gramStart"/>
      <w:r w:rsidRPr="00EC74EE">
        <w:rPr>
          <w:b/>
          <w:bCs/>
          <w:u w:val="single"/>
        </w:rPr>
        <w:t>Of</w:t>
      </w:r>
      <w:proofErr w:type="gramEnd"/>
      <w:r w:rsidRPr="00EC74EE">
        <w:rPr>
          <w:b/>
          <w:bCs/>
          <w:u w:val="single"/>
        </w:rPr>
        <w:t xml:space="preserve"> Contracts To Bond Trustee</w:t>
      </w:r>
      <w:r w:rsidR="00621851" w:rsidRPr="00EC74EE">
        <w:rPr>
          <w:b/>
          <w:bCs/>
          <w:u w:val="single"/>
        </w:rPr>
        <w:t xml:space="preserve"> (State Contract Law)</w:t>
      </w:r>
      <w:r w:rsidR="009965D0">
        <w:rPr>
          <w:b/>
          <w:bCs/>
          <w:u w:val="single"/>
        </w:rPr>
        <w:t xml:space="preserve"> </w:t>
      </w:r>
      <w:r w:rsidR="009965D0" w:rsidRPr="000A38DA">
        <w:rPr>
          <w:b/>
          <w:bCs/>
          <w:color w:val="FF0000"/>
          <w:u w:val="single"/>
        </w:rPr>
        <w:t>MEGAN/DAN/KIM</w:t>
      </w:r>
      <w:r w:rsidR="002B0B9E">
        <w:rPr>
          <w:b/>
          <w:bCs/>
          <w:color w:val="FF0000"/>
          <w:u w:val="single"/>
        </w:rPr>
        <w:br/>
      </w:r>
      <w:r w:rsidR="00DE18A7">
        <w:rPr>
          <w:b/>
          <w:bCs/>
          <w:u w:val="single"/>
        </w:rPr>
        <w:br/>
      </w:r>
      <w:r w:rsidR="00F01E5D">
        <w:t>A collateral assignment of contracts is an agreement in which the borrower in a financing collaterally assigns all of its right, title and interest in the agreements the borrower is a party to over to the bond trustee (or collateral agent), as the secured party.  Collateral assignments should be entered into a closing along with the other bond documents.  Collateral assignments of contracts are recommended in financings that involve collateral packages that include project agreements, including agreements like construction contracts, development agreements, management agreements, feedstock and offtake agreements and any other agreements that are integral to the construction, completion, development, operation or revenue generation of the facility being financed.  This ensures that the bond trustee, on behalf of the bondholders, can step into the shoes of the borrower with respect to the assigned documents to the extent the borrower is in default.  Without a collateral assignment of contracts, the trustee has no ability to protect the collateral or revenue generation related to the project under the project agreements.  An alternative to a stand-alone collateral assignment agreement is to have the borrower assign all project agreements or borrower documents in the loan agreement.  In this instance, specific language should be included in the loan agreement that addresses this assignment, and also include these documents in the indenture definition of “trust estate” (through the issuer’s right, title and interest from the loan agreement assignment).  If there is another meaningful project party that enters into material project agreements, for example a developer entering into a construction contract, there should also be a collateral assignment of contracts from the developer to the bond trustee.</w:t>
      </w:r>
    </w:p>
    <w:p w14:paraId="0B48965F" w14:textId="55FE8919" w:rsidR="00F01E5D" w:rsidRDefault="002B0B9E" w:rsidP="00F01E5D">
      <w:pPr>
        <w:pStyle w:val="00BodyText5"/>
        <w:jc w:val="both"/>
      </w:pPr>
      <w:r>
        <w:t xml:space="preserve">        </w:t>
      </w:r>
      <w:r w:rsidR="00F01E5D">
        <w:t xml:space="preserve">Additionally, because the bond trustee does not have direct privity with a counterparty </w:t>
      </w:r>
      <w:r>
        <w:br/>
        <w:t xml:space="preserve">                    </w:t>
      </w:r>
      <w:r w:rsidR="00F01E5D">
        <w:t xml:space="preserve">in a project agreement, it is also a good idea to have the borrower, the bond trustee </w:t>
      </w:r>
      <w:r>
        <w:br/>
        <w:t xml:space="preserve">                    </w:t>
      </w:r>
      <w:r w:rsidR="00F01E5D">
        <w:t xml:space="preserve">and the project agreement counterparty enter into a direct agreement or consent </w:t>
      </w:r>
      <w:r>
        <w:br/>
        <w:t xml:space="preserve">                    </w:t>
      </w:r>
      <w:r w:rsidR="00F01E5D">
        <w:t xml:space="preserve">agreement related to the project agreement, pursuant to which the project agreement </w:t>
      </w:r>
      <w:r>
        <w:br/>
        <w:t xml:space="preserve">                    </w:t>
      </w:r>
      <w:r w:rsidR="00F01E5D">
        <w:t xml:space="preserve">counterparty consents to the assignment and agrees, among other things, to </w:t>
      </w:r>
      <w:r>
        <w:br/>
        <w:t xml:space="preserve">                    </w:t>
      </w:r>
      <w:r w:rsidR="00F01E5D">
        <w:t xml:space="preserve">(1) recognize the bond trustee as having an interest in, or being a beneficiary of, the </w:t>
      </w:r>
      <w:r>
        <w:br/>
        <w:t xml:space="preserve">                    </w:t>
      </w:r>
      <w:r w:rsidR="00F01E5D">
        <w:t xml:space="preserve">project agreement, (2) give the bond trustee notice and cure rights if there is an event </w:t>
      </w:r>
      <w:r>
        <w:br/>
        <w:t xml:space="preserve">                    </w:t>
      </w:r>
      <w:r w:rsidR="00F01E5D">
        <w:t xml:space="preserve">of default under the project agreement, (3) continue performing under the project </w:t>
      </w:r>
      <w:r>
        <w:br/>
        <w:t xml:space="preserve">                    </w:t>
      </w:r>
      <w:r w:rsidR="00F01E5D">
        <w:t xml:space="preserve">agreement even if the borrower is in default, (4) not amend, modify, cancel, terminate, </w:t>
      </w:r>
      <w:r>
        <w:br/>
        <w:t xml:space="preserve">                    </w:t>
      </w:r>
      <w:r w:rsidR="00F01E5D">
        <w:t xml:space="preserve">assign or transfer the project agreement without the prior written consent of the bond </w:t>
      </w:r>
      <w:r>
        <w:br/>
        <w:t xml:space="preserve">                    </w:t>
      </w:r>
      <w:r w:rsidR="00F01E5D">
        <w:t xml:space="preserve">trustee, (5) enter into a replacement agreement on the same terms as the project </w:t>
      </w:r>
      <w:r>
        <w:br/>
        <w:t xml:space="preserve">                    </w:t>
      </w:r>
      <w:r w:rsidR="00F01E5D">
        <w:t xml:space="preserve">agreement if the project agreement is terminated as a result of any borrower </w:t>
      </w:r>
      <w:r>
        <w:br/>
        <w:t xml:space="preserve">                    </w:t>
      </w:r>
      <w:r w:rsidR="00F01E5D">
        <w:t xml:space="preserve">bankruptcy or insolvency proceeding, and (6) pay all amounts due to the borrower </w:t>
      </w:r>
      <w:r>
        <w:br/>
        <w:t xml:space="preserve">                    </w:t>
      </w:r>
      <w:r w:rsidR="00F01E5D">
        <w:t xml:space="preserve">under the project agreement directly to the bond trustee (usually into the revenue fund </w:t>
      </w:r>
      <w:r>
        <w:br/>
        <w:t xml:space="preserve">                    </w:t>
      </w:r>
      <w:r w:rsidR="00F01E5D">
        <w:t xml:space="preserve">or other fund/account under the indenture).  </w:t>
      </w:r>
    </w:p>
    <w:p w14:paraId="519004CE" w14:textId="3FE43EED" w:rsidR="00F01E5D" w:rsidRDefault="00721F24" w:rsidP="00721F24">
      <w:pPr>
        <w:pStyle w:val="00BodyText5"/>
        <w:jc w:val="both"/>
      </w:pPr>
      <w:r>
        <w:t xml:space="preserve">        </w:t>
      </w:r>
      <w:r w:rsidR="00F01E5D">
        <w:t xml:space="preserve">Direct agreements are best practice to ensure the bond trustee has direct step in rights </w:t>
      </w:r>
      <w:r>
        <w:br/>
        <w:t xml:space="preserve">                    </w:t>
      </w:r>
      <w:r w:rsidR="00F01E5D">
        <w:t xml:space="preserve">to protect the collateral security for the bonds.  An example </w:t>
      </w:r>
      <w:proofErr w:type="gramStart"/>
      <w:r w:rsidR="00F01E5D">
        <w:t>form</w:t>
      </w:r>
      <w:proofErr w:type="gramEnd"/>
      <w:r w:rsidR="00F01E5D">
        <w:t xml:space="preserve"> of direct agreement </w:t>
      </w:r>
      <w:r>
        <w:br/>
        <w:t xml:space="preserve">                    </w:t>
      </w:r>
      <w:r w:rsidR="00F01E5D">
        <w:t xml:space="preserve">is attached hereto as Exhibit [__].  A direct agreement should be entered into for every </w:t>
      </w:r>
      <w:r>
        <w:br/>
      </w:r>
      <w:r>
        <w:lastRenderedPageBreak/>
        <w:t xml:space="preserve">                    </w:t>
      </w:r>
      <w:r w:rsidR="00F01E5D">
        <w:t xml:space="preserve">material project agreement.  For those material project agreements that are going to </w:t>
      </w:r>
      <w:r>
        <w:br/>
        <w:t xml:space="preserve">                    </w:t>
      </w:r>
      <w:r w:rsidR="00F01E5D">
        <w:t xml:space="preserve">be in place or entered into for closing, the corresponding direct agreement should also </w:t>
      </w:r>
      <w:r>
        <w:br/>
        <w:t xml:space="preserve">                    </w:t>
      </w:r>
      <w:r w:rsidR="00F01E5D">
        <w:t xml:space="preserve">be delivered at closing.  For any future material project agreements entered into by </w:t>
      </w:r>
      <w:r>
        <w:br/>
        <w:t xml:space="preserve">                    </w:t>
      </w:r>
      <w:r w:rsidR="00F01E5D">
        <w:t xml:space="preserve">the borrower or material project participant after closing, the loan agreement or </w:t>
      </w:r>
      <w:r>
        <w:br/>
        <w:t xml:space="preserve">                    </w:t>
      </w:r>
      <w:r w:rsidR="00F01E5D">
        <w:t xml:space="preserve">security agreement or relevant bond document should have a covenant requiring the </w:t>
      </w:r>
      <w:r>
        <w:br/>
        <w:t xml:space="preserve">                    </w:t>
      </w:r>
      <w:r w:rsidR="00F01E5D">
        <w:t xml:space="preserve">borrower or material project participant to cause the project agreement counterparty </w:t>
      </w:r>
      <w:r>
        <w:br/>
        <w:t xml:space="preserve">                    </w:t>
      </w:r>
      <w:r w:rsidR="00F01E5D">
        <w:t xml:space="preserve">to enter into a direct agreement upon execution of the future project agreement in form </w:t>
      </w:r>
      <w:r>
        <w:br/>
        <w:t xml:space="preserve">                    </w:t>
      </w:r>
      <w:r w:rsidR="00F01E5D">
        <w:t xml:space="preserve">and substance that is similar to the direct agreements entered into at closing.  In these </w:t>
      </w:r>
      <w:r>
        <w:br/>
        <w:t xml:space="preserve">                   </w:t>
      </w:r>
      <w:r w:rsidR="00F01E5D">
        <w:t xml:space="preserve">cases, the form of project agreement is attached to the loan agreement or security </w:t>
      </w:r>
      <w:r>
        <w:br/>
        <w:t xml:space="preserve">                   </w:t>
      </w:r>
      <w:r w:rsidR="00F01E5D">
        <w:t>agreement so that</w:t>
      </w:r>
      <w:r>
        <w:t xml:space="preserve"> </w:t>
      </w:r>
      <w:proofErr w:type="gramStart"/>
      <w:r w:rsidR="00F01E5D">
        <w:t>Often</w:t>
      </w:r>
      <w:proofErr w:type="gramEnd"/>
      <w:r w:rsidR="00F01E5D">
        <w:t xml:space="preserve">, because the direct agreements are negotiated with third party </w:t>
      </w:r>
      <w:r>
        <w:br/>
        <w:t xml:space="preserve">                   </w:t>
      </w:r>
      <w:r w:rsidR="00F01E5D">
        <w:t xml:space="preserve">project agreement counterparties, these can be long lead time items in a bond </w:t>
      </w:r>
      <w:r>
        <w:br/>
        <w:t xml:space="preserve">                   </w:t>
      </w:r>
      <w:r w:rsidR="00F01E5D">
        <w:t xml:space="preserve">financing.  It is prudent to start this process sooner rather than later in a bond financing </w:t>
      </w:r>
      <w:r>
        <w:br/>
        <w:t xml:space="preserve">                   </w:t>
      </w:r>
      <w:r w:rsidR="00F01E5D">
        <w:t xml:space="preserve">and ensure that project agreement counterparties are aware of the unique aspects of </w:t>
      </w:r>
      <w:r>
        <w:br/>
        <w:t xml:space="preserve">                   </w:t>
      </w:r>
      <w:r w:rsidR="00F01E5D">
        <w:t xml:space="preserve">bond financings – namely that bond trustees are not “lenders” in the traditional sense, </w:t>
      </w:r>
      <w:r>
        <w:br/>
        <w:t xml:space="preserve">                   </w:t>
      </w:r>
      <w:r w:rsidR="00F01E5D">
        <w:t xml:space="preserve">and are not able to quickly make decisions, as having to get bondholder consent or </w:t>
      </w:r>
      <w:r>
        <w:br/>
        <w:t xml:space="preserve">                   </w:t>
      </w:r>
      <w:r w:rsidR="00F01E5D">
        <w:t xml:space="preserve">direction for actions can sometimes take several days to weeks.  On this note, notice </w:t>
      </w:r>
      <w:r>
        <w:br/>
        <w:t xml:space="preserve">                   </w:t>
      </w:r>
      <w:r w:rsidR="00F01E5D">
        <w:t xml:space="preserve">and cure periods in the direct agreements should ideally be 90 days for a monetary </w:t>
      </w:r>
      <w:r>
        <w:br/>
        <w:t xml:space="preserve">                   </w:t>
      </w:r>
      <w:r w:rsidR="00F01E5D">
        <w:t xml:space="preserve">cure and 150 days for any other cure to ensure time for bondholder outreach and </w:t>
      </w:r>
      <w:r>
        <w:br/>
        <w:t xml:space="preserve">                   </w:t>
      </w:r>
      <w:r w:rsidR="00F01E5D">
        <w:t>consent and direction to the bond trustee.  See Exhibit [__].</w:t>
      </w:r>
    </w:p>
    <w:p w14:paraId="18C12D4E" w14:textId="60CEDC7C" w:rsidR="00E06492" w:rsidRPr="00D31A50" w:rsidRDefault="00D31A50" w:rsidP="00D31A50">
      <w:pPr>
        <w:spacing w:after="160" w:line="259" w:lineRule="auto"/>
        <w:rPr>
          <w:rFonts w:cs="Times New Roman"/>
          <w:b/>
          <w:bCs/>
          <w:kern w:val="2"/>
          <w:szCs w:val="24"/>
          <w14:ligatures w14:val="standardContextual"/>
        </w:rPr>
      </w:pPr>
      <w:r w:rsidRPr="00C2398B">
        <w:rPr>
          <w:rFonts w:cs="Times New Roman"/>
          <w:b/>
          <w:kern w:val="2"/>
          <w:szCs w:val="24"/>
          <w:u w:val="thick"/>
          <w14:ligatures w14:val="standardContextual"/>
        </w:rPr>
        <w:t>CO</w:t>
      </w:r>
      <w:r w:rsidR="008F0B0A" w:rsidRPr="00C2398B">
        <w:rPr>
          <w:rFonts w:cs="Times New Roman"/>
          <w:b/>
          <w:kern w:val="2"/>
          <w:szCs w:val="24"/>
          <w:u w:val="thick"/>
          <w14:ligatures w14:val="standardContextual"/>
        </w:rPr>
        <w:t xml:space="preserve">MMON PROBLEMS </w:t>
      </w:r>
      <w:r w:rsidR="00B67A36" w:rsidRPr="00C2398B">
        <w:rPr>
          <w:rFonts w:cs="Times New Roman"/>
          <w:b/>
          <w:kern w:val="2"/>
          <w:szCs w:val="24"/>
          <w:u w:val="thick"/>
          <w14:ligatures w14:val="standardContextual"/>
        </w:rPr>
        <w:t xml:space="preserve">&amp; </w:t>
      </w:r>
      <w:r w:rsidR="00E247DE" w:rsidRPr="00C2398B">
        <w:rPr>
          <w:rFonts w:cs="Times New Roman"/>
          <w:b/>
          <w:kern w:val="2"/>
          <w:szCs w:val="24"/>
          <w:u w:val="thick"/>
          <w14:ligatures w14:val="standardContextual"/>
        </w:rPr>
        <w:t>ISSUE</w:t>
      </w:r>
      <w:r w:rsidR="00B67A36" w:rsidRPr="00C2398B">
        <w:rPr>
          <w:rFonts w:cs="Times New Roman"/>
          <w:b/>
          <w:kern w:val="2"/>
          <w:szCs w:val="24"/>
          <w:u w:val="thick"/>
          <w14:ligatures w14:val="standardContextual"/>
        </w:rPr>
        <w:t xml:space="preserve">S </w:t>
      </w:r>
      <w:r w:rsidR="008F0B0A" w:rsidRPr="00C2398B">
        <w:rPr>
          <w:rFonts w:cs="Times New Roman"/>
          <w:b/>
          <w:kern w:val="2"/>
          <w:szCs w:val="24"/>
          <w:u w:val="thick"/>
          <w14:ligatures w14:val="standardContextual"/>
        </w:rPr>
        <w:t>WITH MFT COLLATERAL PACKAGES—MUNI BONDHOLDERS BEWARE!</w:t>
      </w:r>
      <w:r w:rsidR="00B668AD" w:rsidRPr="00C2398B">
        <w:rPr>
          <w:rFonts w:cs="Times New Roman"/>
          <w:b/>
          <w:bCs/>
          <w:kern w:val="2"/>
          <w:szCs w:val="24"/>
          <w:u w:val="thick"/>
          <w14:ligatures w14:val="standardContextual"/>
        </w:rPr>
        <w:br/>
      </w:r>
      <w:r w:rsidR="00B668AD" w:rsidRPr="00540ED2">
        <w:rPr>
          <w:rFonts w:cs="Times New Roman"/>
          <w:kern w:val="2"/>
          <w:szCs w:val="24"/>
          <w14:ligatures w14:val="standardContextual"/>
        </w:rPr>
        <w:br/>
      </w:r>
      <w:r w:rsidR="00540ED2">
        <w:rPr>
          <w:rFonts w:cs="Times New Roman"/>
          <w:kern w:val="2"/>
          <w:szCs w:val="24"/>
          <w14:ligatures w14:val="standardContextual"/>
        </w:rPr>
        <w:t xml:space="preserve">       A. </w:t>
      </w:r>
      <w:r w:rsidR="007E1278" w:rsidRPr="00D31A50">
        <w:rPr>
          <w:rFonts w:cs="Times New Roman"/>
          <w:b/>
          <w:bCs/>
          <w:kern w:val="2"/>
          <w:szCs w:val="24"/>
          <w14:ligatures w14:val="standardContextual"/>
        </w:rPr>
        <w:t xml:space="preserve">COMMON </w:t>
      </w:r>
      <w:r w:rsidR="007A35DB" w:rsidRPr="00D31A50">
        <w:rPr>
          <w:rFonts w:cs="Times New Roman"/>
          <w:b/>
          <w:bCs/>
          <w:kern w:val="2"/>
          <w:szCs w:val="24"/>
          <w14:ligatures w14:val="standardContextual"/>
        </w:rPr>
        <w:t xml:space="preserve">CLOSING </w:t>
      </w:r>
      <w:r w:rsidR="00D12ACA" w:rsidRPr="00D31A50">
        <w:rPr>
          <w:rFonts w:cs="Times New Roman"/>
          <w:b/>
          <w:bCs/>
          <w:kern w:val="2"/>
          <w:szCs w:val="24"/>
          <w14:ligatures w14:val="standardContextual"/>
        </w:rPr>
        <w:t xml:space="preserve">&amp; POST-CLOSING </w:t>
      </w:r>
      <w:r w:rsidR="0051118D" w:rsidRPr="00D31A50">
        <w:rPr>
          <w:rFonts w:cs="Times New Roman"/>
          <w:b/>
          <w:bCs/>
          <w:kern w:val="2"/>
          <w:szCs w:val="24"/>
          <w14:ligatures w14:val="standardContextual"/>
        </w:rPr>
        <w:t>RISKS IN</w:t>
      </w:r>
      <w:r w:rsidR="00A751B8" w:rsidRPr="00D31A50">
        <w:rPr>
          <w:rFonts w:cs="Times New Roman"/>
          <w:b/>
          <w:bCs/>
          <w:kern w:val="2"/>
          <w:szCs w:val="24"/>
          <w14:ligatures w14:val="standardContextual"/>
        </w:rPr>
        <w:t>VOLVING MCPs:</w:t>
      </w:r>
      <w:r w:rsidR="0051118D" w:rsidRPr="00D31A50">
        <w:rPr>
          <w:rFonts w:cs="Times New Roman"/>
          <w:b/>
          <w:bCs/>
          <w:kern w:val="2"/>
          <w:szCs w:val="24"/>
          <w14:ligatures w14:val="standardContextual"/>
        </w:rPr>
        <w:t xml:space="preserve"> </w:t>
      </w:r>
    </w:p>
    <w:p w14:paraId="72ECF5D1" w14:textId="69F0A433" w:rsidR="008F0B0A" w:rsidRPr="00320BDA" w:rsidRDefault="008F0B0A" w:rsidP="008F0B0A">
      <w:pPr>
        <w:spacing w:after="160" w:line="259" w:lineRule="auto"/>
        <w:ind w:left="720"/>
        <w:contextualSpacing/>
        <w:rPr>
          <w:rFonts w:cs="Times New Roman"/>
          <w:kern w:val="2"/>
          <w:szCs w:val="24"/>
          <w14:ligatures w14:val="standardContextual"/>
        </w:rPr>
      </w:pPr>
      <w:r w:rsidRPr="00320BDA">
        <w:rPr>
          <w:rFonts w:cs="Times New Roman"/>
          <w:kern w:val="2"/>
          <w:szCs w:val="24"/>
          <w14:ligatures w14:val="standardContextual"/>
        </w:rPr>
        <w:t>The following list identifies common “</w:t>
      </w:r>
      <w:r w:rsidR="00B668AD">
        <w:rPr>
          <w:rFonts w:cs="Times New Roman"/>
          <w:kern w:val="2"/>
          <w:szCs w:val="24"/>
          <w14:ligatures w14:val="standardContextual"/>
        </w:rPr>
        <w:t xml:space="preserve">closing </w:t>
      </w:r>
      <w:r w:rsidRPr="00320BDA">
        <w:rPr>
          <w:rFonts w:cs="Times New Roman"/>
          <w:kern w:val="2"/>
          <w:szCs w:val="24"/>
          <w14:ligatures w14:val="standardContextual"/>
        </w:rPr>
        <w:t>risk</w:t>
      </w:r>
      <w:r w:rsidR="00B668AD">
        <w:rPr>
          <w:rFonts w:cs="Times New Roman"/>
          <w:kern w:val="2"/>
          <w:szCs w:val="24"/>
          <w14:ligatures w14:val="standardContextual"/>
        </w:rPr>
        <w:t>s</w:t>
      </w:r>
      <w:r w:rsidRPr="00320BDA">
        <w:rPr>
          <w:rFonts w:cs="Times New Roman"/>
          <w:kern w:val="2"/>
          <w:szCs w:val="24"/>
          <w14:ligatures w14:val="standardContextual"/>
        </w:rPr>
        <w:t xml:space="preserve">” with various </w:t>
      </w:r>
      <w:r w:rsidR="0034769B">
        <w:rPr>
          <w:rFonts w:cs="Times New Roman"/>
          <w:kern w:val="2"/>
          <w:szCs w:val="24"/>
          <w14:ligatures w14:val="standardContextual"/>
        </w:rPr>
        <w:t xml:space="preserve">MCPs </w:t>
      </w:r>
      <w:r w:rsidRPr="00320BDA">
        <w:rPr>
          <w:rFonts w:cs="Times New Roman"/>
          <w:kern w:val="2"/>
          <w:szCs w:val="24"/>
          <w14:ligatures w14:val="standardContextual"/>
        </w:rPr>
        <w:t>before and after closing of the MFT. These risks arise partly from lack of coordination of each party’s responsibilities to finalize MFT closing documents (e.g., file UCC Financing Statements; record mortgages in proper recording office; and reconcile/remove any real estate title exceptions.), but also from a failure to properly classify and understand the Collateral Package.</w:t>
      </w:r>
      <w:r w:rsidRPr="00320BDA">
        <w:rPr>
          <w:rFonts w:cs="Times New Roman"/>
          <w:kern w:val="2"/>
          <w:szCs w:val="24"/>
          <w14:ligatures w14:val="standardContextual"/>
        </w:rPr>
        <w:br/>
      </w:r>
      <w:r w:rsidRPr="00320BDA">
        <w:rPr>
          <w:rFonts w:cs="Times New Roman"/>
          <w:kern w:val="2"/>
          <w:szCs w:val="24"/>
          <w14:ligatures w14:val="standardContextual"/>
        </w:rPr>
        <w:br/>
      </w:r>
      <w:r w:rsidR="00213299">
        <w:rPr>
          <w:rFonts w:cs="Times New Roman"/>
          <w:kern w:val="2"/>
          <w:szCs w:val="24"/>
          <w14:ligatures w14:val="standardContextual"/>
        </w:rPr>
        <w:t>1</w:t>
      </w:r>
      <w:r w:rsidRPr="00320BDA">
        <w:rPr>
          <w:rFonts w:cs="Times New Roman"/>
          <w:kern w:val="2"/>
          <w:szCs w:val="24"/>
          <w14:ligatures w14:val="standardContextual"/>
        </w:rPr>
        <w:t xml:space="preserve">) Failure </w:t>
      </w:r>
      <w:proofErr w:type="gramStart"/>
      <w:r w:rsidRPr="00320BDA">
        <w:rPr>
          <w:rFonts w:cs="Times New Roman"/>
          <w:kern w:val="2"/>
          <w:szCs w:val="24"/>
          <w14:ligatures w14:val="standardContextual"/>
        </w:rPr>
        <w:t>To</w:t>
      </w:r>
      <w:proofErr w:type="gramEnd"/>
      <w:r w:rsidRPr="00320BDA">
        <w:rPr>
          <w:rFonts w:cs="Times New Roman"/>
          <w:kern w:val="2"/>
          <w:szCs w:val="24"/>
          <w14:ligatures w14:val="standardContextual"/>
        </w:rPr>
        <w:t xml:space="preserve"> File UCC Financing Statements In The Correct Places/Obligors (Post-</w:t>
      </w:r>
      <w:r w:rsidR="00BC708B">
        <w:rPr>
          <w:rFonts w:cs="Times New Roman"/>
          <w:kern w:val="2"/>
          <w:szCs w:val="24"/>
          <w14:ligatures w14:val="standardContextual"/>
        </w:rPr>
        <w:br/>
        <w:t xml:space="preserve">     </w:t>
      </w:r>
      <w:r w:rsidRPr="00320BDA">
        <w:rPr>
          <w:rFonts w:cs="Times New Roman"/>
          <w:kern w:val="2"/>
          <w:szCs w:val="24"/>
          <w14:ligatures w14:val="standardContextual"/>
        </w:rPr>
        <w:t>Closing Issue);</w:t>
      </w:r>
    </w:p>
    <w:p w14:paraId="079F3576" w14:textId="4FD832A9" w:rsidR="008F0B0A" w:rsidRPr="00320BDA" w:rsidRDefault="00180F8A" w:rsidP="008F0B0A">
      <w:pPr>
        <w:spacing w:after="160" w:line="259" w:lineRule="auto"/>
        <w:ind w:left="720"/>
        <w:contextualSpacing/>
        <w:rPr>
          <w:rFonts w:cs="Times New Roman"/>
          <w:kern w:val="2"/>
          <w:szCs w:val="24"/>
          <w14:ligatures w14:val="standardContextual"/>
        </w:rPr>
      </w:pPr>
      <w:r>
        <w:rPr>
          <w:rFonts w:cs="Times New Roman"/>
          <w:kern w:val="2"/>
          <w:szCs w:val="24"/>
          <w14:ligatures w14:val="standardContextual"/>
        </w:rPr>
        <w:t>2</w:t>
      </w:r>
      <w:r w:rsidR="008F0B0A" w:rsidRPr="00320BDA">
        <w:rPr>
          <w:rFonts w:cs="Times New Roman"/>
          <w:kern w:val="2"/>
          <w:szCs w:val="24"/>
          <w14:ligatures w14:val="standardContextual"/>
        </w:rPr>
        <w:t>) Failure To Have Title Insurance Commitment Exceptions Reviewed &amp; Removed (Pre-</w:t>
      </w:r>
      <w:r w:rsidR="00BC708B">
        <w:rPr>
          <w:rFonts w:cs="Times New Roman"/>
          <w:kern w:val="2"/>
          <w:szCs w:val="24"/>
          <w14:ligatures w14:val="standardContextual"/>
        </w:rPr>
        <w:br/>
        <w:t xml:space="preserve">    </w:t>
      </w:r>
      <w:r w:rsidR="008F0B0A" w:rsidRPr="00320BDA">
        <w:rPr>
          <w:rFonts w:cs="Times New Roman"/>
          <w:kern w:val="2"/>
          <w:szCs w:val="24"/>
          <w14:ligatures w14:val="standardContextual"/>
        </w:rPr>
        <w:t>Closing</w:t>
      </w:r>
      <w:r w:rsidR="00BC708B">
        <w:rPr>
          <w:rFonts w:cs="Times New Roman"/>
          <w:kern w:val="2"/>
          <w:szCs w:val="24"/>
          <w14:ligatures w14:val="standardContextual"/>
        </w:rPr>
        <w:t xml:space="preserve"> </w:t>
      </w:r>
      <w:r w:rsidR="008F0B0A" w:rsidRPr="00320BDA">
        <w:rPr>
          <w:rFonts w:cs="Times New Roman"/>
          <w:kern w:val="2"/>
          <w:szCs w:val="24"/>
          <w14:ligatures w14:val="standardContextual"/>
        </w:rPr>
        <w:t xml:space="preserve">Issue). Needed to Verify </w:t>
      </w:r>
      <w:proofErr w:type="gramStart"/>
      <w:r w:rsidR="008F0B0A" w:rsidRPr="00320BDA">
        <w:rPr>
          <w:rFonts w:cs="Times New Roman"/>
          <w:kern w:val="2"/>
          <w:szCs w:val="24"/>
          <w14:ligatures w14:val="standardContextual"/>
        </w:rPr>
        <w:t>The</w:t>
      </w:r>
      <w:proofErr w:type="gramEnd"/>
      <w:r w:rsidR="008F0B0A" w:rsidRPr="00320BDA">
        <w:rPr>
          <w:rFonts w:cs="Times New Roman"/>
          <w:kern w:val="2"/>
          <w:szCs w:val="24"/>
          <w14:ligatures w14:val="standardContextual"/>
        </w:rPr>
        <w:t xml:space="preserve"> Required Priority Of The Mortgage/Deed Of </w:t>
      </w:r>
      <w:r w:rsidR="00BC708B">
        <w:rPr>
          <w:rFonts w:cs="Times New Roman"/>
          <w:kern w:val="2"/>
          <w:szCs w:val="24"/>
          <w14:ligatures w14:val="standardContextual"/>
        </w:rPr>
        <w:br/>
        <w:t xml:space="preserve">    </w:t>
      </w:r>
      <w:r w:rsidR="008F0B0A" w:rsidRPr="00320BDA">
        <w:rPr>
          <w:rFonts w:cs="Times New Roman"/>
          <w:kern w:val="2"/>
          <w:szCs w:val="24"/>
          <w14:ligatures w14:val="standardContextual"/>
        </w:rPr>
        <w:t>Trust;</w:t>
      </w:r>
    </w:p>
    <w:p w14:paraId="01D29DF4" w14:textId="341C658C" w:rsidR="008F0B0A" w:rsidRPr="00320BDA" w:rsidRDefault="00180F8A" w:rsidP="008F0B0A">
      <w:pPr>
        <w:spacing w:after="160" w:line="259" w:lineRule="auto"/>
        <w:ind w:left="720"/>
        <w:contextualSpacing/>
        <w:rPr>
          <w:rFonts w:cs="Times New Roman"/>
          <w:kern w:val="2"/>
          <w:szCs w:val="24"/>
          <w14:ligatures w14:val="standardContextual"/>
        </w:rPr>
      </w:pPr>
      <w:r>
        <w:rPr>
          <w:rFonts w:cs="Times New Roman"/>
          <w:kern w:val="2"/>
          <w:szCs w:val="24"/>
          <w14:ligatures w14:val="standardContextual"/>
        </w:rPr>
        <w:t>3</w:t>
      </w:r>
      <w:r w:rsidR="008F0B0A" w:rsidRPr="00320BDA">
        <w:rPr>
          <w:rFonts w:cs="Times New Roman"/>
          <w:kern w:val="2"/>
          <w:szCs w:val="24"/>
          <w14:ligatures w14:val="standardContextual"/>
        </w:rPr>
        <w:t xml:space="preserve">) Failure To Undertake UCC &amp; Lien Searches </w:t>
      </w:r>
      <w:proofErr w:type="gramStart"/>
      <w:r w:rsidR="008F0B0A" w:rsidRPr="00320BDA">
        <w:rPr>
          <w:rFonts w:cs="Times New Roman"/>
          <w:kern w:val="2"/>
          <w:szCs w:val="24"/>
          <w14:ligatures w14:val="standardContextual"/>
        </w:rPr>
        <w:t>On</w:t>
      </w:r>
      <w:proofErr w:type="gramEnd"/>
      <w:r w:rsidR="008F0B0A" w:rsidRPr="00320BDA">
        <w:rPr>
          <w:rFonts w:cs="Times New Roman"/>
          <w:kern w:val="2"/>
          <w:szCs w:val="24"/>
          <w14:ligatures w14:val="standardContextual"/>
        </w:rPr>
        <w:t xml:space="preserve"> Each Obligor (Pre &amp; Post-Closing </w:t>
      </w:r>
      <w:r w:rsidR="00BC708B">
        <w:rPr>
          <w:rFonts w:cs="Times New Roman"/>
          <w:kern w:val="2"/>
          <w:szCs w:val="24"/>
          <w14:ligatures w14:val="standardContextual"/>
        </w:rPr>
        <w:br/>
        <w:t xml:space="preserve">     </w:t>
      </w:r>
      <w:r w:rsidR="008F0B0A" w:rsidRPr="00320BDA">
        <w:rPr>
          <w:rFonts w:cs="Times New Roman"/>
          <w:kern w:val="2"/>
          <w:szCs w:val="24"/>
          <w14:ligatures w14:val="standardContextual"/>
        </w:rPr>
        <w:t>Issues);</w:t>
      </w:r>
    </w:p>
    <w:p w14:paraId="080241F5" w14:textId="34C9581A" w:rsidR="008F0B0A" w:rsidRPr="00320BDA" w:rsidRDefault="00180F8A" w:rsidP="008F0B0A">
      <w:pPr>
        <w:spacing w:after="160" w:line="259" w:lineRule="auto"/>
        <w:ind w:left="720"/>
        <w:contextualSpacing/>
        <w:rPr>
          <w:rFonts w:cs="Times New Roman"/>
          <w:kern w:val="2"/>
          <w:szCs w:val="24"/>
          <w14:ligatures w14:val="standardContextual"/>
        </w:rPr>
      </w:pPr>
      <w:r>
        <w:rPr>
          <w:rFonts w:cs="Times New Roman"/>
          <w:kern w:val="2"/>
          <w:szCs w:val="24"/>
          <w14:ligatures w14:val="standardContextual"/>
        </w:rPr>
        <w:t>4)</w:t>
      </w:r>
      <w:r w:rsidR="008F0B0A" w:rsidRPr="00320BDA">
        <w:rPr>
          <w:rFonts w:cs="Times New Roman"/>
          <w:kern w:val="2"/>
          <w:szCs w:val="24"/>
          <w14:ligatures w14:val="standardContextual"/>
        </w:rPr>
        <w:t xml:space="preserve"> Errors In Legal Descriptions </w:t>
      </w:r>
      <w:proofErr w:type="gramStart"/>
      <w:r w:rsidR="008F0B0A" w:rsidRPr="00320BDA">
        <w:rPr>
          <w:rFonts w:cs="Times New Roman"/>
          <w:kern w:val="2"/>
          <w:szCs w:val="24"/>
          <w14:ligatures w14:val="standardContextual"/>
        </w:rPr>
        <w:t>Of</w:t>
      </w:r>
      <w:proofErr w:type="gramEnd"/>
      <w:r w:rsidR="008F0B0A" w:rsidRPr="00320BDA">
        <w:rPr>
          <w:rFonts w:cs="Times New Roman"/>
          <w:kern w:val="2"/>
          <w:szCs w:val="24"/>
          <w14:ligatures w14:val="standardContextual"/>
        </w:rPr>
        <w:t xml:space="preserve"> Real Estate (Requires A Survey) (Pre-Closing Issue);</w:t>
      </w:r>
    </w:p>
    <w:p w14:paraId="42F8B4B7" w14:textId="2B45A681" w:rsidR="008F0B0A" w:rsidRPr="00320BDA" w:rsidRDefault="00180F8A" w:rsidP="00D931FF">
      <w:pPr>
        <w:spacing w:after="160" w:line="259" w:lineRule="auto"/>
        <w:ind w:left="720"/>
        <w:contextualSpacing/>
        <w:rPr>
          <w:rFonts w:cs="Times New Roman"/>
          <w:kern w:val="2"/>
          <w:szCs w:val="24"/>
          <w14:ligatures w14:val="standardContextual"/>
        </w:rPr>
      </w:pPr>
      <w:r>
        <w:rPr>
          <w:rFonts w:cs="Times New Roman"/>
          <w:kern w:val="2"/>
          <w:szCs w:val="24"/>
          <w14:ligatures w14:val="standardContextual"/>
        </w:rPr>
        <w:t>5</w:t>
      </w:r>
      <w:r w:rsidR="008F0B0A" w:rsidRPr="00320BDA">
        <w:rPr>
          <w:rFonts w:cs="Times New Roman"/>
          <w:kern w:val="2"/>
          <w:szCs w:val="24"/>
          <w14:ligatures w14:val="standardContextual"/>
        </w:rPr>
        <w:t xml:space="preserve">) Failure To Use UCC-9 Recognized Security Interest Collateral Descriptions </w:t>
      </w:r>
      <w:r w:rsidR="00BC708B">
        <w:rPr>
          <w:rFonts w:cs="Times New Roman"/>
          <w:kern w:val="2"/>
          <w:szCs w:val="24"/>
          <w14:ligatures w14:val="standardContextual"/>
        </w:rPr>
        <w:br/>
        <w:t xml:space="preserve"> </w:t>
      </w:r>
      <w:proofErr w:type="gramStart"/>
      <w:r w:rsidR="00BC708B">
        <w:rPr>
          <w:rFonts w:cs="Times New Roman"/>
          <w:kern w:val="2"/>
          <w:szCs w:val="24"/>
          <w14:ligatures w14:val="standardContextual"/>
        </w:rPr>
        <w:t xml:space="preserve">   </w:t>
      </w:r>
      <w:r w:rsidR="008F0B0A" w:rsidRPr="00320BDA">
        <w:rPr>
          <w:rFonts w:cs="Times New Roman"/>
          <w:kern w:val="2"/>
          <w:szCs w:val="24"/>
          <w14:ligatures w14:val="standardContextual"/>
        </w:rPr>
        <w:t>(</w:t>
      </w:r>
      <w:proofErr w:type="gramEnd"/>
      <w:r w:rsidR="008F0B0A" w:rsidRPr="00320BDA">
        <w:rPr>
          <w:rFonts w:cs="Times New Roman"/>
          <w:kern w:val="2"/>
          <w:szCs w:val="24"/>
          <w14:ligatures w14:val="standardContextual"/>
        </w:rPr>
        <w:t>Accounts, Cash,</w:t>
      </w:r>
      <w:r w:rsidR="00D931FF">
        <w:rPr>
          <w:rFonts w:cs="Times New Roman"/>
          <w:kern w:val="2"/>
          <w:szCs w:val="24"/>
          <w14:ligatures w14:val="standardContextual"/>
        </w:rPr>
        <w:t xml:space="preserve"> </w:t>
      </w:r>
      <w:r w:rsidR="008F0B0A" w:rsidRPr="00320BDA">
        <w:rPr>
          <w:rFonts w:cs="Times New Roman"/>
          <w:kern w:val="2"/>
          <w:szCs w:val="24"/>
          <w14:ligatures w14:val="standardContextual"/>
        </w:rPr>
        <w:t xml:space="preserve">Intangibles, Proceeds, </w:t>
      </w:r>
      <w:proofErr w:type="spellStart"/>
      <w:r w:rsidR="008F0B0A" w:rsidRPr="00320BDA">
        <w:rPr>
          <w:rFonts w:cs="Times New Roman"/>
          <w:kern w:val="2"/>
          <w:szCs w:val="24"/>
          <w14:ligatures w14:val="standardContextual"/>
        </w:rPr>
        <w:t>etc</w:t>
      </w:r>
      <w:proofErr w:type="spellEnd"/>
      <w:r w:rsidR="008F0B0A" w:rsidRPr="00320BDA">
        <w:rPr>
          <w:rFonts w:cs="Times New Roman"/>
          <w:kern w:val="2"/>
          <w:szCs w:val="24"/>
          <w14:ligatures w14:val="standardContextual"/>
        </w:rPr>
        <w:t xml:space="preserve">) In The Indenture And In Any Security </w:t>
      </w:r>
      <w:r w:rsidR="00D931FF">
        <w:rPr>
          <w:rFonts w:cs="Times New Roman"/>
          <w:kern w:val="2"/>
          <w:szCs w:val="24"/>
          <w14:ligatures w14:val="standardContextual"/>
        </w:rPr>
        <w:br/>
        <w:t xml:space="preserve">    </w:t>
      </w:r>
      <w:r w:rsidR="008F0B0A" w:rsidRPr="00320BDA">
        <w:rPr>
          <w:rFonts w:cs="Times New Roman"/>
          <w:kern w:val="2"/>
          <w:szCs w:val="24"/>
          <w14:ligatures w14:val="standardContextual"/>
        </w:rPr>
        <w:t>Agreement (Pre-Closing Issue);</w:t>
      </w:r>
    </w:p>
    <w:p w14:paraId="5A399B42" w14:textId="2A115A29" w:rsidR="008F0B0A" w:rsidRPr="00320BDA" w:rsidRDefault="00180F8A" w:rsidP="008F0B0A">
      <w:pPr>
        <w:spacing w:after="160" w:line="259" w:lineRule="auto"/>
        <w:ind w:left="720"/>
        <w:contextualSpacing/>
        <w:rPr>
          <w:rFonts w:cs="Times New Roman"/>
          <w:kern w:val="2"/>
          <w:szCs w:val="24"/>
          <w14:ligatures w14:val="standardContextual"/>
        </w:rPr>
      </w:pPr>
      <w:r>
        <w:rPr>
          <w:rFonts w:cs="Times New Roman"/>
          <w:kern w:val="2"/>
          <w:szCs w:val="24"/>
          <w14:ligatures w14:val="standardContextual"/>
        </w:rPr>
        <w:t>6</w:t>
      </w:r>
      <w:r w:rsidR="008F0B0A" w:rsidRPr="00320BDA">
        <w:rPr>
          <w:rFonts w:cs="Times New Roman"/>
          <w:kern w:val="2"/>
          <w:szCs w:val="24"/>
          <w14:ligatures w14:val="standardContextual"/>
        </w:rPr>
        <w:t xml:space="preserve">) Failure To Get Lessor Consents </w:t>
      </w:r>
      <w:proofErr w:type="gramStart"/>
      <w:r w:rsidR="008F0B0A" w:rsidRPr="00320BDA">
        <w:rPr>
          <w:rFonts w:cs="Times New Roman"/>
          <w:kern w:val="2"/>
          <w:szCs w:val="24"/>
          <w14:ligatures w14:val="standardContextual"/>
        </w:rPr>
        <w:t>To</w:t>
      </w:r>
      <w:proofErr w:type="gramEnd"/>
      <w:r w:rsidR="008F0B0A" w:rsidRPr="00320BDA">
        <w:rPr>
          <w:rFonts w:cs="Times New Roman"/>
          <w:kern w:val="2"/>
          <w:szCs w:val="24"/>
          <w14:ligatures w14:val="standardContextual"/>
        </w:rPr>
        <w:t xml:space="preserve"> Collateral Assignments Of Real Estate Leases </w:t>
      </w:r>
      <w:r w:rsidR="007B6DA8">
        <w:rPr>
          <w:rFonts w:cs="Times New Roman"/>
          <w:kern w:val="2"/>
          <w:szCs w:val="24"/>
          <w14:ligatures w14:val="standardContextual"/>
        </w:rPr>
        <w:br/>
        <w:t xml:space="preserve">     </w:t>
      </w:r>
      <w:r w:rsidR="008F0B0A" w:rsidRPr="00320BDA">
        <w:rPr>
          <w:rFonts w:cs="Times New Roman"/>
          <w:kern w:val="2"/>
          <w:szCs w:val="24"/>
          <w14:ligatures w14:val="standardContextual"/>
        </w:rPr>
        <w:t>Especially</w:t>
      </w:r>
      <w:r w:rsidR="007B6DA8">
        <w:rPr>
          <w:rFonts w:cs="Times New Roman"/>
          <w:kern w:val="2"/>
          <w:szCs w:val="24"/>
          <w14:ligatures w14:val="standardContextual"/>
        </w:rPr>
        <w:t xml:space="preserve"> </w:t>
      </w:r>
      <w:r w:rsidR="008F0B0A" w:rsidRPr="00320BDA">
        <w:rPr>
          <w:rFonts w:cs="Times New Roman"/>
          <w:kern w:val="2"/>
          <w:szCs w:val="24"/>
          <w14:ligatures w14:val="standardContextual"/>
        </w:rPr>
        <w:t>Ground Leases (Pre-Closing Issue);</w:t>
      </w:r>
    </w:p>
    <w:p w14:paraId="6F061774" w14:textId="76BCB2AE" w:rsidR="008F0B0A" w:rsidRPr="00320BDA" w:rsidRDefault="00180F8A" w:rsidP="008F0B0A">
      <w:pPr>
        <w:spacing w:after="160" w:line="259" w:lineRule="auto"/>
        <w:ind w:left="720"/>
        <w:contextualSpacing/>
        <w:rPr>
          <w:rFonts w:cs="Times New Roman"/>
          <w:kern w:val="2"/>
          <w:szCs w:val="24"/>
          <w14:ligatures w14:val="standardContextual"/>
        </w:rPr>
      </w:pPr>
      <w:r>
        <w:rPr>
          <w:rFonts w:cs="Times New Roman"/>
          <w:kern w:val="2"/>
          <w:szCs w:val="24"/>
          <w14:ligatures w14:val="standardContextual"/>
        </w:rPr>
        <w:lastRenderedPageBreak/>
        <w:t>7</w:t>
      </w:r>
      <w:r w:rsidR="008F0B0A" w:rsidRPr="00320BDA">
        <w:rPr>
          <w:rFonts w:cs="Times New Roman"/>
          <w:kern w:val="2"/>
          <w:szCs w:val="24"/>
          <w14:ligatures w14:val="standardContextual"/>
        </w:rPr>
        <w:t xml:space="preserve">) Failure of Trustee </w:t>
      </w:r>
      <w:proofErr w:type="gramStart"/>
      <w:r w:rsidR="008F0B0A" w:rsidRPr="00320BDA">
        <w:rPr>
          <w:rFonts w:cs="Times New Roman"/>
          <w:kern w:val="2"/>
          <w:szCs w:val="24"/>
          <w14:ligatures w14:val="standardContextual"/>
        </w:rPr>
        <w:t>To</w:t>
      </w:r>
      <w:proofErr w:type="gramEnd"/>
      <w:r w:rsidR="008F0B0A" w:rsidRPr="00320BDA">
        <w:rPr>
          <w:rFonts w:cs="Times New Roman"/>
          <w:kern w:val="2"/>
          <w:szCs w:val="24"/>
          <w14:ligatures w14:val="standardContextual"/>
        </w:rPr>
        <w:t xml:space="preserve"> Continue UCC Financing Statements (Usually 5 Years After </w:t>
      </w:r>
      <w:r w:rsidR="007B6DA8">
        <w:rPr>
          <w:rFonts w:cs="Times New Roman"/>
          <w:kern w:val="2"/>
          <w:szCs w:val="24"/>
          <w14:ligatures w14:val="standardContextual"/>
        </w:rPr>
        <w:br/>
        <w:t xml:space="preserve">    </w:t>
      </w:r>
      <w:r w:rsidR="008F0B0A" w:rsidRPr="00320BDA">
        <w:rPr>
          <w:rFonts w:cs="Times New Roman"/>
          <w:kern w:val="2"/>
          <w:szCs w:val="24"/>
          <w14:ligatures w14:val="standardContextual"/>
        </w:rPr>
        <w:t>Original Filing,</w:t>
      </w:r>
      <w:r w:rsidR="007B6DA8">
        <w:rPr>
          <w:rFonts w:cs="Times New Roman"/>
          <w:kern w:val="2"/>
          <w:szCs w:val="24"/>
          <w14:ligatures w14:val="standardContextual"/>
        </w:rPr>
        <w:t xml:space="preserve"> </w:t>
      </w:r>
      <w:r w:rsidR="008F0B0A" w:rsidRPr="00320BDA">
        <w:rPr>
          <w:rFonts w:cs="Times New Roman"/>
          <w:kern w:val="2"/>
          <w:szCs w:val="24"/>
          <w14:ligatures w14:val="standardContextual"/>
        </w:rPr>
        <w:t xml:space="preserve">But Some Extended Continuation Rights For Public Finance </w:t>
      </w:r>
      <w:r w:rsidR="007B6DA8">
        <w:rPr>
          <w:rFonts w:cs="Times New Roman"/>
          <w:kern w:val="2"/>
          <w:szCs w:val="24"/>
          <w14:ligatures w14:val="standardContextual"/>
        </w:rPr>
        <w:br/>
        <w:t xml:space="preserve">    </w:t>
      </w:r>
      <w:r w:rsidR="008F0B0A" w:rsidRPr="00320BDA">
        <w:rPr>
          <w:rFonts w:cs="Times New Roman"/>
          <w:kern w:val="2"/>
          <w:szCs w:val="24"/>
          <w14:ligatures w14:val="standardContextual"/>
        </w:rPr>
        <w:t>Transactions) (Post-Closing Issue);</w:t>
      </w:r>
    </w:p>
    <w:p w14:paraId="57BEAD3B" w14:textId="401FAA9B" w:rsidR="008F0B0A" w:rsidRPr="00320BDA" w:rsidRDefault="00180F8A" w:rsidP="008F0B0A">
      <w:pPr>
        <w:spacing w:after="160" w:line="259" w:lineRule="auto"/>
        <w:ind w:left="720"/>
        <w:contextualSpacing/>
        <w:rPr>
          <w:rFonts w:cs="Times New Roman"/>
          <w:kern w:val="2"/>
          <w:szCs w:val="24"/>
          <w14:ligatures w14:val="standardContextual"/>
        </w:rPr>
      </w:pPr>
      <w:r>
        <w:rPr>
          <w:rFonts w:cs="Times New Roman"/>
          <w:kern w:val="2"/>
          <w:szCs w:val="24"/>
          <w14:ligatures w14:val="standardContextual"/>
        </w:rPr>
        <w:t>8</w:t>
      </w:r>
      <w:r w:rsidR="008F0B0A" w:rsidRPr="00320BDA">
        <w:rPr>
          <w:rFonts w:cs="Times New Roman"/>
          <w:kern w:val="2"/>
          <w:szCs w:val="24"/>
          <w14:ligatures w14:val="standardContextual"/>
        </w:rPr>
        <w:t xml:space="preserve">) Failure Of Trustee </w:t>
      </w:r>
      <w:proofErr w:type="gramStart"/>
      <w:r w:rsidR="008F0B0A" w:rsidRPr="00320BDA">
        <w:rPr>
          <w:rFonts w:cs="Times New Roman"/>
          <w:kern w:val="2"/>
          <w:szCs w:val="24"/>
          <w14:ligatures w14:val="standardContextual"/>
        </w:rPr>
        <w:t>To</w:t>
      </w:r>
      <w:proofErr w:type="gramEnd"/>
      <w:r w:rsidR="008F0B0A" w:rsidRPr="00320BDA">
        <w:rPr>
          <w:rFonts w:cs="Times New Roman"/>
          <w:kern w:val="2"/>
          <w:szCs w:val="24"/>
          <w14:ligatures w14:val="standardContextual"/>
        </w:rPr>
        <w:t xml:space="preserve"> Get An Equipment List To Identify Equipment Collateral </w:t>
      </w:r>
      <w:r w:rsidR="007B6DA8">
        <w:rPr>
          <w:rFonts w:cs="Times New Roman"/>
          <w:kern w:val="2"/>
          <w:szCs w:val="24"/>
          <w14:ligatures w14:val="standardContextual"/>
        </w:rPr>
        <w:br/>
        <w:t xml:space="preserve">    </w:t>
      </w:r>
      <w:r w:rsidR="008F0B0A" w:rsidRPr="00320BDA">
        <w:rPr>
          <w:rFonts w:cs="Times New Roman"/>
          <w:kern w:val="2"/>
          <w:szCs w:val="24"/>
          <w14:ligatures w14:val="standardContextual"/>
        </w:rPr>
        <w:t>Pledged To Bond</w:t>
      </w:r>
      <w:r w:rsidR="004F0CB8">
        <w:rPr>
          <w:rFonts w:cs="Times New Roman"/>
          <w:kern w:val="2"/>
          <w:szCs w:val="24"/>
          <w14:ligatures w14:val="standardContextual"/>
        </w:rPr>
        <w:t xml:space="preserve"> </w:t>
      </w:r>
      <w:r w:rsidR="008F0B0A" w:rsidRPr="00320BDA">
        <w:rPr>
          <w:rFonts w:cs="Times New Roman"/>
          <w:kern w:val="2"/>
          <w:szCs w:val="24"/>
          <w14:ligatures w14:val="standardContextual"/>
        </w:rPr>
        <w:t xml:space="preserve">Trustee/Purchased with Bond Proceeds (Needed To Acquire Purchase </w:t>
      </w:r>
      <w:r w:rsidR="004F0CB8">
        <w:rPr>
          <w:rFonts w:cs="Times New Roman"/>
          <w:kern w:val="2"/>
          <w:szCs w:val="24"/>
          <w14:ligatures w14:val="standardContextual"/>
        </w:rPr>
        <w:br/>
        <w:t xml:space="preserve">    </w:t>
      </w:r>
      <w:r w:rsidR="008F0B0A" w:rsidRPr="00320BDA">
        <w:rPr>
          <w:rFonts w:cs="Times New Roman"/>
          <w:kern w:val="2"/>
          <w:szCs w:val="24"/>
          <w14:ligatures w14:val="standardContextual"/>
        </w:rPr>
        <w:t>Money Security Interests/Fixture disputes) (Pre- Or Post-Closing Issue);</w:t>
      </w:r>
    </w:p>
    <w:p w14:paraId="6CD4559A" w14:textId="7AA4260C" w:rsidR="00E56CB7" w:rsidRPr="00320BDA" w:rsidRDefault="00180F8A" w:rsidP="00180F8A">
      <w:pPr>
        <w:spacing w:after="160" w:line="259" w:lineRule="auto"/>
        <w:ind w:left="720"/>
        <w:contextualSpacing/>
        <w:rPr>
          <w:rFonts w:cs="Times New Roman"/>
          <w:kern w:val="2"/>
          <w:szCs w:val="24"/>
          <w14:ligatures w14:val="standardContextual"/>
        </w:rPr>
      </w:pPr>
      <w:r>
        <w:rPr>
          <w:rFonts w:cs="Times New Roman"/>
          <w:kern w:val="2"/>
          <w:szCs w:val="24"/>
          <w14:ligatures w14:val="standardContextual"/>
        </w:rPr>
        <w:t>9</w:t>
      </w:r>
      <w:r w:rsidR="008F0B0A" w:rsidRPr="00320BDA">
        <w:rPr>
          <w:rFonts w:cs="Times New Roman"/>
          <w:kern w:val="2"/>
          <w:szCs w:val="24"/>
          <w14:ligatures w14:val="standardContextual"/>
        </w:rPr>
        <w:t xml:space="preserve">) Failure Of Trustee To Obtain A Depository Control Agreement With Each </w:t>
      </w:r>
      <w:proofErr w:type="gramStart"/>
      <w:r w:rsidR="008F0B0A" w:rsidRPr="00320BDA">
        <w:rPr>
          <w:rFonts w:cs="Times New Roman"/>
          <w:kern w:val="2"/>
          <w:szCs w:val="24"/>
          <w14:ligatures w14:val="standardContextual"/>
        </w:rPr>
        <w:t>Local  Bank</w:t>
      </w:r>
      <w:proofErr w:type="gramEnd"/>
      <w:r w:rsidR="008F0B0A" w:rsidRPr="00320BDA">
        <w:rPr>
          <w:rFonts w:cs="Times New Roman"/>
          <w:kern w:val="2"/>
          <w:szCs w:val="24"/>
          <w14:ligatures w14:val="standardContextual"/>
        </w:rPr>
        <w:t xml:space="preserve"> </w:t>
      </w:r>
      <w:r w:rsidR="004F0CB8">
        <w:rPr>
          <w:rFonts w:cs="Times New Roman"/>
          <w:kern w:val="2"/>
          <w:szCs w:val="24"/>
          <w14:ligatures w14:val="standardContextual"/>
        </w:rPr>
        <w:br/>
        <w:t xml:space="preserve">     </w:t>
      </w:r>
      <w:r w:rsidR="008F0B0A" w:rsidRPr="00320BDA">
        <w:rPr>
          <w:rFonts w:cs="Times New Roman"/>
          <w:kern w:val="2"/>
          <w:szCs w:val="24"/>
          <w14:ligatures w14:val="standardContextual"/>
        </w:rPr>
        <w:t>Used To</w:t>
      </w:r>
      <w:r w:rsidR="004F0CB8">
        <w:rPr>
          <w:rFonts w:cs="Times New Roman"/>
          <w:kern w:val="2"/>
          <w:szCs w:val="24"/>
          <w14:ligatures w14:val="standardContextual"/>
        </w:rPr>
        <w:t xml:space="preserve"> </w:t>
      </w:r>
      <w:r w:rsidR="008F0B0A" w:rsidRPr="00320BDA">
        <w:rPr>
          <w:rFonts w:cs="Times New Roman"/>
          <w:kern w:val="2"/>
          <w:szCs w:val="24"/>
          <w14:ligatures w14:val="standardContextual"/>
        </w:rPr>
        <w:t>Receive/Collect Cash (Pre- and Post-Closing);</w:t>
      </w:r>
      <w:r>
        <w:rPr>
          <w:rFonts w:cs="Times New Roman"/>
          <w:kern w:val="2"/>
          <w:szCs w:val="24"/>
          <w14:ligatures w14:val="standardContextual"/>
        </w:rPr>
        <w:t>10</w:t>
      </w:r>
      <w:r w:rsidR="008F0B0A" w:rsidRPr="00320BDA">
        <w:rPr>
          <w:rFonts w:cs="Times New Roman"/>
          <w:kern w:val="2"/>
          <w:szCs w:val="24"/>
          <w14:ligatures w14:val="standardContextual"/>
        </w:rPr>
        <w:t xml:space="preserve">) Failure To Verify All </w:t>
      </w:r>
      <w:r>
        <w:rPr>
          <w:rFonts w:cs="Times New Roman"/>
          <w:kern w:val="2"/>
          <w:szCs w:val="24"/>
          <w14:ligatures w14:val="standardContextual"/>
        </w:rPr>
        <w:br/>
        <w:t xml:space="preserve">     </w:t>
      </w:r>
      <w:r w:rsidR="008F0B0A" w:rsidRPr="00320BDA">
        <w:rPr>
          <w:rFonts w:cs="Times New Roman"/>
          <w:kern w:val="2"/>
          <w:szCs w:val="24"/>
          <w14:ligatures w14:val="standardContextual"/>
        </w:rPr>
        <w:t>Required Contract Assignments To Trustee &amp; Consents From</w:t>
      </w:r>
      <w:r w:rsidR="00E56CB7">
        <w:rPr>
          <w:rFonts w:cs="Times New Roman"/>
          <w:kern w:val="2"/>
          <w:szCs w:val="24"/>
          <w14:ligatures w14:val="standardContextual"/>
        </w:rPr>
        <w:t xml:space="preserve"> </w:t>
      </w:r>
      <w:r w:rsidR="008F0B0A" w:rsidRPr="00320BDA">
        <w:rPr>
          <w:rFonts w:cs="Times New Roman"/>
          <w:kern w:val="2"/>
          <w:szCs w:val="24"/>
          <w14:ligatures w14:val="standardContextual"/>
        </w:rPr>
        <w:t xml:space="preserve">Counterparties Have </w:t>
      </w:r>
      <w:r w:rsidR="00E56CB7">
        <w:rPr>
          <w:rFonts w:cs="Times New Roman"/>
          <w:kern w:val="2"/>
          <w:szCs w:val="24"/>
          <w14:ligatures w14:val="standardContextual"/>
        </w:rPr>
        <w:br/>
        <w:t xml:space="preserve">     </w:t>
      </w:r>
      <w:r w:rsidR="008F0B0A" w:rsidRPr="00320BDA">
        <w:rPr>
          <w:rFonts w:cs="Times New Roman"/>
          <w:kern w:val="2"/>
          <w:szCs w:val="24"/>
          <w14:ligatures w14:val="standardContextual"/>
        </w:rPr>
        <w:t>Been Obtained; and</w:t>
      </w:r>
    </w:p>
    <w:p w14:paraId="5930B38C" w14:textId="52C97A24" w:rsidR="001440CD" w:rsidRDefault="00E56CB7" w:rsidP="00C2398B">
      <w:pPr>
        <w:spacing w:after="160" w:line="259" w:lineRule="auto"/>
        <w:ind w:left="720"/>
        <w:contextualSpacing/>
        <w:rPr>
          <w:rFonts w:cs="Times New Roman"/>
          <w:szCs w:val="24"/>
        </w:rPr>
      </w:pPr>
      <w:r>
        <w:rPr>
          <w:rFonts w:cs="Times New Roman"/>
          <w:kern w:val="2"/>
          <w:szCs w:val="24"/>
          <w14:ligatures w14:val="standardContextual"/>
        </w:rPr>
        <w:t>10</w:t>
      </w:r>
      <w:r w:rsidR="008F0B0A" w:rsidRPr="00320BDA">
        <w:rPr>
          <w:rFonts w:cs="Times New Roman"/>
          <w:kern w:val="2"/>
          <w:szCs w:val="24"/>
          <w14:ligatures w14:val="standardContextual"/>
        </w:rPr>
        <w:t xml:space="preserve">) Failure To Include The Entire Collateral Package (Pledged Revenues, Hard Collateral </w:t>
      </w:r>
      <w:r w:rsidR="004F0CB8">
        <w:rPr>
          <w:rFonts w:cs="Times New Roman"/>
          <w:kern w:val="2"/>
          <w:szCs w:val="24"/>
          <w14:ligatures w14:val="standardContextual"/>
        </w:rPr>
        <w:br/>
        <w:t xml:space="preserve">      </w:t>
      </w:r>
      <w:r w:rsidR="008F0B0A" w:rsidRPr="00320BDA">
        <w:rPr>
          <w:rFonts w:cs="Times New Roman"/>
          <w:kern w:val="2"/>
          <w:szCs w:val="24"/>
          <w14:ligatures w14:val="standardContextual"/>
        </w:rPr>
        <w:t>&amp;</w:t>
      </w:r>
      <w:r w:rsidR="004F0CB8">
        <w:rPr>
          <w:rFonts w:cs="Times New Roman"/>
          <w:kern w:val="2"/>
          <w:szCs w:val="24"/>
          <w14:ligatures w14:val="standardContextual"/>
        </w:rPr>
        <w:t xml:space="preserve"> </w:t>
      </w:r>
      <w:r w:rsidR="008F0B0A" w:rsidRPr="00320BDA">
        <w:rPr>
          <w:rFonts w:cs="Times New Roman"/>
          <w:kern w:val="2"/>
          <w:szCs w:val="24"/>
          <w14:ligatures w14:val="standardContextual"/>
        </w:rPr>
        <w:t>Contract Assignments) In The Indenture Definition of “Trust Estate”.</w:t>
      </w:r>
      <w:r w:rsidR="00B22EED" w:rsidRPr="00320BDA">
        <w:rPr>
          <w:rFonts w:cs="Times New Roman"/>
          <w:kern w:val="2"/>
          <w:szCs w:val="24"/>
          <w14:ligatures w14:val="standardContextual"/>
        </w:rPr>
        <w:br/>
      </w:r>
      <w:r w:rsidR="008F0B0A" w:rsidRPr="00320BDA">
        <w:rPr>
          <w:rFonts w:cs="Times New Roman"/>
          <w:kern w:val="2"/>
          <w:szCs w:val="24"/>
          <w14:ligatures w14:val="standardContextual"/>
        </w:rPr>
        <w:br/>
      </w:r>
      <w:r w:rsidR="001440CD">
        <w:rPr>
          <w:rFonts w:cs="Times New Roman"/>
          <w:szCs w:val="24"/>
        </w:rPr>
        <w:t xml:space="preserve"> </w:t>
      </w:r>
      <w:r w:rsidR="003173AB">
        <w:rPr>
          <w:rFonts w:cs="Times New Roman"/>
          <w:szCs w:val="24"/>
        </w:rPr>
        <w:t xml:space="preserve">B. CONFIRMING THE </w:t>
      </w:r>
      <w:r w:rsidR="00D30F73" w:rsidRPr="0093485A">
        <w:rPr>
          <w:rFonts w:cs="Times New Roman"/>
          <w:b/>
          <w:bCs/>
          <w:szCs w:val="24"/>
        </w:rPr>
        <w:t>CORRECT UCC COLLATERAL DESCRIPTIONS</w:t>
      </w:r>
      <w:r w:rsidR="00586E1C">
        <w:rPr>
          <w:rFonts w:cs="Times New Roman"/>
          <w:b/>
          <w:bCs/>
          <w:szCs w:val="24"/>
        </w:rPr>
        <w:t xml:space="preserve"> &amp; </w:t>
      </w:r>
      <w:r w:rsidR="003173AB">
        <w:rPr>
          <w:rFonts w:cs="Times New Roman"/>
          <w:b/>
          <w:bCs/>
          <w:szCs w:val="24"/>
        </w:rPr>
        <w:br/>
        <w:t xml:space="preserve">      </w:t>
      </w:r>
      <w:r w:rsidR="00586E1C">
        <w:rPr>
          <w:rFonts w:cs="Times New Roman"/>
          <w:b/>
          <w:bCs/>
          <w:szCs w:val="24"/>
        </w:rPr>
        <w:t xml:space="preserve">AVAILABILITY OF </w:t>
      </w:r>
      <w:proofErr w:type="gramStart"/>
      <w:r w:rsidR="00586E1C">
        <w:rPr>
          <w:rFonts w:cs="Times New Roman"/>
          <w:b/>
          <w:bCs/>
          <w:szCs w:val="24"/>
        </w:rPr>
        <w:t xml:space="preserve">UCC </w:t>
      </w:r>
      <w:r w:rsidR="003173AB">
        <w:rPr>
          <w:rFonts w:cs="Times New Roman"/>
          <w:b/>
          <w:bCs/>
          <w:szCs w:val="24"/>
        </w:rPr>
        <w:t xml:space="preserve"> </w:t>
      </w:r>
      <w:r w:rsidR="004007CA">
        <w:rPr>
          <w:rFonts w:cs="Times New Roman"/>
          <w:b/>
          <w:bCs/>
          <w:szCs w:val="24"/>
        </w:rPr>
        <w:t>&amp;</w:t>
      </w:r>
      <w:proofErr w:type="gramEnd"/>
      <w:r w:rsidR="004007CA">
        <w:rPr>
          <w:rFonts w:cs="Times New Roman"/>
          <w:b/>
          <w:bCs/>
          <w:szCs w:val="24"/>
        </w:rPr>
        <w:t xml:space="preserve"> LIEN SEARCHES</w:t>
      </w:r>
      <w:r w:rsidR="00D30F73">
        <w:rPr>
          <w:rFonts w:cs="Times New Roman"/>
          <w:szCs w:val="24"/>
        </w:rPr>
        <w:t xml:space="preserve">: </w:t>
      </w:r>
    </w:p>
    <w:p w14:paraId="4A604B29" w14:textId="77777777" w:rsidR="001440CD" w:rsidRDefault="001440CD" w:rsidP="00735C5F">
      <w:pPr>
        <w:ind w:firstLine="720"/>
        <w:rPr>
          <w:rFonts w:cs="Times New Roman"/>
          <w:szCs w:val="24"/>
        </w:rPr>
      </w:pPr>
    </w:p>
    <w:p w14:paraId="1CF83EA2" w14:textId="77777777" w:rsidR="00E247DE" w:rsidRDefault="00B22EED" w:rsidP="00735C5F">
      <w:pPr>
        <w:ind w:firstLine="720"/>
        <w:rPr>
          <w:rFonts w:cs="Times New Roman"/>
          <w:szCs w:val="24"/>
        </w:rPr>
      </w:pPr>
      <w:r w:rsidRPr="00BC708B">
        <w:rPr>
          <w:rFonts w:cs="Times New Roman"/>
          <w:szCs w:val="24"/>
        </w:rPr>
        <w:t xml:space="preserve">Buy-side analysts should see if the Indenture, Loan Agreement, Mortgage/Deed of Trust </w:t>
      </w:r>
      <w:r w:rsidR="001440CD">
        <w:rPr>
          <w:rFonts w:cs="Times New Roman"/>
          <w:szCs w:val="24"/>
        </w:rPr>
        <w:br/>
        <w:t xml:space="preserve">            </w:t>
      </w:r>
      <w:r w:rsidRPr="00BC708B">
        <w:rPr>
          <w:rFonts w:cs="Times New Roman"/>
          <w:szCs w:val="24"/>
        </w:rPr>
        <w:t xml:space="preserve">contain the UCC-9 Collateral descriptions. Unfortunately, many older Indentures, Loan </w:t>
      </w:r>
      <w:r w:rsidR="001440CD">
        <w:rPr>
          <w:rFonts w:cs="Times New Roman"/>
          <w:szCs w:val="24"/>
        </w:rPr>
        <w:br/>
        <w:t xml:space="preserve">            </w:t>
      </w:r>
      <w:r w:rsidRPr="00BC708B">
        <w:rPr>
          <w:rFonts w:cs="Times New Roman"/>
          <w:szCs w:val="24"/>
        </w:rPr>
        <w:t xml:space="preserve">Agreements and Mortgages/Deeds of Trust have not been updated to use the UCC-9 </w:t>
      </w:r>
      <w:r w:rsidR="001440CD">
        <w:rPr>
          <w:rFonts w:cs="Times New Roman"/>
          <w:szCs w:val="24"/>
        </w:rPr>
        <w:br/>
        <w:t xml:space="preserve">            </w:t>
      </w:r>
      <w:r w:rsidRPr="00BC708B">
        <w:rPr>
          <w:rFonts w:cs="Times New Roman"/>
          <w:szCs w:val="24"/>
        </w:rPr>
        <w:t xml:space="preserve">Collateral descriptions—so buy-side analysts should confirm this point when reviewing </w:t>
      </w:r>
      <w:r w:rsidR="00E247DE">
        <w:rPr>
          <w:rFonts w:cs="Times New Roman"/>
          <w:szCs w:val="24"/>
        </w:rPr>
        <w:br/>
        <w:t xml:space="preserve">            </w:t>
      </w:r>
      <w:r w:rsidRPr="00BC708B">
        <w:rPr>
          <w:rFonts w:cs="Times New Roman"/>
          <w:szCs w:val="24"/>
        </w:rPr>
        <w:t xml:space="preserve">the UCC security agreements as part of their Collateral Package Evaluations. </w:t>
      </w:r>
    </w:p>
    <w:p w14:paraId="0B10581B" w14:textId="6A13C6E1" w:rsidR="00586E1C" w:rsidRDefault="00E247DE" w:rsidP="00586E1C">
      <w:pPr>
        <w:pStyle w:val="00BodyText5"/>
        <w:jc w:val="both"/>
      </w:pPr>
      <w:r w:rsidRPr="00E247DE">
        <w:rPr>
          <w:rFonts w:cs="Times New Roman"/>
        </w:rPr>
        <w:br/>
        <w:t xml:space="preserve">        </w:t>
      </w:r>
      <w:r w:rsidR="002F2A47">
        <w:rPr>
          <w:rFonts w:cs="Times New Roman"/>
        </w:rPr>
        <w:t xml:space="preserve">    </w:t>
      </w:r>
      <w:r w:rsidR="00586E1C">
        <w:t xml:space="preserve">As part of the due diligence process underwriter’s counsel or purchaser’s counsel should </w:t>
      </w:r>
      <w:r w:rsidR="002F2A47">
        <w:br/>
        <w:t xml:space="preserve">            </w:t>
      </w:r>
      <w:r w:rsidR="00586E1C">
        <w:t xml:space="preserve">request lien and litigation searches covering the borrower, its parent (if the borrower is a </w:t>
      </w:r>
      <w:r w:rsidR="002F2A47">
        <w:br/>
        <w:t xml:space="preserve">            </w:t>
      </w:r>
      <w:r w:rsidR="00586E1C">
        <w:t xml:space="preserve">special purpose entity with no assets), guarantor, if any, and other material project </w:t>
      </w:r>
      <w:r w:rsidR="002F2A47">
        <w:br/>
        <w:t xml:space="preserve">            </w:t>
      </w:r>
      <w:r w:rsidR="00586E1C">
        <w:t xml:space="preserve">participants (for example, developer, sponsor, or project or asset manager).  Lien and </w:t>
      </w:r>
      <w:r w:rsidR="002F2A47">
        <w:br/>
        <w:t xml:space="preserve">            </w:t>
      </w:r>
      <w:r w:rsidR="00586E1C">
        <w:t xml:space="preserve">litigation searches should be done for the location of the project and the location of the </w:t>
      </w:r>
      <w:r w:rsidR="002F2A47">
        <w:br/>
        <w:t xml:space="preserve">            </w:t>
      </w:r>
      <w:r w:rsidR="00586E1C">
        <w:t xml:space="preserve">main corporate office of each material project participant, and should include federal and </w:t>
      </w:r>
      <w:r w:rsidR="002F2A47">
        <w:br/>
        <w:t xml:space="preserve">            </w:t>
      </w:r>
      <w:r w:rsidR="00586E1C">
        <w:t xml:space="preserve">state tax and lien searches, local superior court searches, local defendant suit and judgment </w:t>
      </w:r>
      <w:r w:rsidR="002F2A47">
        <w:br/>
        <w:t xml:space="preserve">            </w:t>
      </w:r>
      <w:r w:rsidR="00586E1C">
        <w:t xml:space="preserve">searches, and bankruptcy and UCC debtor searches.  Searches should ideally be dated </w:t>
      </w:r>
      <w:r w:rsidR="002F2A47">
        <w:br/>
        <w:t xml:space="preserve">            </w:t>
      </w:r>
      <w:r w:rsidR="00586E1C">
        <w:t xml:space="preserve">within 30 days of closing, but 30 days can be modified depending on the facts and </w:t>
      </w:r>
      <w:r w:rsidR="002F2A47">
        <w:br/>
        <w:t xml:space="preserve">            </w:t>
      </w:r>
      <w:r w:rsidR="00586E1C">
        <w:t xml:space="preserve">circumstances and discussions with counsel.  Generally, the offering document disclosure </w:t>
      </w:r>
      <w:r w:rsidR="00E40E0C">
        <w:br/>
        <w:t xml:space="preserve">            </w:t>
      </w:r>
      <w:r w:rsidR="00586E1C">
        <w:t xml:space="preserve">should disclose any material litigation issues, and any material lien issues would ideally be </w:t>
      </w:r>
      <w:r w:rsidR="00E40E0C">
        <w:br/>
        <w:t xml:space="preserve">            </w:t>
      </w:r>
      <w:r w:rsidR="00586E1C">
        <w:t xml:space="preserve">cleared prior to or concurrently with closing.  </w:t>
      </w:r>
    </w:p>
    <w:p w14:paraId="36CC0767" w14:textId="0184FB10" w:rsidR="007955A6" w:rsidRDefault="007955A6" w:rsidP="007955A6">
      <w:pPr>
        <w:pStyle w:val="00BodyText5"/>
        <w:ind w:firstLine="0"/>
        <w:jc w:val="both"/>
        <w:rPr>
          <w:b/>
          <w:bCs/>
          <w:color w:val="FF0000"/>
        </w:rPr>
      </w:pPr>
      <w:r>
        <w:t xml:space="preserve">            </w:t>
      </w:r>
      <w:r w:rsidR="00586E1C">
        <w:t xml:space="preserve">[SHOULD WE TALK ABOUT EXISTING LIENS AND WHAT CAN/SHOULD BE </w:t>
      </w:r>
      <w:r w:rsidR="00E40E0C">
        <w:br/>
        <w:t xml:space="preserve">            </w:t>
      </w:r>
      <w:r w:rsidR="00586E1C">
        <w:t xml:space="preserve">DONE WITH THOSE IF THEY AREN’T RELEASED?  I.E. THE CREDITOR </w:t>
      </w:r>
      <w:r w:rsidR="00E40E0C">
        <w:br/>
        <w:t xml:space="preserve">            </w:t>
      </w:r>
      <w:r w:rsidR="00586E1C">
        <w:t xml:space="preserve">ENTERING INTO A SUBORDINATION AGREEMENT, OR AN INTERCREDITOR </w:t>
      </w:r>
      <w:r w:rsidR="00E40E0C">
        <w:br/>
        <w:t xml:space="preserve">            </w:t>
      </w:r>
      <w:r w:rsidR="00586E1C">
        <w:t>ARRANGEMENT IF THE LIENS ARE INTENDED TO BE PARITY LIENS?]</w:t>
      </w:r>
      <w:r>
        <w:br/>
      </w:r>
      <w:r>
        <w:br/>
        <w:t xml:space="preserve">             C. </w:t>
      </w:r>
      <w:r w:rsidR="00E247DE" w:rsidRPr="0093485A">
        <w:rPr>
          <w:b/>
          <w:bCs/>
        </w:rPr>
        <w:t xml:space="preserve">Looking </w:t>
      </w:r>
      <w:proofErr w:type="gramStart"/>
      <w:r w:rsidR="00E247DE" w:rsidRPr="0093485A">
        <w:rPr>
          <w:b/>
          <w:bCs/>
        </w:rPr>
        <w:t>For</w:t>
      </w:r>
      <w:proofErr w:type="gramEnd"/>
      <w:r w:rsidR="00E247DE" w:rsidRPr="0093485A">
        <w:rPr>
          <w:b/>
          <w:bCs/>
        </w:rPr>
        <w:t xml:space="preserve"> Holes, Ambiguities &amp; Conflicts In The MCP </w:t>
      </w:r>
      <w:r w:rsidR="00E247DE" w:rsidRPr="0093485A">
        <w:rPr>
          <w:b/>
          <w:bCs/>
          <w:color w:val="FF0000"/>
        </w:rPr>
        <w:t>GIL</w:t>
      </w:r>
    </w:p>
    <w:p w14:paraId="71D3F302" w14:textId="252003B2" w:rsidR="00EC37FA" w:rsidRDefault="00422EF1" w:rsidP="00C2398B">
      <w:pPr>
        <w:pStyle w:val="00BodyText5"/>
        <w:ind w:firstLine="0"/>
        <w:jc w:val="both"/>
      </w:pPr>
      <w:r>
        <w:t xml:space="preserve">             </w:t>
      </w:r>
      <w:r w:rsidRPr="00320BDA">
        <w:t xml:space="preserve">One </w:t>
      </w:r>
      <w:r>
        <w:t xml:space="preserve">main </w:t>
      </w:r>
      <w:r w:rsidRPr="00320BDA">
        <w:t xml:space="preserve">purpose of requiring appropriate level of MCP disclosure (both as to the MCP </w:t>
      </w:r>
      <w:r w:rsidRPr="00320BDA">
        <w:br/>
        <w:t xml:space="preserve">             structure and risks of certain MCPs) is to assist all parties to the MFT to identify </w:t>
      </w:r>
      <w:r w:rsidRPr="00320BDA">
        <w:br/>
        <w:t xml:space="preserve">             </w:t>
      </w:r>
      <w:r w:rsidR="00073D32">
        <w:t>any</w:t>
      </w:r>
      <w:r w:rsidRPr="00320BDA">
        <w:t xml:space="preserve"> holes, ambiguities and conflicts</w:t>
      </w:r>
      <w:r w:rsidR="00205BB3">
        <w:t xml:space="preserve"> in the MFT</w:t>
      </w:r>
      <w:r w:rsidRPr="00320BDA">
        <w:t>.</w:t>
      </w:r>
      <w:r w:rsidR="00073D32">
        <w:t xml:space="preserve"> </w:t>
      </w:r>
      <w:r w:rsidRPr="00320BDA">
        <w:t xml:space="preserve">NFMA believes the sole </w:t>
      </w:r>
      <w:r w:rsidRPr="00320BDA">
        <w:br/>
        <w:t xml:space="preserve">             responsibility for eliminating any holes, ambiguities and conflicts in the MCP is the </w:t>
      </w:r>
      <w:r w:rsidRPr="00320BDA">
        <w:br/>
        <w:t xml:space="preserve">             issuer/underwriter team—and not buy side municipal analysts. </w:t>
      </w:r>
      <w:r w:rsidRPr="00BC708B">
        <w:rPr>
          <w:rFonts w:cs="Times New Roman"/>
        </w:rPr>
        <w:br/>
      </w:r>
      <w:r w:rsidR="00E247DE">
        <w:rPr>
          <w:color w:val="FF0000"/>
        </w:rPr>
        <w:lastRenderedPageBreak/>
        <w:t xml:space="preserve">             </w:t>
      </w:r>
      <w:r w:rsidR="00E247DE" w:rsidRPr="00320BDA">
        <w:t xml:space="preserve">MCPs can be complex and involve Statutory Liens, UCC Security Interests, Real </w:t>
      </w:r>
      <w:r w:rsidR="00E247DE" w:rsidRPr="00320BDA">
        <w:br/>
        <w:t xml:space="preserve">             Estate Liens, Common Law Pledges and Collateral Contract Assignments from one </w:t>
      </w:r>
      <w:r w:rsidR="00E247DE" w:rsidRPr="00320BDA">
        <w:br/>
        <w:t xml:space="preserve">             or more issuers, borrowers and obligors. Consequently, holes, ambiguities and even </w:t>
      </w:r>
      <w:r w:rsidR="00E247DE" w:rsidRPr="00320BDA">
        <w:br/>
        <w:t xml:space="preserve">             conflicts can arise in the structuring of a MCP</w:t>
      </w:r>
      <w:r w:rsidR="00C611AB">
        <w:t>,</w:t>
      </w:r>
      <w:r w:rsidR="00E247DE" w:rsidRPr="00320BDA">
        <w:t xml:space="preserve"> bu</w:t>
      </w:r>
      <w:r w:rsidR="00C611AB">
        <w:t>t</w:t>
      </w:r>
      <w:r w:rsidR="00E247DE" w:rsidRPr="00320BDA">
        <w:t xml:space="preserve"> the issuer/underwriter team. For </w:t>
      </w:r>
      <w:r w:rsidR="00E247DE" w:rsidRPr="00320BDA">
        <w:br/>
        <w:t xml:space="preserve">             example, a MFT may be supported by a project finance loan from the issuer to the                 </w:t>
      </w:r>
      <w:r w:rsidR="00E247DE" w:rsidRPr="00320BDA">
        <w:br/>
        <w:t xml:space="preserve">             project borrower who has granted the issuer a UCC Security Interest and Real Estate </w:t>
      </w:r>
      <w:r w:rsidR="00E247DE" w:rsidRPr="00320BDA">
        <w:br/>
        <w:t xml:space="preserve">             Lien on the project’s assets, but the issuer has also granted the bond trustee a direct </w:t>
      </w:r>
      <w:r w:rsidR="00E247DE" w:rsidRPr="00320BDA">
        <w:br/>
        <w:t xml:space="preserve">             Statutory Lien on certain govt revenues/taxes related to the project (or not related to </w:t>
      </w:r>
      <w:r w:rsidR="00E247DE" w:rsidRPr="00320BDA">
        <w:br/>
        <w:t xml:space="preserve">             the project!). What rights does the bond trustee have in enforcing the UCC Security </w:t>
      </w:r>
      <w:r w:rsidR="00E247DE" w:rsidRPr="00320BDA">
        <w:br/>
        <w:t xml:space="preserve">            </w:t>
      </w:r>
      <w:r w:rsidR="000D2884">
        <w:t xml:space="preserve"> </w:t>
      </w:r>
      <w:r w:rsidR="00E247DE" w:rsidRPr="00320BDA">
        <w:t xml:space="preserve">Interest given to the issuer? Is the project debt “recourse” to the project borrower or </w:t>
      </w:r>
      <w:r w:rsidR="00E247DE" w:rsidRPr="00320BDA">
        <w:br/>
        <w:t xml:space="preserve">             the issuer?  Can the issuer pledge the govt revenues/taxes to other debt not related to </w:t>
      </w:r>
      <w:r w:rsidR="00E247DE" w:rsidRPr="00320BDA">
        <w:br/>
        <w:t xml:space="preserve">             the current MFT? What happens if the state where the MFT occurs limits/prohibits </w:t>
      </w:r>
      <w:r w:rsidR="00E247DE" w:rsidRPr="00320BDA">
        <w:br/>
        <w:t xml:space="preserve">             the applicability of its UCC-9 to govt issuers---can you contractually bind a govt </w:t>
      </w:r>
      <w:r w:rsidR="00E247DE" w:rsidRPr="00320BDA">
        <w:br/>
        <w:t xml:space="preserve">             issuer to the state’s UCC-9</w:t>
      </w:r>
      <w:r w:rsidR="00893930">
        <w:t xml:space="preserve"> anyway</w:t>
      </w:r>
      <w:r w:rsidR="00E247DE" w:rsidRPr="00320BDA">
        <w:t xml:space="preserve">? These are just a few of the thorny issues that can arise </w:t>
      </w:r>
      <w:r w:rsidR="00E247DE" w:rsidRPr="00320BDA">
        <w:br/>
        <w:t xml:space="preserve">             with MCPs </w:t>
      </w:r>
      <w:r w:rsidR="00893930">
        <w:t>involving</w:t>
      </w:r>
      <w:r w:rsidR="00E247DE" w:rsidRPr="00320BDA">
        <w:t xml:space="preserve"> complex MCPs</w:t>
      </w:r>
      <w:r w:rsidR="00893930">
        <w:t xml:space="preserve"> and MFTs</w:t>
      </w:r>
      <w:r w:rsidR="00E247DE" w:rsidRPr="00320BDA">
        <w:t>.</w:t>
      </w:r>
    </w:p>
    <w:p w14:paraId="7B0D33E0" w14:textId="44787828" w:rsidR="00965F0F" w:rsidRDefault="00893930" w:rsidP="00EC37FA">
      <w:pPr>
        <w:pStyle w:val="00BodyText5"/>
        <w:ind w:firstLine="0"/>
        <w:jc w:val="both"/>
      </w:pPr>
      <w:r>
        <w:t xml:space="preserve">             One area where </w:t>
      </w:r>
      <w:r w:rsidR="00B47C68">
        <w:t>holes, ambiguities and co</w:t>
      </w:r>
      <w:r w:rsidR="00510DAE">
        <w:t>n</w:t>
      </w:r>
      <w:r w:rsidR="00B47C68">
        <w:t>flict</w:t>
      </w:r>
      <w:r w:rsidR="007A09A9">
        <w:t>s</w:t>
      </w:r>
      <w:r w:rsidR="00B47C68">
        <w:t xml:space="preserve"> can arise is in the definition of </w:t>
      </w:r>
      <w:r w:rsidR="007A09A9">
        <w:t xml:space="preserve">the “trust </w:t>
      </w:r>
      <w:r w:rsidR="000F3C82">
        <w:br/>
        <w:t xml:space="preserve">             </w:t>
      </w:r>
      <w:r w:rsidR="007A09A9">
        <w:t>estate” in the bond indenture.</w:t>
      </w:r>
      <w:r w:rsidR="007D01B3">
        <w:t xml:space="preserve"> The description of the “trust estate” must contain specific </w:t>
      </w:r>
      <w:r w:rsidR="000F3C82">
        <w:br/>
        <w:t xml:space="preserve">             </w:t>
      </w:r>
      <w:r w:rsidR="007D01B3">
        <w:t>referen</w:t>
      </w:r>
      <w:r w:rsidR="00B14219">
        <w:t>c</w:t>
      </w:r>
      <w:r w:rsidR="007D01B3">
        <w:t>es to each part of the MCP</w:t>
      </w:r>
      <w:r w:rsidR="00B14219">
        <w:t xml:space="preserve"> including all the property collateral, reference to each </w:t>
      </w:r>
      <w:r w:rsidR="000F3C82">
        <w:br/>
        <w:t xml:space="preserve">             </w:t>
      </w:r>
      <w:r w:rsidR="00B14219">
        <w:t xml:space="preserve">Statutory Lien and UCC 9 Security Interest, Mortgage/Deed of Trust, Common </w:t>
      </w:r>
      <w:r w:rsidR="000F3C82">
        <w:br/>
        <w:t xml:space="preserve">             </w:t>
      </w:r>
      <w:r w:rsidR="00B14219">
        <w:t xml:space="preserve">Law/Possessory Lien and Collateral Assignment of key contracts/agreements. </w:t>
      </w:r>
      <w:r w:rsidR="001D5668">
        <w:t xml:space="preserve">The bond </w:t>
      </w:r>
      <w:r w:rsidR="000F3C82">
        <w:br/>
        <w:t xml:space="preserve">             </w:t>
      </w:r>
      <w:r w:rsidR="001D5668">
        <w:t>trustee</w:t>
      </w:r>
      <w:r w:rsidR="004D6839">
        <w:t xml:space="preserve">’s </w:t>
      </w:r>
      <w:proofErr w:type="gramStart"/>
      <w:r w:rsidR="004D6839">
        <w:t>rights  and</w:t>
      </w:r>
      <w:proofErr w:type="gramEnd"/>
      <w:r w:rsidR="004D6839">
        <w:t xml:space="preserve"> remedies against the MCP is go</w:t>
      </w:r>
      <w:r w:rsidR="00EC4F18">
        <w:t xml:space="preserve">verned by </w:t>
      </w:r>
      <w:r w:rsidR="00965F0F">
        <w:t>t</w:t>
      </w:r>
      <w:r w:rsidR="00BB0CF8">
        <w:t>he trust estat</w:t>
      </w:r>
      <w:r w:rsidR="00965F0F">
        <w:t xml:space="preserve">e, and so that </w:t>
      </w:r>
      <w:r w:rsidR="000F3C82">
        <w:br/>
        <w:t xml:space="preserve">             definition must encompass the entire MCP. </w:t>
      </w:r>
    </w:p>
    <w:p w14:paraId="6675A034" w14:textId="06894EAC" w:rsidR="00E83903" w:rsidRDefault="00F77F13" w:rsidP="00670F59">
      <w:pPr>
        <w:pStyle w:val="00BodyText5"/>
        <w:ind w:firstLine="0"/>
        <w:jc w:val="both"/>
        <w:rPr>
          <w:b/>
          <w:caps/>
          <w:color w:val="FF0000"/>
          <w:u w:val="thick"/>
        </w:rPr>
      </w:pPr>
      <w:r w:rsidRPr="000B7445">
        <w:rPr>
          <w:b/>
          <w:caps/>
          <w:u w:val="thick"/>
        </w:rPr>
        <w:t>Roles &amp; Responsibilities Of Counsel</w:t>
      </w:r>
      <w:r w:rsidR="00741CA6" w:rsidRPr="000B7445">
        <w:rPr>
          <w:b/>
          <w:caps/>
          <w:u w:val="thick"/>
        </w:rPr>
        <w:t xml:space="preserve"> In </w:t>
      </w:r>
      <w:r w:rsidR="00B01404" w:rsidRPr="000B7445">
        <w:rPr>
          <w:b/>
          <w:caps/>
          <w:u w:val="thick"/>
        </w:rPr>
        <w:t>M</w:t>
      </w:r>
      <w:r w:rsidR="00741CA6" w:rsidRPr="000B7445">
        <w:rPr>
          <w:b/>
          <w:caps/>
          <w:u w:val="thick"/>
        </w:rPr>
        <w:t>unicipal Bond Transactio</w:t>
      </w:r>
      <w:r w:rsidR="00576EC6" w:rsidRPr="000B7445">
        <w:rPr>
          <w:b/>
          <w:caps/>
          <w:u w:val="thick"/>
        </w:rPr>
        <w:t>ns</w:t>
      </w:r>
      <w:r w:rsidR="003A04A6" w:rsidRPr="000B7445">
        <w:rPr>
          <w:b/>
          <w:caps/>
          <w:u w:val="thick"/>
        </w:rPr>
        <w:t>/</w:t>
      </w:r>
      <w:r w:rsidR="00EB250F" w:rsidRPr="000B7445">
        <w:rPr>
          <w:b/>
          <w:caps/>
          <w:u w:val="thick"/>
        </w:rPr>
        <w:t xml:space="preserve">Potential Holes In </w:t>
      </w:r>
      <w:r w:rsidR="00B82C0F" w:rsidRPr="000B7445">
        <w:rPr>
          <w:b/>
          <w:caps/>
          <w:u w:val="thick"/>
        </w:rPr>
        <w:t xml:space="preserve">Documenting The </w:t>
      </w:r>
      <w:r w:rsidR="00530F5A" w:rsidRPr="000B7445">
        <w:rPr>
          <w:b/>
          <w:caps/>
          <w:u w:val="thick"/>
        </w:rPr>
        <w:t xml:space="preserve">Municipal </w:t>
      </w:r>
      <w:r w:rsidR="00B82C0F" w:rsidRPr="000B7445">
        <w:rPr>
          <w:b/>
          <w:caps/>
          <w:u w:val="thick"/>
        </w:rPr>
        <w:t>Collateral Package</w:t>
      </w:r>
      <w:r w:rsidR="00792935" w:rsidRPr="000B7445">
        <w:rPr>
          <w:b/>
          <w:caps/>
          <w:u w:val="thick"/>
        </w:rPr>
        <w:t>/UCC Searches</w:t>
      </w:r>
      <w:r w:rsidR="00670F59" w:rsidRPr="00AE792C">
        <w:rPr>
          <w:b/>
          <w:caps/>
          <w:color w:val="000000" w:themeColor="text1"/>
          <w:u w:val="thick"/>
        </w:rPr>
        <w:t>. THE</w:t>
      </w:r>
      <w:r w:rsidR="000B7445" w:rsidRPr="00AE792C">
        <w:rPr>
          <w:b/>
          <w:caps/>
          <w:color w:val="000000" w:themeColor="text1"/>
          <w:u w:val="thick"/>
        </w:rPr>
        <w:t xml:space="preserve"> </w:t>
      </w:r>
      <w:r w:rsidR="00DD11F7" w:rsidRPr="00AE792C">
        <w:rPr>
          <w:b/>
          <w:caps/>
          <w:color w:val="000000" w:themeColor="text1"/>
          <w:u w:val="thick"/>
        </w:rPr>
        <w:t>Availability</w:t>
      </w:r>
      <w:r w:rsidR="0023516F" w:rsidRPr="00AE792C">
        <w:rPr>
          <w:b/>
          <w:caps/>
          <w:color w:val="000000" w:themeColor="text1"/>
          <w:u w:val="thick"/>
        </w:rPr>
        <w:t xml:space="preserve"> </w:t>
      </w:r>
      <w:r w:rsidR="0023516F" w:rsidRPr="00AE792C">
        <w:rPr>
          <w:b/>
          <w:caps/>
          <w:u w:val="thick"/>
        </w:rPr>
        <w:t xml:space="preserve">Of Legal Opinions </w:t>
      </w:r>
      <w:r w:rsidR="00530F5A" w:rsidRPr="00AE792C">
        <w:rPr>
          <w:b/>
          <w:caps/>
          <w:u w:val="thick"/>
        </w:rPr>
        <w:t xml:space="preserve">On The MCP </w:t>
      </w:r>
      <w:r w:rsidR="0023516F" w:rsidRPr="00AE792C">
        <w:rPr>
          <w:b/>
          <w:caps/>
          <w:u w:val="thick"/>
        </w:rPr>
        <w:t>In Favor Of Bond Trustee</w:t>
      </w:r>
      <w:r w:rsidR="00991E5C" w:rsidRPr="00AE792C">
        <w:rPr>
          <w:b/>
          <w:caps/>
          <w:u w:val="thick"/>
        </w:rPr>
        <w:t xml:space="preserve"> </w:t>
      </w:r>
      <w:r w:rsidR="00991E5C" w:rsidRPr="00AE792C">
        <w:rPr>
          <w:b/>
          <w:caps/>
          <w:color w:val="FF0000"/>
          <w:u w:val="thick"/>
        </w:rPr>
        <w:t>DAN/LES</w:t>
      </w:r>
    </w:p>
    <w:p w14:paraId="4447DAAF" w14:textId="0F3BC9E7" w:rsidR="003D2886" w:rsidRPr="00AE792C" w:rsidRDefault="003D2886" w:rsidP="00670F59">
      <w:pPr>
        <w:pStyle w:val="00BodyText5"/>
        <w:ind w:firstLine="0"/>
        <w:jc w:val="both"/>
        <w:rPr>
          <w:b/>
          <w:caps/>
          <w:color w:val="FF0000"/>
          <w:u w:val="thick"/>
        </w:rPr>
      </w:pPr>
      <w:r>
        <w:rPr>
          <w:b/>
          <w:caps/>
          <w:color w:val="FF0000"/>
          <w:u w:val="thick"/>
        </w:rPr>
        <w:t xml:space="preserve">[NOTE HERE THE STATE LAW VARIATIONS OF THE UCC 9 ESPECIALLY AS TO THE </w:t>
      </w:r>
      <w:r w:rsidR="00A6020E">
        <w:rPr>
          <w:b/>
          <w:caps/>
          <w:color w:val="FF0000"/>
          <w:u w:val="thick"/>
        </w:rPr>
        <w:t>APPLICATION OF UCC 9 TO MFTS AS WELL AS SPECIAL RULES ON PUBLIC FINANCE TRANSACTIONS AND TRANSMITTING UTILITIES</w:t>
      </w:r>
      <w:r w:rsidR="00DD54B4">
        <w:rPr>
          <w:b/>
          <w:caps/>
          <w:color w:val="FF0000"/>
          <w:u w:val="thick"/>
        </w:rPr>
        <w:t>, AND THE NEED FOR LEGAL OPINIONS ON THESE ISSUES ATTACHED TO POS]</w:t>
      </w:r>
      <w:r w:rsidR="00A6020E">
        <w:rPr>
          <w:b/>
          <w:caps/>
          <w:color w:val="FF0000"/>
          <w:u w:val="thick"/>
        </w:rPr>
        <w:t>.</w:t>
      </w:r>
    </w:p>
    <w:p w14:paraId="7E4827D2" w14:textId="3659C0EE" w:rsidR="00B82C0F" w:rsidRDefault="00E83903" w:rsidP="0095238F">
      <w:pPr>
        <w:jc w:val="both"/>
        <w:rPr>
          <w:b/>
          <w:caps/>
        </w:rPr>
      </w:pPr>
      <w:r w:rsidRPr="00763903">
        <w:rPr>
          <w:b/>
        </w:rPr>
        <w:br/>
      </w:r>
      <w:r w:rsidR="000B7445">
        <w:rPr>
          <w:b/>
          <w:caps/>
        </w:rPr>
        <w:t xml:space="preserve">NFMA RECOMMENDATIONS FOR </w:t>
      </w:r>
      <w:r w:rsidR="002D5E7E">
        <w:rPr>
          <w:b/>
          <w:caps/>
        </w:rPr>
        <w:t xml:space="preserve">PROPER </w:t>
      </w:r>
      <w:r w:rsidR="00207EB9" w:rsidRPr="002F42E3">
        <w:rPr>
          <w:b/>
          <w:caps/>
        </w:rPr>
        <w:t>Ris</w:t>
      </w:r>
      <w:r w:rsidR="00C7569D" w:rsidRPr="002F42E3">
        <w:rPr>
          <w:b/>
          <w:caps/>
        </w:rPr>
        <w:t xml:space="preserve">k Disclosure </w:t>
      </w:r>
      <w:r w:rsidR="00DD7A33" w:rsidRPr="002F42E3">
        <w:rPr>
          <w:b/>
          <w:caps/>
        </w:rPr>
        <w:t>Regarding</w:t>
      </w:r>
      <w:r w:rsidR="00C7569D" w:rsidRPr="002F42E3">
        <w:rPr>
          <w:b/>
          <w:caps/>
        </w:rPr>
        <w:t xml:space="preserve"> Municipal Collateral </w:t>
      </w:r>
      <w:r w:rsidR="004E7D1E">
        <w:rPr>
          <w:b/>
          <w:caps/>
        </w:rPr>
        <w:t xml:space="preserve">PACKAGES: RIGHTS, REMEDIES &amp; </w:t>
      </w:r>
      <w:r w:rsidR="00B97542">
        <w:rPr>
          <w:b/>
          <w:caps/>
        </w:rPr>
        <w:t xml:space="preserve">BANKRUPTCY </w:t>
      </w:r>
      <w:proofErr w:type="gramStart"/>
      <w:r w:rsidR="00252DE0" w:rsidRPr="002F42E3">
        <w:rPr>
          <w:b/>
          <w:caps/>
        </w:rPr>
        <w:t xml:space="preserve">Enforcement </w:t>
      </w:r>
      <w:r w:rsidR="00EC74EE" w:rsidRPr="002F42E3">
        <w:rPr>
          <w:b/>
          <w:caps/>
        </w:rPr>
        <w:t xml:space="preserve"> Concerns</w:t>
      </w:r>
      <w:proofErr w:type="gramEnd"/>
      <w:r w:rsidR="004E7D1E">
        <w:rPr>
          <w:b/>
          <w:caps/>
        </w:rPr>
        <w:t xml:space="preserve"> </w:t>
      </w:r>
    </w:p>
    <w:p w14:paraId="366F9E34" w14:textId="77777777" w:rsidR="002537E8" w:rsidRDefault="002537E8" w:rsidP="0095238F">
      <w:pPr>
        <w:jc w:val="both"/>
        <w:rPr>
          <w:b/>
          <w:caps/>
        </w:rPr>
      </w:pPr>
    </w:p>
    <w:p w14:paraId="29E29D65" w14:textId="406EB1F5" w:rsidR="002537E8" w:rsidRPr="00E3562B" w:rsidRDefault="002537E8" w:rsidP="0095238F">
      <w:pPr>
        <w:jc w:val="both"/>
        <w:rPr>
          <w:bCs/>
        </w:rPr>
      </w:pPr>
      <w:r w:rsidRPr="00E3562B">
        <w:rPr>
          <w:b/>
        </w:rPr>
        <w:t xml:space="preserve">      </w:t>
      </w:r>
      <w:r w:rsidRPr="00E3562B">
        <w:rPr>
          <w:bCs/>
        </w:rPr>
        <w:t xml:space="preserve">NFMA </w:t>
      </w:r>
      <w:r w:rsidR="00D71A19" w:rsidRPr="00E3562B">
        <w:rPr>
          <w:bCs/>
        </w:rPr>
        <w:t>makes the following recommendatio</w:t>
      </w:r>
      <w:r w:rsidR="00376E01">
        <w:rPr>
          <w:bCs/>
        </w:rPr>
        <w:t>n</w:t>
      </w:r>
      <w:r w:rsidR="00D71A19" w:rsidRPr="00E3562B">
        <w:rPr>
          <w:bCs/>
        </w:rPr>
        <w:t>s for POS disclosure</w:t>
      </w:r>
      <w:r w:rsidR="00376E01">
        <w:rPr>
          <w:bCs/>
        </w:rPr>
        <w:t xml:space="preserve"> in </w:t>
      </w:r>
      <w:r w:rsidR="004A23BC">
        <w:rPr>
          <w:bCs/>
        </w:rPr>
        <w:t xml:space="preserve">regarding MCPs in MFTS. These recommendations are deemed by NFMA to be material disclosures needed by a reasonable investor </w:t>
      </w:r>
      <w:r w:rsidR="005A077C">
        <w:rPr>
          <w:bCs/>
        </w:rPr>
        <w:t xml:space="preserve">in order to understand the MCP and the risks associated with its strength, secured status, scope and </w:t>
      </w:r>
      <w:r w:rsidR="006C45EF">
        <w:rPr>
          <w:bCs/>
        </w:rPr>
        <w:t>ability to be liquidated by the bond trustee.</w:t>
      </w:r>
    </w:p>
    <w:p w14:paraId="51A2EEDF" w14:textId="6EF82188" w:rsidR="000F5C16" w:rsidRPr="00AE792C" w:rsidRDefault="000F5C16" w:rsidP="0095238F">
      <w:pPr>
        <w:jc w:val="both"/>
        <w:rPr>
          <w:bCs/>
          <w:u w:val="single"/>
        </w:rPr>
      </w:pPr>
    </w:p>
    <w:p w14:paraId="577F4A0F" w14:textId="08D8D3BD" w:rsidR="00DC7F4B" w:rsidRPr="007932A9" w:rsidRDefault="004E162C" w:rsidP="00D610E8">
      <w:pPr>
        <w:pStyle w:val="ListParagraph"/>
        <w:numPr>
          <w:ilvl w:val="0"/>
          <w:numId w:val="39"/>
        </w:numPr>
        <w:jc w:val="both"/>
      </w:pPr>
      <w:r w:rsidRPr="00E3562B">
        <w:t xml:space="preserve">State Law </w:t>
      </w:r>
      <w:r w:rsidR="00D21AAF" w:rsidRPr="00E3562B">
        <w:t>Collection &amp; Collateral Liquidation Rights/</w:t>
      </w:r>
      <w:r w:rsidRPr="00E3562B">
        <w:t>Trustee</w:t>
      </w:r>
      <w:r w:rsidR="001A1AD9" w:rsidRPr="00E3562B">
        <w:t xml:space="preserve"> </w:t>
      </w:r>
      <w:r w:rsidRPr="00E3562B">
        <w:t>Rights</w:t>
      </w:r>
      <w:r w:rsidR="001A1AD9" w:rsidRPr="00E3562B">
        <w:t xml:space="preserve"> </w:t>
      </w:r>
      <w:proofErr w:type="gramStart"/>
      <w:r w:rsidR="001A1AD9" w:rsidRPr="00E3562B">
        <w:t>To</w:t>
      </w:r>
      <w:proofErr w:type="gramEnd"/>
      <w:r w:rsidR="001A1AD9" w:rsidRPr="00E3562B">
        <w:t xml:space="preserve"> Obtain Reorganizations &amp; Receiverships</w:t>
      </w:r>
      <w:r w:rsidR="00113D13" w:rsidRPr="00E3562B">
        <w:t xml:space="preserve"> Against Issuers and Borrowers/Obligors</w:t>
      </w:r>
      <w:r w:rsidR="00B97542" w:rsidRPr="00E3562B">
        <w:t xml:space="preserve"> </w:t>
      </w:r>
      <w:r w:rsidR="00BE2BE4" w:rsidRPr="00E3562B">
        <w:rPr>
          <w:color w:val="FF0000"/>
        </w:rPr>
        <w:t>(GIL)</w:t>
      </w:r>
      <w:r w:rsidR="003D4779" w:rsidRPr="00E3562B">
        <w:rPr>
          <w:color w:val="FF0000"/>
        </w:rPr>
        <w:br/>
      </w:r>
    </w:p>
    <w:p w14:paraId="157C32A0" w14:textId="41812AD6" w:rsidR="00EE21A4" w:rsidRPr="00706BC4" w:rsidRDefault="00EE21A4" w:rsidP="00EE21A4">
      <w:pPr>
        <w:pStyle w:val="ListParagraph"/>
        <w:numPr>
          <w:ilvl w:val="0"/>
          <w:numId w:val="52"/>
        </w:numPr>
        <w:spacing w:after="160" w:line="259" w:lineRule="auto"/>
        <w:rPr>
          <w:kern w:val="2"/>
          <w14:ligatures w14:val="standardContextual"/>
        </w:rPr>
      </w:pPr>
      <w:r w:rsidRPr="00706BC4">
        <w:rPr>
          <w:kern w:val="2"/>
          <w14:ligatures w14:val="standardContextual"/>
        </w:rPr>
        <w:t xml:space="preserve">For UCC Security Interests, the Uniform Commercial Code (UCC) Article 9 (UCC-9) sets forth the rights and remedies of secured parties like the Bond Trustee. UCC-9 </w:t>
      </w:r>
      <w:r w:rsidRPr="00706BC4">
        <w:rPr>
          <w:kern w:val="2"/>
          <w14:ligatures w14:val="standardContextual"/>
        </w:rPr>
        <w:lastRenderedPageBreak/>
        <w:t xml:space="preserve">allows for self-help rights/remedies as well as judicial proceedings to enforce UCC Security Interests. However, there are a number of amendments to UCC-9 that have not been adopted by all 50 states, and there are some state specific “non-uniform” parts of the UCC-9 dealing with governmental financing transactions that must be analyzed to make sure that the Bond Trustee enjoys all of the rights/remedies available under UCC-9, or that UCC-9 even applies to the MFT! The NFMA recommends that each MFT offering statement include a specific risk discussion of any non-uniform limits on a Bond Trustee’s general UCC-9 rights and remedies.  </w:t>
      </w:r>
      <w:r w:rsidRPr="00706BC4">
        <w:rPr>
          <w:kern w:val="2"/>
          <w14:ligatures w14:val="standardContextual"/>
        </w:rPr>
        <w:br/>
      </w:r>
    </w:p>
    <w:p w14:paraId="4C15DF7A" w14:textId="77777777" w:rsidR="003A1116" w:rsidRDefault="00A31E0B" w:rsidP="0093485A">
      <w:pPr>
        <w:spacing w:after="160" w:line="259" w:lineRule="auto"/>
        <w:contextualSpacing/>
        <w:rPr>
          <w:rFonts w:cs="Times New Roman"/>
          <w:kern w:val="2"/>
          <w:szCs w:val="24"/>
          <w14:ligatures w14:val="standardContextual"/>
        </w:rPr>
      </w:pPr>
      <w:r>
        <w:rPr>
          <w:kern w:val="2"/>
          <w14:ligatures w14:val="standardContextual"/>
        </w:rPr>
        <w:t xml:space="preserve">             </w:t>
      </w:r>
      <w:r w:rsidR="00422EF1">
        <w:rPr>
          <w:kern w:val="2"/>
          <w14:ligatures w14:val="standardContextual"/>
        </w:rPr>
        <w:t xml:space="preserve">2. </w:t>
      </w:r>
      <w:r w:rsidR="00C5494C">
        <w:rPr>
          <w:kern w:val="2"/>
          <w14:ligatures w14:val="standardContextual"/>
        </w:rPr>
        <w:t>F</w:t>
      </w:r>
      <w:r w:rsidR="00EE21A4" w:rsidRPr="00706BC4">
        <w:rPr>
          <w:kern w:val="2"/>
          <w14:ligatures w14:val="standardContextual"/>
        </w:rPr>
        <w:t xml:space="preserve">or Statutory Liens, a specific state/federal statute/local ordinance should </w:t>
      </w:r>
      <w:bookmarkStart w:id="2" w:name="_Hlk144818247"/>
      <w:r w:rsidR="00EE21A4" w:rsidRPr="00706BC4">
        <w:rPr>
          <w:kern w:val="2"/>
          <w14:ligatures w14:val="standardContextual"/>
        </w:rPr>
        <w:t xml:space="preserve">set forth the </w:t>
      </w:r>
      <w:r>
        <w:rPr>
          <w:kern w:val="2"/>
          <w14:ligatures w14:val="standardContextual"/>
        </w:rPr>
        <w:br/>
        <w:t xml:space="preserve">                 </w:t>
      </w:r>
      <w:r w:rsidR="00EE21A4" w:rsidRPr="00706BC4">
        <w:rPr>
          <w:kern w:val="2"/>
          <w14:ligatures w14:val="standardContextual"/>
        </w:rPr>
        <w:t xml:space="preserve">type and scope of the rights/remedies available to the Bond Trustee to enforce any </w:t>
      </w:r>
      <w:r>
        <w:rPr>
          <w:kern w:val="2"/>
          <w14:ligatures w14:val="standardContextual"/>
        </w:rPr>
        <w:br/>
        <w:t xml:space="preserve">                 </w:t>
      </w:r>
      <w:r w:rsidR="00EE21A4" w:rsidRPr="00706BC4">
        <w:rPr>
          <w:kern w:val="2"/>
          <w14:ligatures w14:val="standardContextual"/>
        </w:rPr>
        <w:t xml:space="preserve">Statutory Lien. It is important for bondholders that the MFT offering statement </w:t>
      </w:r>
      <w:r>
        <w:rPr>
          <w:kern w:val="2"/>
          <w14:ligatures w14:val="standardContextual"/>
        </w:rPr>
        <w:br/>
        <w:t xml:space="preserve">                 </w:t>
      </w:r>
      <w:r w:rsidR="00EE21A4" w:rsidRPr="00706BC4">
        <w:rPr>
          <w:kern w:val="2"/>
          <w14:ligatures w14:val="standardContextual"/>
        </w:rPr>
        <w:t xml:space="preserve">identify the specific statute/ordinance creating the Statutory Lien and excerpt the </w:t>
      </w:r>
      <w:r>
        <w:rPr>
          <w:kern w:val="2"/>
          <w14:ligatures w14:val="standardContextual"/>
        </w:rPr>
        <w:br/>
        <w:t xml:space="preserve">                 </w:t>
      </w:r>
      <w:r w:rsidR="00EE21A4" w:rsidRPr="00706BC4">
        <w:rPr>
          <w:kern w:val="2"/>
          <w14:ligatures w14:val="standardContextual"/>
        </w:rPr>
        <w:t xml:space="preserve">statute/ordinance in the appendices to disclose the available rights/remedies. For </w:t>
      </w:r>
      <w:r>
        <w:rPr>
          <w:kern w:val="2"/>
          <w14:ligatures w14:val="standardContextual"/>
        </w:rPr>
        <w:br/>
        <w:t xml:space="preserve">                 </w:t>
      </w:r>
      <w:r w:rsidR="00EE21A4" w:rsidRPr="00706BC4">
        <w:rPr>
          <w:kern w:val="2"/>
          <w14:ligatures w14:val="standardContextual"/>
        </w:rPr>
        <w:t xml:space="preserve">example, can Bond Trustee use “self-help” remedies to collect/liquidate the property </w:t>
      </w:r>
      <w:r>
        <w:rPr>
          <w:kern w:val="2"/>
          <w14:ligatures w14:val="standardContextual"/>
        </w:rPr>
        <w:br/>
        <w:t xml:space="preserve">                 </w:t>
      </w:r>
      <w:r w:rsidR="00EE21A4" w:rsidRPr="00706BC4">
        <w:rPr>
          <w:kern w:val="2"/>
          <w14:ligatures w14:val="standardContextual"/>
        </w:rPr>
        <w:t xml:space="preserve">covered by the Statutory Lien? The Indenture or loan agreement will set forth the </w:t>
      </w:r>
      <w:r>
        <w:rPr>
          <w:kern w:val="2"/>
          <w14:ligatures w14:val="standardContextual"/>
        </w:rPr>
        <w:br/>
        <w:t xml:space="preserve">                 </w:t>
      </w:r>
      <w:r w:rsidR="00EE21A4" w:rsidRPr="00706BC4">
        <w:rPr>
          <w:kern w:val="2"/>
          <w14:ligatures w14:val="standardContextual"/>
        </w:rPr>
        <w:t xml:space="preserve">Bond Trustee’s general rights and remedies applicable to the Statutory Lien, but if the </w:t>
      </w:r>
      <w:r>
        <w:rPr>
          <w:kern w:val="2"/>
          <w14:ligatures w14:val="standardContextual"/>
        </w:rPr>
        <w:br/>
        <w:t xml:space="preserve">                 </w:t>
      </w:r>
      <w:r w:rsidR="00EE21A4" w:rsidRPr="00706BC4">
        <w:rPr>
          <w:kern w:val="2"/>
          <w14:ligatures w14:val="standardContextual"/>
        </w:rPr>
        <w:t xml:space="preserve">statute/ordinance sets forth the available rights and remedies they would supersede </w:t>
      </w:r>
      <w:r>
        <w:rPr>
          <w:kern w:val="2"/>
          <w14:ligatures w14:val="standardContextual"/>
        </w:rPr>
        <w:br/>
        <w:t xml:space="preserve">                 </w:t>
      </w:r>
      <w:r w:rsidR="00EE21A4" w:rsidRPr="00706BC4">
        <w:rPr>
          <w:kern w:val="2"/>
          <w14:ligatures w14:val="standardContextual"/>
        </w:rPr>
        <w:t xml:space="preserve">those contained in the Indenture. Consequently, the MFT offering statement should </w:t>
      </w:r>
      <w:r>
        <w:rPr>
          <w:kern w:val="2"/>
          <w14:ligatures w14:val="standardContextual"/>
        </w:rPr>
        <w:br/>
        <w:t xml:space="preserve">                 </w:t>
      </w:r>
      <w:r w:rsidR="00EE21A4" w:rsidRPr="00706BC4">
        <w:rPr>
          <w:kern w:val="2"/>
          <w14:ligatures w14:val="standardContextual"/>
        </w:rPr>
        <w:t xml:space="preserve">provide disclosure of any limits on the Bond Trustee’s rights and remedies as regards </w:t>
      </w:r>
      <w:r>
        <w:rPr>
          <w:kern w:val="2"/>
          <w14:ligatures w14:val="standardContextual"/>
        </w:rPr>
        <w:br/>
        <w:t xml:space="preserve">                 </w:t>
      </w:r>
      <w:r w:rsidR="00EE21A4" w:rsidRPr="00706BC4">
        <w:rPr>
          <w:kern w:val="2"/>
          <w14:ligatures w14:val="standardContextual"/>
        </w:rPr>
        <w:t>each Statutory Lien contained in the Collateral Package.</w:t>
      </w:r>
      <w:r>
        <w:rPr>
          <w:rFonts w:cs="Times New Roman"/>
          <w:kern w:val="2"/>
          <w:szCs w:val="24"/>
          <w14:ligatures w14:val="standardContextual"/>
        </w:rPr>
        <w:t xml:space="preserve"> </w:t>
      </w:r>
    </w:p>
    <w:p w14:paraId="20256897" w14:textId="77777777" w:rsidR="003A1116" w:rsidRDefault="003A1116" w:rsidP="0093485A">
      <w:pPr>
        <w:spacing w:after="160" w:line="259" w:lineRule="auto"/>
        <w:contextualSpacing/>
        <w:rPr>
          <w:rFonts w:cs="Times New Roman"/>
          <w:kern w:val="2"/>
          <w:szCs w:val="24"/>
          <w14:ligatures w14:val="standardContextual"/>
        </w:rPr>
      </w:pPr>
    </w:p>
    <w:p w14:paraId="481EAEC5" w14:textId="7C3F1C1E" w:rsidR="00EE21A4" w:rsidRPr="0093485A" w:rsidRDefault="003A1116" w:rsidP="0093485A">
      <w:pPr>
        <w:spacing w:after="160" w:line="259" w:lineRule="auto"/>
        <w:contextualSpacing/>
        <w:rPr>
          <w:kern w:val="2"/>
          <w14:ligatures w14:val="standardContextual"/>
        </w:rPr>
      </w:pPr>
      <w:r>
        <w:rPr>
          <w:rFonts w:cs="Times New Roman"/>
          <w:kern w:val="2"/>
          <w:szCs w:val="24"/>
          <w14:ligatures w14:val="standardContextual"/>
        </w:rPr>
        <w:t xml:space="preserve">                 </w:t>
      </w:r>
      <w:r w:rsidR="00002454">
        <w:rPr>
          <w:color w:val="000000"/>
          <w:szCs w:val="27"/>
        </w:rPr>
        <w:t xml:space="preserve">NOT SURE MUNI ANALYSTS NEED A REASONED LEGAL OPINION ON </w:t>
      </w:r>
      <w:r w:rsidR="00580C91">
        <w:rPr>
          <w:color w:val="000000"/>
          <w:szCs w:val="27"/>
        </w:rPr>
        <w:br/>
        <w:t xml:space="preserve">                 </w:t>
      </w:r>
      <w:r w:rsidR="00002454">
        <w:rPr>
          <w:color w:val="000000"/>
          <w:szCs w:val="27"/>
        </w:rPr>
        <w:t xml:space="preserve">THESE ISSUES, BUT THEY NEED TO BE MADE AWARE OF THE RISKS OF </w:t>
      </w:r>
      <w:r w:rsidR="00580C91">
        <w:rPr>
          <w:color w:val="000000"/>
          <w:szCs w:val="27"/>
        </w:rPr>
        <w:br/>
        <w:t xml:space="preserve">                 </w:t>
      </w:r>
      <w:r w:rsidR="00002454">
        <w:rPr>
          <w:color w:val="000000"/>
          <w:szCs w:val="27"/>
        </w:rPr>
        <w:t xml:space="preserve">ENFORCING A STATUTORY LIEN ESPECIALLY AS THE </w:t>
      </w:r>
      <w:r w:rsidR="00580C91">
        <w:rPr>
          <w:color w:val="000000"/>
          <w:szCs w:val="27"/>
        </w:rPr>
        <w:br/>
        <w:t xml:space="preserve">                 </w:t>
      </w:r>
      <w:r w:rsidR="00002454">
        <w:rPr>
          <w:color w:val="000000"/>
          <w:szCs w:val="27"/>
        </w:rPr>
        <w:t xml:space="preserve">STATE/GOVERNMENTAL ENTITY MAY BE TOTALLY UNAWARE OF THE </w:t>
      </w:r>
      <w:r w:rsidR="00580C91">
        <w:rPr>
          <w:color w:val="000000"/>
          <w:szCs w:val="27"/>
        </w:rPr>
        <w:br/>
        <w:t xml:space="preserve">                 </w:t>
      </w:r>
      <w:r w:rsidR="00002454">
        <w:rPr>
          <w:color w:val="000000"/>
          <w:szCs w:val="27"/>
        </w:rPr>
        <w:t xml:space="preserve">EXISTENCE OF THE LIEN IN FAVOR OF THE BOND TRUSTEE SINCE NO </w:t>
      </w:r>
      <w:r w:rsidR="00580C91">
        <w:rPr>
          <w:color w:val="000000"/>
          <w:szCs w:val="27"/>
        </w:rPr>
        <w:br/>
        <w:t xml:space="preserve">                 </w:t>
      </w:r>
      <w:r w:rsidR="00002454">
        <w:rPr>
          <w:color w:val="000000"/>
          <w:szCs w:val="27"/>
        </w:rPr>
        <w:t xml:space="preserve">NOTICE OR ONDSENT IS USUALLY REQUIRED (EXCEPT FOR INTERCEPT </w:t>
      </w:r>
      <w:r w:rsidR="00580C91">
        <w:rPr>
          <w:color w:val="000000"/>
          <w:szCs w:val="27"/>
        </w:rPr>
        <w:br/>
        <w:t xml:space="preserve">                 </w:t>
      </w:r>
      <w:r w:rsidR="00002454">
        <w:rPr>
          <w:color w:val="000000"/>
          <w:szCs w:val="27"/>
        </w:rPr>
        <w:t>AGREEMENTS DISCUSSED BELOW)</w:t>
      </w:r>
      <w:r w:rsidR="00276460">
        <w:rPr>
          <w:color w:val="000000"/>
          <w:szCs w:val="27"/>
        </w:rPr>
        <w:br/>
      </w:r>
      <w:r w:rsidR="00EE21A4" w:rsidRPr="00706BC4">
        <w:rPr>
          <w:kern w:val="2"/>
          <w14:ligatures w14:val="standardContextual"/>
        </w:rPr>
        <w:br/>
      </w:r>
      <w:bookmarkEnd w:id="2"/>
      <w:r w:rsidR="00276460">
        <w:rPr>
          <w:kern w:val="2"/>
          <w14:ligatures w14:val="standardContextual"/>
        </w:rPr>
        <w:t xml:space="preserve">            3) </w:t>
      </w:r>
      <w:r w:rsidR="00EE21A4" w:rsidRPr="0093485A">
        <w:rPr>
          <w:kern w:val="2"/>
          <w14:ligatures w14:val="standardContextual"/>
        </w:rPr>
        <w:t xml:space="preserve">For Mortgages/Deeds Of Trust, the Mortgage/Deed of Trust will set forth the type and </w:t>
      </w:r>
      <w:r w:rsidR="00276460">
        <w:rPr>
          <w:kern w:val="2"/>
          <w14:ligatures w14:val="standardContextual"/>
        </w:rPr>
        <w:br/>
        <w:t xml:space="preserve">                 </w:t>
      </w:r>
      <w:r w:rsidR="00EE21A4" w:rsidRPr="0093485A">
        <w:rPr>
          <w:kern w:val="2"/>
          <w14:ligatures w14:val="standardContextual"/>
        </w:rPr>
        <w:t xml:space="preserve">scope of the private rights/remedies available to the Bond Trustee to enforce the </w:t>
      </w:r>
      <w:r w:rsidR="00276460">
        <w:rPr>
          <w:kern w:val="2"/>
          <w14:ligatures w14:val="standardContextual"/>
        </w:rPr>
        <w:br/>
        <w:t xml:space="preserve">                 </w:t>
      </w:r>
      <w:r w:rsidR="00EE21A4" w:rsidRPr="0093485A">
        <w:rPr>
          <w:kern w:val="2"/>
          <w14:ligatures w14:val="standardContextual"/>
        </w:rPr>
        <w:t xml:space="preserve">Mortgage/Deed of Trust. State law will usually set forth the rights and remedies of the </w:t>
      </w:r>
      <w:r w:rsidR="00276460">
        <w:rPr>
          <w:kern w:val="2"/>
          <w14:ligatures w14:val="standardContextual"/>
        </w:rPr>
        <w:br/>
        <w:t xml:space="preserve">                 </w:t>
      </w:r>
      <w:r w:rsidR="00EE21A4" w:rsidRPr="0093485A">
        <w:rPr>
          <w:kern w:val="2"/>
          <w14:ligatures w14:val="standardContextual"/>
        </w:rPr>
        <w:t xml:space="preserve">Bond Trustee to foreclose and liquidate real estate interests, as well as any state law </w:t>
      </w:r>
      <w:r w:rsidR="00276460">
        <w:rPr>
          <w:kern w:val="2"/>
          <w14:ligatures w14:val="standardContextual"/>
        </w:rPr>
        <w:br/>
        <w:t xml:space="preserve">                 </w:t>
      </w:r>
      <w:r w:rsidR="00EE21A4" w:rsidRPr="0093485A">
        <w:rPr>
          <w:kern w:val="2"/>
          <w14:ligatures w14:val="standardContextual"/>
        </w:rPr>
        <w:t xml:space="preserve">limitations and exceptions (e.g., redemption rights. It is important that the MFT </w:t>
      </w:r>
      <w:r w:rsidR="00276460">
        <w:rPr>
          <w:kern w:val="2"/>
          <w14:ligatures w14:val="standardContextual"/>
        </w:rPr>
        <w:br/>
        <w:t xml:space="preserve">                 </w:t>
      </w:r>
      <w:r w:rsidR="00EE21A4" w:rsidRPr="0093485A">
        <w:rPr>
          <w:kern w:val="2"/>
          <w14:ligatures w14:val="standardContextual"/>
        </w:rPr>
        <w:t xml:space="preserve">offering statement contain a complete copy of the Mortgage/Deed of Trust and </w:t>
      </w:r>
      <w:r w:rsidR="00276460">
        <w:rPr>
          <w:kern w:val="2"/>
          <w14:ligatures w14:val="standardContextual"/>
        </w:rPr>
        <w:br/>
        <w:t xml:space="preserve">                 </w:t>
      </w:r>
      <w:r w:rsidR="00EE21A4" w:rsidRPr="0093485A">
        <w:rPr>
          <w:kern w:val="2"/>
          <w14:ligatures w14:val="standardContextual"/>
        </w:rPr>
        <w:t xml:space="preserve">Leasehold Mortgage (or excerpts of the event of default and rights/remedies </w:t>
      </w:r>
      <w:r w:rsidR="00276460">
        <w:rPr>
          <w:kern w:val="2"/>
          <w14:ligatures w14:val="standardContextual"/>
        </w:rPr>
        <w:br/>
        <w:t xml:space="preserve">                 </w:t>
      </w:r>
      <w:r w:rsidR="00EE21A4" w:rsidRPr="0093485A">
        <w:rPr>
          <w:kern w:val="2"/>
          <w14:ligatures w14:val="standardContextual"/>
        </w:rPr>
        <w:t xml:space="preserve">provisions in those documents) so that bondholders can verify any limitations. </w:t>
      </w:r>
      <w:r w:rsidR="00276460">
        <w:rPr>
          <w:kern w:val="2"/>
          <w14:ligatures w14:val="standardContextual"/>
        </w:rPr>
        <w:br/>
        <w:t xml:space="preserve">                 </w:t>
      </w:r>
      <w:r w:rsidR="00EE21A4" w:rsidRPr="0093485A">
        <w:rPr>
          <w:kern w:val="2"/>
          <w14:ligatures w14:val="standardContextual"/>
        </w:rPr>
        <w:t xml:space="preserve">Consequently, the MFT offering statement should provide disclosure of any state law </w:t>
      </w:r>
      <w:r w:rsidR="00276460">
        <w:rPr>
          <w:kern w:val="2"/>
          <w14:ligatures w14:val="standardContextual"/>
        </w:rPr>
        <w:br/>
        <w:t xml:space="preserve">                 </w:t>
      </w:r>
      <w:r w:rsidR="00EE21A4" w:rsidRPr="0093485A">
        <w:rPr>
          <w:kern w:val="2"/>
          <w14:ligatures w14:val="standardContextual"/>
        </w:rPr>
        <w:t xml:space="preserve">limits on the Bond Trustee’s rights and remedies as regards each Mortgage/Deed Of </w:t>
      </w:r>
      <w:r w:rsidR="00276460">
        <w:rPr>
          <w:kern w:val="2"/>
          <w14:ligatures w14:val="standardContextual"/>
        </w:rPr>
        <w:br/>
        <w:t xml:space="preserve">                 </w:t>
      </w:r>
      <w:r w:rsidR="00EE21A4" w:rsidRPr="0093485A">
        <w:rPr>
          <w:kern w:val="2"/>
          <w14:ligatures w14:val="standardContextual"/>
        </w:rPr>
        <w:t>Trust and Leasehold Mortgage contained in the Collateral Package.</w:t>
      </w:r>
      <w:r w:rsidR="00EE21A4" w:rsidRPr="0093485A">
        <w:rPr>
          <w:kern w:val="2"/>
          <w14:ligatures w14:val="standardContextual"/>
        </w:rPr>
        <w:br/>
      </w:r>
    </w:p>
    <w:p w14:paraId="74E85DE4" w14:textId="3BE10729" w:rsidR="00E3562B" w:rsidRPr="00E3562B" w:rsidRDefault="00EE21A4" w:rsidP="00B334F5">
      <w:pPr>
        <w:pStyle w:val="ListParagraph"/>
        <w:numPr>
          <w:ilvl w:val="0"/>
          <w:numId w:val="48"/>
        </w:numPr>
        <w:spacing w:after="160" w:line="259" w:lineRule="auto"/>
        <w:rPr>
          <w:b/>
          <w:caps/>
          <w:kern w:val="2"/>
          <w:sz w:val="22"/>
          <w14:ligatures w14:val="standardContextual"/>
        </w:rPr>
      </w:pPr>
      <w:r w:rsidRPr="00E3562B">
        <w:rPr>
          <w:kern w:val="2"/>
          <w14:ligatures w14:val="standardContextual"/>
        </w:rPr>
        <w:t xml:space="preserve">For Collateral Assignments </w:t>
      </w:r>
      <w:proofErr w:type="gramStart"/>
      <w:r w:rsidRPr="00E3562B">
        <w:rPr>
          <w:kern w:val="2"/>
          <w14:ligatures w14:val="standardContextual"/>
        </w:rPr>
        <w:t>Of</w:t>
      </w:r>
      <w:proofErr w:type="gramEnd"/>
      <w:r w:rsidRPr="00E3562B">
        <w:rPr>
          <w:kern w:val="2"/>
          <w14:ligatures w14:val="standardContextual"/>
        </w:rPr>
        <w:t xml:space="preserve"> Contracts, the Bond Trustee’s rights and remedies to enforce the contracts are first governed by the assigned contracts (if any), and second </w:t>
      </w:r>
      <w:r w:rsidRPr="00E3562B">
        <w:rPr>
          <w:kern w:val="2"/>
          <w14:ligatures w14:val="standardContextual"/>
        </w:rPr>
        <w:lastRenderedPageBreak/>
        <w:t>by the terms of the collateral assignment agreement between the Bond Trustee and borrower/obligor. Consequently, there will be more variability and potential “holes” in the rights and remedies available to the Bond Trustee respecting enforcing collateral assignments. For example, does the Bond Trustee have ability to go to court and enforce the contract? Consequently, the MFT offering statement should provide disclosure of any state law limits on the Bond Trustee’s rights and remedies as regards each Collateral Assignment contained in the Collateral Package.</w:t>
      </w:r>
      <w:r w:rsidRPr="00E3562B">
        <w:rPr>
          <w:kern w:val="2"/>
          <w14:ligatures w14:val="standardContextual"/>
        </w:rPr>
        <w:br/>
      </w:r>
    </w:p>
    <w:p w14:paraId="5D18FD97" w14:textId="097BFEBD" w:rsidR="00EE21A4" w:rsidRPr="00580C91" w:rsidRDefault="00EE21A4" w:rsidP="00E3562B">
      <w:pPr>
        <w:pStyle w:val="ListParagraph"/>
        <w:numPr>
          <w:ilvl w:val="0"/>
          <w:numId w:val="48"/>
        </w:numPr>
        <w:spacing w:after="160" w:line="259" w:lineRule="auto"/>
        <w:rPr>
          <w:b/>
          <w:caps/>
          <w:kern w:val="2"/>
          <w:sz w:val="22"/>
          <w14:ligatures w14:val="standardContextual"/>
        </w:rPr>
      </w:pPr>
      <w:r w:rsidRPr="00580C91">
        <w:rPr>
          <w:kern w:val="2"/>
          <w14:ligatures w14:val="standardContextual"/>
        </w:rPr>
        <w:t xml:space="preserve">For Common Law Pledges, the rights and remedies of the Bond Trustee may not be clear under the state law common law pertaining to Common Law Pledges—and may be out of date! The most prevalent common law right pertaining to Common Law Pledges is the Bond Trustee’s </w:t>
      </w:r>
      <w:proofErr w:type="spellStart"/>
      <w:r w:rsidRPr="00580C91">
        <w:rPr>
          <w:kern w:val="2"/>
          <w14:ligatures w14:val="standardContextual"/>
        </w:rPr>
        <w:t>rIght</w:t>
      </w:r>
      <w:proofErr w:type="spellEnd"/>
      <w:r w:rsidRPr="00580C91">
        <w:rPr>
          <w:kern w:val="2"/>
          <w14:ligatures w14:val="standardContextual"/>
        </w:rPr>
        <w:t xml:space="preserve"> of set-off. The documents creating approval for the governmental financing may provide some specification of the Bond Trustee’s rights and remedies regarding any Common Law Pledge. In addition, the Indenture sets forth the Bond Trustee’s general rights and remedies regarding the Collateral Package including any Common Law Pledges. Consequently, the MFT offering statement should provide disclosure of the scope and limits on the Bond Trustee’s rights and remedies as regards each Common Law Pledge contained in the Collateral Package.</w:t>
      </w:r>
      <w:r w:rsidRPr="00580C91">
        <w:rPr>
          <w:kern w:val="2"/>
          <w14:ligatures w14:val="standardContextual"/>
        </w:rPr>
        <w:br/>
      </w:r>
    </w:p>
    <w:p w14:paraId="23E95024" w14:textId="2E322E55" w:rsidR="00844BEB" w:rsidRPr="00320BDA" w:rsidRDefault="00AC33D9" w:rsidP="00844BEB">
      <w:pPr>
        <w:pStyle w:val="ListParagraph"/>
        <w:numPr>
          <w:ilvl w:val="0"/>
          <w:numId w:val="39"/>
        </w:numPr>
        <w:jc w:val="both"/>
        <w:rPr>
          <w:b/>
          <w:caps/>
        </w:rPr>
      </w:pPr>
      <w:r w:rsidRPr="00706BC4">
        <w:rPr>
          <w:b/>
          <w:caps/>
          <w:u w:val="single"/>
        </w:rPr>
        <w:t xml:space="preserve">Chapter 7/9/11 Bankruptcy Risk Disclosure </w:t>
      </w:r>
      <w:r w:rsidRPr="00320BDA">
        <w:rPr>
          <w:b/>
          <w:caps/>
          <w:u w:val="single"/>
        </w:rPr>
        <w:t>(Issuer</w:t>
      </w:r>
      <w:r w:rsidR="00844BEB">
        <w:rPr>
          <w:b/>
          <w:caps/>
          <w:u w:val="single"/>
        </w:rPr>
        <w:t xml:space="preserve">, </w:t>
      </w:r>
      <w:proofErr w:type="gramStart"/>
      <w:r w:rsidRPr="00320BDA">
        <w:rPr>
          <w:b/>
          <w:caps/>
          <w:u w:val="single"/>
        </w:rPr>
        <w:t>Borrower</w:t>
      </w:r>
      <w:r w:rsidR="00844BEB">
        <w:rPr>
          <w:b/>
          <w:caps/>
          <w:u w:val="single"/>
        </w:rPr>
        <w:t xml:space="preserve">,  </w:t>
      </w:r>
      <w:r w:rsidRPr="00320BDA">
        <w:rPr>
          <w:b/>
          <w:caps/>
          <w:u w:val="single"/>
        </w:rPr>
        <w:t>Obligor</w:t>
      </w:r>
      <w:proofErr w:type="gramEnd"/>
      <w:r w:rsidR="00844BEB">
        <w:rPr>
          <w:b/>
          <w:caps/>
          <w:u w:val="single"/>
        </w:rPr>
        <w:t xml:space="preserve"> &amp; </w:t>
      </w:r>
      <w:r w:rsidRPr="00320BDA">
        <w:rPr>
          <w:b/>
          <w:caps/>
          <w:u w:val="single"/>
        </w:rPr>
        <w:t>Pledgor)</w:t>
      </w:r>
    </w:p>
    <w:p w14:paraId="5D4C823E" w14:textId="42DC7235" w:rsidR="00007DCF" w:rsidRPr="00D76033" w:rsidRDefault="00B05457" w:rsidP="00844BEB">
      <w:pPr>
        <w:pStyle w:val="ListParagraph"/>
        <w:ind w:left="660"/>
        <w:jc w:val="both"/>
        <w:rPr>
          <w:color w:val="FF0000"/>
        </w:rPr>
      </w:pPr>
      <w:r w:rsidRPr="00320BDA">
        <w:rPr>
          <w:b/>
          <w:caps/>
          <w:u w:val="single"/>
        </w:rPr>
        <w:br/>
      </w:r>
      <w:r w:rsidR="00E3562B" w:rsidRPr="0039780D">
        <w:t xml:space="preserve">   </w:t>
      </w:r>
      <w:r w:rsidR="00135DDD" w:rsidRPr="00D76033">
        <w:t>1</w:t>
      </w:r>
      <w:r w:rsidR="00E3562B" w:rsidRPr="00D76033">
        <w:t>.</w:t>
      </w:r>
      <w:r w:rsidR="00135DDD" w:rsidRPr="00D76033">
        <w:t xml:space="preserve"> </w:t>
      </w:r>
      <w:r w:rsidR="00AC33D9" w:rsidRPr="00D76033">
        <w:t xml:space="preserve">Chapter 9 Filing Eligibility </w:t>
      </w:r>
      <w:proofErr w:type="gramStart"/>
      <w:r w:rsidR="00AC33D9" w:rsidRPr="00D76033">
        <w:t>Of</w:t>
      </w:r>
      <w:proofErr w:type="gramEnd"/>
      <w:r w:rsidR="00AC33D9" w:rsidRPr="00D76033">
        <w:t xml:space="preserve"> </w:t>
      </w:r>
      <w:r w:rsidR="00135DDD" w:rsidRPr="00D76033">
        <w:t xml:space="preserve">Govt </w:t>
      </w:r>
      <w:r w:rsidR="00AC33D9" w:rsidRPr="00D76033">
        <w:t>Issuers</w:t>
      </w:r>
      <w:r w:rsidR="001119BA" w:rsidRPr="00D76033">
        <w:t xml:space="preserve"> </w:t>
      </w:r>
      <w:r w:rsidR="00007DCF" w:rsidRPr="00D76033">
        <w:t>(</w:t>
      </w:r>
      <w:r w:rsidR="001119BA" w:rsidRPr="00D76033">
        <w:rPr>
          <w:color w:val="FF0000"/>
        </w:rPr>
        <w:t>GIL</w:t>
      </w:r>
      <w:r w:rsidR="00007DCF" w:rsidRPr="00D76033">
        <w:rPr>
          <w:color w:val="FF0000"/>
        </w:rPr>
        <w:t>)</w:t>
      </w:r>
    </w:p>
    <w:p w14:paraId="613CA9E0" w14:textId="77777777" w:rsidR="00E9661A" w:rsidRPr="00D76033" w:rsidRDefault="00E9661A" w:rsidP="00844BEB">
      <w:pPr>
        <w:pStyle w:val="ListParagraph"/>
        <w:ind w:left="660"/>
        <w:jc w:val="both"/>
        <w:rPr>
          <w:color w:val="FF0000"/>
        </w:rPr>
      </w:pPr>
    </w:p>
    <w:p w14:paraId="62ABEC65" w14:textId="625B58FB" w:rsidR="001B1794" w:rsidRPr="0039780D" w:rsidRDefault="00E9661A" w:rsidP="00320BDA">
      <w:pPr>
        <w:pStyle w:val="ListParagraph"/>
        <w:ind w:left="660"/>
        <w:jc w:val="both"/>
        <w:rPr>
          <w:color w:val="000000" w:themeColor="text1"/>
        </w:rPr>
      </w:pPr>
      <w:r w:rsidRPr="0039780D">
        <w:rPr>
          <w:color w:val="FF0000"/>
        </w:rPr>
        <w:t xml:space="preserve">     </w:t>
      </w:r>
      <w:r w:rsidR="00AA5369" w:rsidRPr="0039780D">
        <w:rPr>
          <w:color w:val="000000" w:themeColor="text1"/>
        </w:rPr>
        <w:t xml:space="preserve">The </w:t>
      </w:r>
      <w:r w:rsidR="00CB2108" w:rsidRPr="0039780D">
        <w:rPr>
          <w:color w:val="000000" w:themeColor="text1"/>
        </w:rPr>
        <w:t>bond trustee</w:t>
      </w:r>
      <w:r w:rsidR="008F54D4" w:rsidRPr="0039780D">
        <w:rPr>
          <w:color w:val="000000" w:themeColor="text1"/>
        </w:rPr>
        <w:t>’</w:t>
      </w:r>
      <w:r w:rsidR="00CB2108" w:rsidRPr="0039780D">
        <w:rPr>
          <w:color w:val="000000" w:themeColor="text1"/>
        </w:rPr>
        <w:t xml:space="preserve">s </w:t>
      </w:r>
      <w:r w:rsidR="00AA5369" w:rsidRPr="0039780D">
        <w:rPr>
          <w:color w:val="000000" w:themeColor="text1"/>
        </w:rPr>
        <w:t>enforcement of any rights and remedies (self-help an</w:t>
      </w:r>
      <w:r w:rsidR="00587F21" w:rsidRPr="0039780D">
        <w:rPr>
          <w:color w:val="000000" w:themeColor="text1"/>
        </w:rPr>
        <w:t>d</w:t>
      </w:r>
      <w:r w:rsidR="00AA5369" w:rsidRPr="0039780D">
        <w:rPr>
          <w:color w:val="000000" w:themeColor="text1"/>
        </w:rPr>
        <w:t xml:space="preserve"> judicial)</w:t>
      </w:r>
      <w:r w:rsidR="00CB2108" w:rsidRPr="0039780D">
        <w:rPr>
          <w:color w:val="000000" w:themeColor="text1"/>
        </w:rPr>
        <w:t xml:space="preserve"> against the MCP </w:t>
      </w:r>
      <w:r w:rsidR="008D1A31" w:rsidRPr="0039780D">
        <w:rPr>
          <w:color w:val="000000" w:themeColor="text1"/>
        </w:rPr>
        <w:t xml:space="preserve">can be </w:t>
      </w:r>
      <w:r w:rsidR="00527409" w:rsidRPr="0039780D">
        <w:rPr>
          <w:color w:val="000000" w:themeColor="text1"/>
        </w:rPr>
        <w:t xml:space="preserve">limited and thwarted by a Chapter 9 bankruptcy filing by a </w:t>
      </w:r>
      <w:r w:rsidR="00992C63" w:rsidRPr="0039780D">
        <w:rPr>
          <w:color w:val="000000" w:themeColor="text1"/>
        </w:rPr>
        <w:t>local govt. Consequen</w:t>
      </w:r>
      <w:r w:rsidR="00BE2B29" w:rsidRPr="0039780D">
        <w:rPr>
          <w:color w:val="000000" w:themeColor="text1"/>
        </w:rPr>
        <w:t xml:space="preserve">tly, NFMA believes that each POS should have specific risk disclosure </w:t>
      </w:r>
      <w:r w:rsidR="00B224B1" w:rsidRPr="0039780D">
        <w:rPr>
          <w:color w:val="000000" w:themeColor="text1"/>
        </w:rPr>
        <w:t xml:space="preserve">on the </w:t>
      </w:r>
      <w:r w:rsidR="00020A40" w:rsidRPr="0039780D">
        <w:rPr>
          <w:color w:val="000000" w:themeColor="text1"/>
        </w:rPr>
        <w:t xml:space="preserve">Chap 9 </w:t>
      </w:r>
      <w:r w:rsidR="00B224B1" w:rsidRPr="0039780D">
        <w:rPr>
          <w:color w:val="000000" w:themeColor="text1"/>
        </w:rPr>
        <w:t xml:space="preserve">eligibility of each government entity </w:t>
      </w:r>
      <w:r w:rsidR="00C635A1" w:rsidRPr="0039780D">
        <w:rPr>
          <w:color w:val="000000" w:themeColor="text1"/>
        </w:rPr>
        <w:t xml:space="preserve">providing any </w:t>
      </w:r>
      <w:r w:rsidR="008F54D4" w:rsidRPr="0039780D">
        <w:rPr>
          <w:color w:val="000000" w:themeColor="text1"/>
        </w:rPr>
        <w:t>p</w:t>
      </w:r>
      <w:r w:rsidR="00C635A1" w:rsidRPr="0039780D">
        <w:rPr>
          <w:color w:val="000000" w:themeColor="text1"/>
        </w:rPr>
        <w:t xml:space="preserve">art of the </w:t>
      </w:r>
      <w:r w:rsidR="00B224B1" w:rsidRPr="0039780D">
        <w:rPr>
          <w:color w:val="000000" w:themeColor="text1"/>
        </w:rPr>
        <w:t>MCP</w:t>
      </w:r>
      <w:r w:rsidR="00992C63" w:rsidRPr="0039780D">
        <w:rPr>
          <w:color w:val="000000" w:themeColor="text1"/>
        </w:rPr>
        <w:t xml:space="preserve">, </w:t>
      </w:r>
      <w:r w:rsidRPr="0039780D">
        <w:rPr>
          <w:color w:val="000000" w:themeColor="text1"/>
        </w:rPr>
        <w:t>State</w:t>
      </w:r>
      <w:r w:rsidR="00A364D9" w:rsidRPr="0039780D">
        <w:rPr>
          <w:color w:val="000000" w:themeColor="text1"/>
        </w:rPr>
        <w:t xml:space="preserve"> law regulates whether a</w:t>
      </w:r>
      <w:r w:rsidR="00200438" w:rsidRPr="0039780D">
        <w:rPr>
          <w:color w:val="000000" w:themeColor="text1"/>
        </w:rPr>
        <w:t xml:space="preserve"> </w:t>
      </w:r>
      <w:r w:rsidR="00C47270" w:rsidRPr="0039780D">
        <w:rPr>
          <w:color w:val="000000" w:themeColor="text1"/>
        </w:rPr>
        <w:t xml:space="preserve">local </w:t>
      </w:r>
      <w:r w:rsidR="00A364D9" w:rsidRPr="0039780D">
        <w:rPr>
          <w:color w:val="000000" w:themeColor="text1"/>
        </w:rPr>
        <w:t xml:space="preserve">government </w:t>
      </w:r>
      <w:r w:rsidR="00EF1CE6" w:rsidRPr="0039780D">
        <w:rPr>
          <w:color w:val="000000" w:themeColor="text1"/>
        </w:rPr>
        <w:t xml:space="preserve">can utilize Chapter 9 bankruptcy. </w:t>
      </w:r>
      <w:r w:rsidR="00C47270" w:rsidRPr="0039780D">
        <w:rPr>
          <w:color w:val="000000" w:themeColor="text1"/>
        </w:rPr>
        <w:t xml:space="preserve">In addition, </w:t>
      </w:r>
      <w:r w:rsidR="00EF1CE6" w:rsidRPr="0039780D">
        <w:rPr>
          <w:color w:val="000000" w:themeColor="text1"/>
        </w:rPr>
        <w:t>States</w:t>
      </w:r>
      <w:r w:rsidR="00C47270" w:rsidRPr="0039780D">
        <w:rPr>
          <w:color w:val="000000" w:themeColor="text1"/>
        </w:rPr>
        <w:t xml:space="preserve"> and US Commonwealths (Puerto Rico, Virgin Islands, Guam) </w:t>
      </w:r>
      <w:r w:rsidR="00EF1CE6" w:rsidRPr="0039780D">
        <w:rPr>
          <w:color w:val="000000" w:themeColor="text1"/>
        </w:rPr>
        <w:t xml:space="preserve">themselves cannot file Chap </w:t>
      </w:r>
      <w:r w:rsidR="00C47270" w:rsidRPr="0039780D">
        <w:rPr>
          <w:color w:val="000000" w:themeColor="text1"/>
        </w:rPr>
        <w:t>9 bankruptcy under the US Ba</w:t>
      </w:r>
      <w:r w:rsidR="00200438" w:rsidRPr="0039780D">
        <w:rPr>
          <w:color w:val="000000" w:themeColor="text1"/>
        </w:rPr>
        <w:t>n</w:t>
      </w:r>
      <w:r w:rsidR="00C47270" w:rsidRPr="0039780D">
        <w:rPr>
          <w:color w:val="000000" w:themeColor="text1"/>
        </w:rPr>
        <w:t>kruptcy Code</w:t>
      </w:r>
      <w:r w:rsidR="00200438" w:rsidRPr="0039780D">
        <w:rPr>
          <w:color w:val="000000" w:themeColor="text1"/>
        </w:rPr>
        <w:t xml:space="preserve"> itself</w:t>
      </w:r>
      <w:r w:rsidR="00C47270" w:rsidRPr="0039780D">
        <w:rPr>
          <w:color w:val="000000" w:themeColor="text1"/>
        </w:rPr>
        <w:t>.</w:t>
      </w:r>
      <w:r w:rsidR="00200438" w:rsidRPr="0039780D">
        <w:rPr>
          <w:color w:val="000000" w:themeColor="text1"/>
        </w:rPr>
        <w:t xml:space="preserve"> </w:t>
      </w:r>
      <w:r w:rsidR="008D7B3B" w:rsidRPr="0039780D">
        <w:rPr>
          <w:color w:val="000000" w:themeColor="text1"/>
        </w:rPr>
        <w:t xml:space="preserve">Each State has different rules on the Chapter 9 eligibility of a local government, and this Whitepaper will not </w:t>
      </w:r>
      <w:r w:rsidR="007954B5" w:rsidRPr="0039780D">
        <w:rPr>
          <w:color w:val="000000" w:themeColor="text1"/>
        </w:rPr>
        <w:t>address all of these state rules. However, attached to this Whitepaper in App</w:t>
      </w:r>
      <w:r w:rsidR="00225208" w:rsidRPr="0039780D">
        <w:rPr>
          <w:color w:val="000000" w:themeColor="text1"/>
        </w:rPr>
        <w:t xml:space="preserve">endix __ is a summary of those various State rules compiled by Atty James </w:t>
      </w:r>
      <w:proofErr w:type="spellStart"/>
      <w:r w:rsidR="00225208" w:rsidRPr="0039780D">
        <w:rPr>
          <w:color w:val="000000" w:themeColor="text1"/>
        </w:rPr>
        <w:t>Spiotto</w:t>
      </w:r>
      <w:proofErr w:type="spellEnd"/>
      <w:r w:rsidR="003A01A8" w:rsidRPr="0039780D">
        <w:rPr>
          <w:color w:val="000000" w:themeColor="text1"/>
        </w:rPr>
        <w:t xml:space="preserve"> in _____. NFMA refers interested </w:t>
      </w:r>
      <w:proofErr w:type="spellStart"/>
      <w:r w:rsidR="003A01A8" w:rsidRPr="0039780D">
        <w:rPr>
          <w:color w:val="000000" w:themeColor="text1"/>
        </w:rPr>
        <w:t>muni</w:t>
      </w:r>
      <w:proofErr w:type="spellEnd"/>
      <w:r w:rsidR="003A01A8" w:rsidRPr="0039780D">
        <w:rPr>
          <w:color w:val="000000" w:themeColor="text1"/>
        </w:rPr>
        <w:t xml:space="preserve"> analysts to this reference for specifics </w:t>
      </w:r>
      <w:r w:rsidR="00AA5369" w:rsidRPr="0039780D">
        <w:rPr>
          <w:color w:val="000000" w:themeColor="text1"/>
        </w:rPr>
        <w:t>on each State.</w:t>
      </w:r>
      <w:r w:rsidR="00D8682A" w:rsidRPr="0039780D">
        <w:rPr>
          <w:color w:val="000000" w:themeColor="text1"/>
        </w:rPr>
        <w:t xml:space="preserve"> It should be noted that even if a government e</w:t>
      </w:r>
      <w:r w:rsidR="0007098D" w:rsidRPr="0039780D">
        <w:rPr>
          <w:color w:val="000000" w:themeColor="text1"/>
        </w:rPr>
        <w:t>n</w:t>
      </w:r>
      <w:r w:rsidR="00D8682A" w:rsidRPr="0039780D">
        <w:rPr>
          <w:color w:val="000000" w:themeColor="text1"/>
        </w:rPr>
        <w:t>ti</w:t>
      </w:r>
      <w:r w:rsidR="0007098D" w:rsidRPr="0039780D">
        <w:rPr>
          <w:color w:val="000000" w:themeColor="text1"/>
        </w:rPr>
        <w:t>t</w:t>
      </w:r>
      <w:r w:rsidR="00D8682A" w:rsidRPr="0039780D">
        <w:rPr>
          <w:color w:val="000000" w:themeColor="text1"/>
        </w:rPr>
        <w:t xml:space="preserve">y </w:t>
      </w:r>
      <w:r w:rsidR="0007098D" w:rsidRPr="0039780D">
        <w:rPr>
          <w:color w:val="000000" w:themeColor="text1"/>
        </w:rPr>
        <w:t>can file for Chapter 9 bankruptcy, there is no right of its creditors to file an</w:t>
      </w:r>
      <w:r w:rsidR="009B59F0" w:rsidRPr="0039780D">
        <w:rPr>
          <w:color w:val="000000" w:themeColor="text1"/>
        </w:rPr>
        <w:t xml:space="preserve"> </w:t>
      </w:r>
      <w:r w:rsidR="0007098D" w:rsidRPr="0039780D">
        <w:rPr>
          <w:color w:val="000000" w:themeColor="text1"/>
        </w:rPr>
        <w:t>involuntary Chapter 9 ba</w:t>
      </w:r>
      <w:r w:rsidR="009B59F0" w:rsidRPr="0039780D">
        <w:rPr>
          <w:color w:val="000000" w:themeColor="text1"/>
        </w:rPr>
        <w:t>n</w:t>
      </w:r>
      <w:r w:rsidR="0007098D" w:rsidRPr="0039780D">
        <w:rPr>
          <w:color w:val="000000" w:themeColor="text1"/>
        </w:rPr>
        <w:t>kruptcy.</w:t>
      </w:r>
      <w:r w:rsidR="00B94688" w:rsidRPr="0039780D">
        <w:rPr>
          <w:color w:val="000000" w:themeColor="text1"/>
        </w:rPr>
        <w:t xml:space="preserve"> WARNING: Certain </w:t>
      </w:r>
      <w:r w:rsidR="00440CB7" w:rsidRPr="0039780D">
        <w:rPr>
          <w:color w:val="000000" w:themeColor="text1"/>
        </w:rPr>
        <w:t xml:space="preserve">quasi government issuers may not qualify to </w:t>
      </w:r>
      <w:r w:rsidR="005F2450" w:rsidRPr="0039780D">
        <w:rPr>
          <w:color w:val="000000" w:themeColor="text1"/>
        </w:rPr>
        <w:t>file a Chap,9, but are then free to use Chapter 7 or 11 bankruptcy.</w:t>
      </w:r>
    </w:p>
    <w:p w14:paraId="33861758" w14:textId="77777777" w:rsidR="00D76033" w:rsidRPr="0039780D" w:rsidRDefault="00007DCF" w:rsidP="00320BDA">
      <w:pPr>
        <w:pStyle w:val="ListParagraph"/>
        <w:ind w:left="660"/>
        <w:jc w:val="both"/>
        <w:rPr>
          <w:color w:val="FF0000"/>
        </w:rPr>
      </w:pPr>
      <w:r w:rsidRPr="0039780D">
        <w:rPr>
          <w:color w:val="000000" w:themeColor="text1"/>
        </w:rPr>
        <w:br/>
        <w:t xml:space="preserve"> </w:t>
      </w:r>
      <w:r w:rsidR="00020A40" w:rsidRPr="0039780D">
        <w:rPr>
          <w:color w:val="000000" w:themeColor="text1"/>
        </w:rPr>
        <w:t xml:space="preserve">2. </w:t>
      </w:r>
      <w:r w:rsidR="00AC33D9" w:rsidRPr="0039780D">
        <w:rPr>
          <w:color w:val="000000" w:themeColor="text1"/>
        </w:rPr>
        <w:t xml:space="preserve">Chapter </w:t>
      </w:r>
      <w:r w:rsidR="00D8682A" w:rsidRPr="0039780D">
        <w:rPr>
          <w:color w:val="000000" w:themeColor="text1"/>
        </w:rPr>
        <w:t>7/</w:t>
      </w:r>
      <w:r w:rsidR="00AC33D9" w:rsidRPr="0039780D">
        <w:rPr>
          <w:color w:val="000000" w:themeColor="text1"/>
        </w:rPr>
        <w:t xml:space="preserve">11 Filing Eligibility </w:t>
      </w:r>
      <w:proofErr w:type="gramStart"/>
      <w:r w:rsidR="00AC33D9" w:rsidRPr="0039780D">
        <w:rPr>
          <w:color w:val="000000" w:themeColor="text1"/>
        </w:rPr>
        <w:t>Of</w:t>
      </w:r>
      <w:proofErr w:type="gramEnd"/>
      <w:r w:rsidR="00AC33D9" w:rsidRPr="0039780D">
        <w:rPr>
          <w:color w:val="000000" w:themeColor="text1"/>
        </w:rPr>
        <w:t xml:space="preserve"> Issuers, Borrowers/Obligors &amp; Pledgors; Involuntary </w:t>
      </w:r>
      <w:r w:rsidR="001B1794" w:rsidRPr="0039780D">
        <w:rPr>
          <w:color w:val="000000" w:themeColor="text1"/>
        </w:rPr>
        <w:br/>
        <w:t xml:space="preserve">      </w:t>
      </w:r>
      <w:r w:rsidR="00AC33D9" w:rsidRPr="0039780D">
        <w:rPr>
          <w:color w:val="000000" w:themeColor="text1"/>
        </w:rPr>
        <w:t>Chapter 11 Filings</w:t>
      </w:r>
      <w:r w:rsidR="001119BA" w:rsidRPr="0039780D">
        <w:rPr>
          <w:color w:val="000000" w:themeColor="text1"/>
        </w:rPr>
        <w:t xml:space="preserve"> </w:t>
      </w:r>
      <w:r w:rsidR="001119BA" w:rsidRPr="0039780D">
        <w:rPr>
          <w:color w:val="FF0000"/>
        </w:rPr>
        <w:t>GIL</w:t>
      </w:r>
    </w:p>
    <w:p w14:paraId="2D85E5E8" w14:textId="564D1A74" w:rsidR="0039780D" w:rsidRDefault="001B1794" w:rsidP="00320BDA">
      <w:pPr>
        <w:pStyle w:val="ListParagraph"/>
        <w:ind w:left="660"/>
        <w:jc w:val="both"/>
        <w:rPr>
          <w:color w:val="000000" w:themeColor="text1"/>
        </w:rPr>
      </w:pPr>
      <w:r w:rsidRPr="0039780D">
        <w:rPr>
          <w:color w:val="FF0000"/>
        </w:rPr>
        <w:br/>
      </w:r>
      <w:r w:rsidR="00890E65" w:rsidRPr="0039780D">
        <w:rPr>
          <w:color w:val="000000" w:themeColor="text1"/>
        </w:rPr>
        <w:t xml:space="preserve">Private (i.e., non-governmental) </w:t>
      </w:r>
      <w:r w:rsidR="003813F7" w:rsidRPr="0039780D">
        <w:rPr>
          <w:color w:val="000000" w:themeColor="text1"/>
        </w:rPr>
        <w:t>borrowers, obligo</w:t>
      </w:r>
      <w:r w:rsidR="003E2FE9" w:rsidRPr="0039780D">
        <w:rPr>
          <w:color w:val="000000" w:themeColor="text1"/>
        </w:rPr>
        <w:t>r</w:t>
      </w:r>
      <w:r w:rsidR="003813F7" w:rsidRPr="0039780D">
        <w:rPr>
          <w:color w:val="000000" w:themeColor="text1"/>
        </w:rPr>
        <w:t>s and pledgors are not eligible to file Chapter 9 bankruptcy, but are free to file either a Chapter 7</w:t>
      </w:r>
      <w:r w:rsidR="003E2FE9" w:rsidRPr="0039780D">
        <w:rPr>
          <w:color w:val="000000" w:themeColor="text1"/>
        </w:rPr>
        <w:t xml:space="preserve"> liquidation</w:t>
      </w:r>
      <w:r w:rsidR="003813F7" w:rsidRPr="0039780D">
        <w:rPr>
          <w:color w:val="000000" w:themeColor="text1"/>
        </w:rPr>
        <w:t xml:space="preserve"> </w:t>
      </w:r>
      <w:r w:rsidR="003E2FE9" w:rsidRPr="0039780D">
        <w:rPr>
          <w:color w:val="000000" w:themeColor="text1"/>
        </w:rPr>
        <w:t>or a Chapter 11 reorganization</w:t>
      </w:r>
      <w:r w:rsidR="008613BB" w:rsidRPr="0039780D">
        <w:rPr>
          <w:color w:val="000000" w:themeColor="text1"/>
        </w:rPr>
        <w:t xml:space="preserve">. In addition, </w:t>
      </w:r>
      <w:r w:rsidR="008170EA" w:rsidRPr="0039780D">
        <w:rPr>
          <w:color w:val="000000" w:themeColor="text1"/>
        </w:rPr>
        <w:t xml:space="preserve">at least three unsecured </w:t>
      </w:r>
      <w:r w:rsidR="008613BB" w:rsidRPr="0039780D">
        <w:rPr>
          <w:color w:val="000000" w:themeColor="text1"/>
        </w:rPr>
        <w:t xml:space="preserve">creditors of these private entities can file an involuntary Chapter 7 or 11 proceeding </w:t>
      </w:r>
      <w:r w:rsidR="008170EA" w:rsidRPr="0039780D">
        <w:rPr>
          <w:color w:val="000000" w:themeColor="text1"/>
        </w:rPr>
        <w:t>with the sole exception that 501</w:t>
      </w:r>
      <w:proofErr w:type="gramStart"/>
      <w:r w:rsidR="008170EA" w:rsidRPr="0039780D">
        <w:rPr>
          <w:color w:val="000000" w:themeColor="text1"/>
        </w:rPr>
        <w:t>©(</w:t>
      </w:r>
      <w:proofErr w:type="gramEnd"/>
      <w:r w:rsidR="008170EA" w:rsidRPr="0039780D">
        <w:rPr>
          <w:color w:val="000000" w:themeColor="text1"/>
        </w:rPr>
        <w:t xml:space="preserve">3) </w:t>
      </w:r>
      <w:r w:rsidR="00E01301" w:rsidRPr="0039780D">
        <w:rPr>
          <w:color w:val="000000" w:themeColor="text1"/>
        </w:rPr>
        <w:lastRenderedPageBreak/>
        <w:t>organizations are exempt from involuntary bankruptcy proceed</w:t>
      </w:r>
      <w:r w:rsidR="00B71395" w:rsidRPr="0039780D">
        <w:rPr>
          <w:color w:val="000000" w:themeColor="text1"/>
        </w:rPr>
        <w:t>i</w:t>
      </w:r>
      <w:r w:rsidR="00E01301" w:rsidRPr="0039780D">
        <w:rPr>
          <w:color w:val="000000" w:themeColor="text1"/>
        </w:rPr>
        <w:t xml:space="preserve">ngs. </w:t>
      </w:r>
      <w:proofErr w:type="gramStart"/>
      <w:r w:rsidR="00B71395" w:rsidRPr="0039780D">
        <w:rPr>
          <w:color w:val="000000" w:themeColor="text1"/>
        </w:rPr>
        <w:t>So</w:t>
      </w:r>
      <w:proofErr w:type="gramEnd"/>
      <w:r w:rsidR="00B71395" w:rsidRPr="0039780D">
        <w:rPr>
          <w:color w:val="000000" w:themeColor="text1"/>
        </w:rPr>
        <w:t xml:space="preserve"> </w:t>
      </w:r>
      <w:proofErr w:type="spellStart"/>
      <w:r w:rsidR="00B71395" w:rsidRPr="0039780D">
        <w:rPr>
          <w:color w:val="000000" w:themeColor="text1"/>
        </w:rPr>
        <w:t>muni</w:t>
      </w:r>
      <w:proofErr w:type="spellEnd"/>
      <w:r w:rsidR="00B71395" w:rsidRPr="0039780D">
        <w:rPr>
          <w:color w:val="000000" w:themeColor="text1"/>
        </w:rPr>
        <w:t xml:space="preserve"> analysts should always </w:t>
      </w:r>
      <w:r w:rsidR="00AF5B04" w:rsidRPr="0039780D">
        <w:rPr>
          <w:color w:val="000000" w:themeColor="text1"/>
        </w:rPr>
        <w:t>be aware of the bankruptcy risks in</w:t>
      </w:r>
      <w:r w:rsidR="00FA6DC8" w:rsidRPr="0039780D">
        <w:rPr>
          <w:color w:val="000000" w:themeColor="text1"/>
        </w:rPr>
        <w:t>volving private borrowers, obligors and pledgors</w:t>
      </w:r>
      <w:r w:rsidR="00E03C4D" w:rsidRPr="0039780D">
        <w:rPr>
          <w:color w:val="000000" w:themeColor="text1"/>
        </w:rPr>
        <w:t xml:space="preserve">, and the numerous limits and </w:t>
      </w:r>
      <w:r w:rsidR="007E4585" w:rsidRPr="0039780D">
        <w:rPr>
          <w:color w:val="000000" w:themeColor="text1"/>
        </w:rPr>
        <w:t>restrictions on the bond trustee’s rights</w:t>
      </w:r>
      <w:r w:rsidR="005A0835" w:rsidRPr="0039780D">
        <w:rPr>
          <w:color w:val="000000" w:themeColor="text1"/>
        </w:rPr>
        <w:t>/remedies</w:t>
      </w:r>
      <w:r w:rsidR="007E4585" w:rsidRPr="0039780D">
        <w:rPr>
          <w:color w:val="000000" w:themeColor="text1"/>
        </w:rPr>
        <w:t xml:space="preserve"> to go after and liquidate the MCP in these situations.</w:t>
      </w:r>
      <w:r w:rsidR="005A0835" w:rsidRPr="0039780D">
        <w:rPr>
          <w:color w:val="000000" w:themeColor="text1"/>
        </w:rPr>
        <w:t xml:space="preserve"> This Whitepaper will not elaborate on all of these </w:t>
      </w:r>
      <w:r w:rsidR="00B92E6D" w:rsidRPr="0039780D">
        <w:rPr>
          <w:color w:val="000000" w:themeColor="text1"/>
        </w:rPr>
        <w:t>limits and restrictions, but a good reference for that purpose is the 2017 NFMA Whitepaper on GO Bonds referenced at the end of this Whi</w:t>
      </w:r>
      <w:r w:rsidR="009424D7" w:rsidRPr="0039780D">
        <w:rPr>
          <w:color w:val="000000" w:themeColor="text1"/>
        </w:rPr>
        <w:t>t</w:t>
      </w:r>
      <w:r w:rsidR="00B92E6D" w:rsidRPr="0039780D">
        <w:rPr>
          <w:color w:val="000000" w:themeColor="text1"/>
        </w:rPr>
        <w:t>epaper.</w:t>
      </w:r>
    </w:p>
    <w:p w14:paraId="31EFBA48" w14:textId="77DD5B2E" w:rsidR="0039780D" w:rsidRPr="005E4850" w:rsidRDefault="009424D7" w:rsidP="0039780D">
      <w:pPr>
        <w:pStyle w:val="ListParagraph"/>
        <w:ind w:left="660"/>
        <w:jc w:val="both"/>
        <w:rPr>
          <w:color w:val="FF0000"/>
        </w:rPr>
      </w:pPr>
      <w:r w:rsidRPr="0039780D">
        <w:rPr>
          <w:color w:val="000000" w:themeColor="text1"/>
        </w:rPr>
        <w:br/>
      </w:r>
      <w:r w:rsidR="0039780D">
        <w:rPr>
          <w:color w:val="000000" w:themeColor="text1"/>
        </w:rPr>
        <w:t>3.</w:t>
      </w:r>
      <w:r w:rsidR="008613BB" w:rsidRPr="0039780D">
        <w:rPr>
          <w:color w:val="000000" w:themeColor="text1"/>
        </w:rPr>
        <w:t xml:space="preserve"> </w:t>
      </w:r>
      <w:r w:rsidR="00AC33D9" w:rsidRPr="0039780D">
        <w:rPr>
          <w:color w:val="000000" w:themeColor="text1"/>
        </w:rPr>
        <w:t xml:space="preserve">Statutory Liens </w:t>
      </w:r>
      <w:proofErr w:type="gramStart"/>
      <w:r w:rsidR="00AC33D9" w:rsidRPr="0039780D">
        <w:rPr>
          <w:color w:val="000000" w:themeColor="text1"/>
        </w:rPr>
        <w:t>In</w:t>
      </w:r>
      <w:proofErr w:type="gramEnd"/>
      <w:r w:rsidR="00AC33D9" w:rsidRPr="0039780D">
        <w:rPr>
          <w:color w:val="000000" w:themeColor="text1"/>
        </w:rPr>
        <w:t xml:space="preserve"> Bankrupt</w:t>
      </w:r>
      <w:r w:rsidR="006A7C6A" w:rsidRPr="0039780D">
        <w:rPr>
          <w:color w:val="000000" w:themeColor="text1"/>
        </w:rPr>
        <w:t>c</w:t>
      </w:r>
      <w:r w:rsidR="00AC33D9" w:rsidRPr="0039780D">
        <w:rPr>
          <w:color w:val="000000" w:themeColor="text1"/>
        </w:rPr>
        <w:t xml:space="preserve">y—Special Rules &amp; </w:t>
      </w:r>
      <w:r w:rsidR="00AC33D9" w:rsidRPr="005E4850">
        <w:rPr>
          <w:color w:val="000000" w:themeColor="text1"/>
        </w:rPr>
        <w:t>Limits</w:t>
      </w:r>
      <w:r w:rsidR="00011CC6" w:rsidRPr="005E4850">
        <w:rPr>
          <w:color w:val="000000" w:themeColor="text1"/>
        </w:rPr>
        <w:t xml:space="preserve"> </w:t>
      </w:r>
      <w:r w:rsidR="001119BA" w:rsidRPr="005E4850">
        <w:rPr>
          <w:color w:val="FF0000"/>
        </w:rPr>
        <w:t>CASEY</w:t>
      </w:r>
      <w:r w:rsidR="000B3E58" w:rsidRPr="005E4850">
        <w:rPr>
          <w:color w:val="FF0000"/>
        </w:rPr>
        <w:t>/GIL</w:t>
      </w:r>
    </w:p>
    <w:p w14:paraId="06D3F313" w14:textId="2AE135AC" w:rsidR="00190341" w:rsidRDefault="00DE321C" w:rsidP="005E4850">
      <w:pPr>
        <w:pStyle w:val="ListParagraph"/>
        <w:ind w:left="660"/>
        <w:jc w:val="both"/>
      </w:pPr>
      <w:r w:rsidRPr="0039780D">
        <w:rPr>
          <w:color w:val="000000" w:themeColor="text1"/>
          <w:u w:val="single"/>
        </w:rPr>
        <w:br/>
      </w:r>
      <w:r w:rsidR="00190341" w:rsidRPr="0093485A">
        <w:rPr>
          <w:color w:val="000000" w:themeColor="text1"/>
        </w:rPr>
        <w:t>A statutory lien, per the US Bankruptcy Code, is a “lien arising solely by force of a statute on specified circumstances or conditions”, as opposed to a lien or interest that is dependent on an agreement such as consensual liens or security interests</w:t>
      </w:r>
      <w:r w:rsidR="00190341" w:rsidRPr="0093485A">
        <w:rPr>
          <w:rStyle w:val="FootnoteReference"/>
          <w:color w:val="000000" w:themeColor="text1"/>
        </w:rPr>
        <w:footnoteReference w:id="6"/>
      </w:r>
      <w:r w:rsidR="00190341" w:rsidRPr="0093485A">
        <w:rPr>
          <w:color w:val="000000" w:themeColor="text1"/>
        </w:rPr>
        <w:t>.  For the most part, statutory liens have not been invalidated as part of bankruptcy filings.</w:t>
      </w:r>
      <w:r w:rsidR="00190341" w:rsidRPr="0093485A">
        <w:rPr>
          <w:rStyle w:val="FootnoteReference"/>
          <w:color w:val="000000" w:themeColor="text1"/>
        </w:rPr>
        <w:footnoteReference w:id="7"/>
      </w:r>
      <w:r w:rsidR="00190341" w:rsidRPr="0093485A">
        <w:rPr>
          <w:color w:val="000000" w:themeColor="text1"/>
        </w:rPr>
        <w:t xml:space="preserve"> </w:t>
      </w:r>
      <w:r w:rsidR="00190341" w:rsidRPr="00CA207F">
        <w:t>The most important features of a statutory lien are that they arise automatically, without consent of the borrower, and that they apply to revenues post-bankruptcy petition.</w:t>
      </w:r>
      <w:r w:rsidR="00190341" w:rsidRPr="0093485A">
        <w:rPr>
          <w:rStyle w:val="FootnoteReference"/>
          <w:color w:val="000000" w:themeColor="text1"/>
        </w:rPr>
        <w:footnoteReference w:id="8"/>
      </w:r>
      <w:r w:rsidR="00190341" w:rsidRPr="00CA207F">
        <w:t xml:space="preserve">  There are several cases in municipal history that have shown that recovery </w:t>
      </w:r>
      <w:r w:rsidR="00190341">
        <w:t xml:space="preserve">rates for bonds backed by a statutory lien are higher than without one, (outlined in the 2017 NFMA whitepaper). This discrepancy in recovery for bonds with and without statutory liens emphasize the importance of disclosure regarding statutory liens. </w:t>
      </w:r>
      <w:r w:rsidR="00CA207F">
        <w:br/>
      </w:r>
    </w:p>
    <w:p w14:paraId="0C20D388" w14:textId="1CD4D377" w:rsidR="00190341" w:rsidRDefault="00CA207F" w:rsidP="005E4850">
      <w:r>
        <w:t xml:space="preserve">           </w:t>
      </w:r>
      <w:r w:rsidR="00190341">
        <w:t>Despite the benefits of a statutory lien, there are some limitations. First off, if there’s</w:t>
      </w:r>
      <w:r>
        <w:t xml:space="preserve"> </w:t>
      </w:r>
      <w:r w:rsidR="00190341">
        <w:t xml:space="preserve">no </w:t>
      </w:r>
      <w:r>
        <w:br/>
        <w:t xml:space="preserve">           </w:t>
      </w:r>
      <w:r w:rsidR="00190341">
        <w:t xml:space="preserve">explicit statement noting a statutory lien, there may be a difference of legal opinion as to </w:t>
      </w:r>
      <w:r>
        <w:br/>
        <w:t xml:space="preserve">           </w:t>
      </w:r>
      <w:r w:rsidR="00190341">
        <w:t xml:space="preserve">whether the statutory lien even exists. While bond counsel may believe the language is </w:t>
      </w:r>
      <w:r>
        <w:br/>
        <w:t xml:space="preserve">           </w:t>
      </w:r>
      <w:r w:rsidR="00190341">
        <w:t xml:space="preserve">indicative of a statutory lien, without the exact verbiage, a court could disagree. </w:t>
      </w:r>
    </w:p>
    <w:p w14:paraId="625FC1A6" w14:textId="7BDAC2ED" w:rsidR="00190341" w:rsidRDefault="00CA207F" w:rsidP="005E4850">
      <w:r>
        <w:t xml:space="preserve">           </w:t>
      </w:r>
      <w:r w:rsidR="00190341">
        <w:t xml:space="preserve">Additionally, not all states provide for the implementation of a statutory lien. For </w:t>
      </w:r>
      <w:r>
        <w:t xml:space="preserve"> </w:t>
      </w:r>
      <w:r>
        <w:br/>
        <w:t xml:space="preserve">           </w:t>
      </w:r>
      <w:r w:rsidR="00190341">
        <w:t xml:space="preserve">example, usually in official statements for Connecticut debt it is explicitly said there is no </w:t>
      </w:r>
      <w:r>
        <w:br/>
        <w:t xml:space="preserve">           </w:t>
      </w:r>
      <w:r w:rsidR="00190341">
        <w:t xml:space="preserve">statutory provision. In many states, there’s no express language confirming or denying the </w:t>
      </w:r>
      <w:r>
        <w:br/>
        <w:t xml:space="preserve">           </w:t>
      </w:r>
      <w:r w:rsidR="00190341">
        <w:t xml:space="preserve">existence of a statutory lien and its validity is up to legal interpretation. </w:t>
      </w:r>
    </w:p>
    <w:p w14:paraId="0E94F4D2" w14:textId="23137243" w:rsidR="00190341" w:rsidRDefault="00795792" w:rsidP="005E4850">
      <w:r>
        <w:t xml:space="preserve">           </w:t>
      </w:r>
      <w:r w:rsidR="00190341">
        <w:t xml:space="preserve">Lastly, despite the track record of improved recovery rates in MFT with a statutory lien, </w:t>
      </w:r>
      <w:r>
        <w:br/>
        <w:t xml:space="preserve">           </w:t>
      </w:r>
      <w:r w:rsidR="00190341">
        <w:t xml:space="preserve">the bondholders’ claims could still be restructured. For example, the interest rate or </w:t>
      </w:r>
      <w:r>
        <w:br/>
        <w:t xml:space="preserve">           </w:t>
      </w:r>
      <w:r w:rsidR="00190341">
        <w:t>maturity of the debt could be changed.</w:t>
      </w:r>
      <w:r w:rsidR="00190341">
        <w:rPr>
          <w:rStyle w:val="FootnoteReference"/>
        </w:rPr>
        <w:footnoteReference w:id="9"/>
      </w:r>
      <w:r w:rsidR="00190341">
        <w:t xml:space="preserve"> </w:t>
      </w:r>
      <w:r>
        <w:br/>
      </w:r>
    </w:p>
    <w:p w14:paraId="6587F70B" w14:textId="2BC136C0" w:rsidR="00305F7A" w:rsidRDefault="00795792" w:rsidP="00795792">
      <w:pPr>
        <w:jc w:val="both"/>
      </w:pPr>
      <w:r>
        <w:t xml:space="preserve">           </w:t>
      </w:r>
      <w:r w:rsidR="000B3E58">
        <w:t>Statutory Liens as defined in the</w:t>
      </w:r>
      <w:r w:rsidR="00DE321C">
        <w:t xml:space="preserve"> </w:t>
      </w:r>
      <w:r w:rsidR="000B3E58">
        <w:t>Bankruptcy Code</w:t>
      </w:r>
      <w:r w:rsidR="00DE321C">
        <w:t xml:space="preserve"> </w:t>
      </w:r>
      <w:r w:rsidR="000B3E58">
        <w:t xml:space="preserve">Section 101(53) have a unique protection </w:t>
      </w:r>
      <w:r>
        <w:br/>
        <w:t xml:space="preserve">           </w:t>
      </w:r>
      <w:r w:rsidR="000B3E58">
        <w:t xml:space="preserve">in Bankruptcy under Section 545 which provides that the Statutory Lien survives the filing </w:t>
      </w:r>
      <w:r>
        <w:br/>
        <w:t xml:space="preserve">           </w:t>
      </w:r>
      <w:r w:rsidR="000B3E58">
        <w:t xml:space="preserve">of a bankruptcy (Chap 9 and 11) and the Statutory Lien cannot be avoided, so the Bond </w:t>
      </w:r>
      <w:r>
        <w:br/>
        <w:t xml:space="preserve">           </w:t>
      </w:r>
      <w:r w:rsidR="000B3E58">
        <w:t xml:space="preserve">Trustee can continue to have its Statutory Lien continue after bankruptcy and continue to </w:t>
      </w:r>
    </w:p>
    <w:p w14:paraId="081DA820" w14:textId="0BF6DDC7" w:rsidR="000B3E58" w:rsidRPr="005E4850" w:rsidRDefault="00305F7A" w:rsidP="005E4850">
      <w:pPr>
        <w:jc w:val="both"/>
        <w:rPr>
          <w:b/>
        </w:rPr>
      </w:pPr>
      <w:r>
        <w:t xml:space="preserve">           </w:t>
      </w:r>
      <w:r w:rsidR="000B3E58">
        <w:t xml:space="preserve">collect the pledged revenues/taxes subject to any other </w:t>
      </w:r>
      <w:r w:rsidR="000B3E58">
        <w:br/>
      </w:r>
      <w:r>
        <w:t xml:space="preserve">           </w:t>
      </w:r>
      <w:r w:rsidR="000B3E58">
        <w:t>debtor protections like the automatic stay. The bankruptcy definition of Statutory Lien is</w:t>
      </w:r>
      <w:r w:rsidR="00C51E01">
        <w:t xml:space="preserve"> </w:t>
      </w:r>
      <w:r>
        <w:t xml:space="preserve">                </w:t>
      </w:r>
      <w:r>
        <w:br/>
        <w:t xml:space="preserve">           </w:t>
      </w:r>
      <w:r w:rsidR="000B3E58">
        <w:t xml:space="preserve">restricted to statutory liens which require no public filings or other notices. </w:t>
      </w:r>
      <w:r w:rsidR="000B3E58" w:rsidRPr="00795792">
        <w:rPr>
          <w:b/>
        </w:rPr>
        <w:t xml:space="preserve">When making </w:t>
      </w:r>
      <w:r>
        <w:rPr>
          <w:b/>
        </w:rPr>
        <w:br/>
        <w:t xml:space="preserve">           </w:t>
      </w:r>
      <w:r w:rsidR="000B3E58" w:rsidRPr="00795792">
        <w:rPr>
          <w:b/>
        </w:rPr>
        <w:t xml:space="preserve">a Collateral Package Evaluation, buy-side analysts should try to determine if any </w:t>
      </w:r>
      <w:r>
        <w:rPr>
          <w:b/>
        </w:rPr>
        <w:br/>
        <w:t xml:space="preserve">           </w:t>
      </w:r>
      <w:r w:rsidR="000B3E58" w:rsidRPr="00795792">
        <w:rPr>
          <w:b/>
        </w:rPr>
        <w:t>public</w:t>
      </w:r>
      <w:r w:rsidR="00F652C9" w:rsidRPr="00795792">
        <w:rPr>
          <w:b/>
        </w:rPr>
        <w:t xml:space="preserve"> </w:t>
      </w:r>
      <w:r w:rsidR="000B3E58" w:rsidRPr="00795792">
        <w:rPr>
          <w:b/>
        </w:rPr>
        <w:t xml:space="preserve">notice is required to perfect the Statutory Lien and whether the Statutory Lien </w:t>
      </w:r>
      <w:r>
        <w:rPr>
          <w:b/>
        </w:rPr>
        <w:br/>
      </w:r>
      <w:r w:rsidRPr="00305F7A">
        <w:rPr>
          <w:b/>
        </w:rPr>
        <w:t xml:space="preserve">           </w:t>
      </w:r>
      <w:r w:rsidR="000B3E58" w:rsidRPr="00305F7A">
        <w:rPr>
          <w:b/>
        </w:rPr>
        <w:t>has the</w:t>
      </w:r>
      <w:r w:rsidR="00F652C9" w:rsidRPr="00305F7A">
        <w:rPr>
          <w:b/>
        </w:rPr>
        <w:t xml:space="preserve"> </w:t>
      </w:r>
      <w:r w:rsidR="000B3E58" w:rsidRPr="00305F7A">
        <w:rPr>
          <w:b/>
        </w:rPr>
        <w:t xml:space="preserve">special bankruptcy code protections. WHEN IN DOUBT, BUY-SIDE </w:t>
      </w:r>
      <w:r w:rsidRPr="00305F7A">
        <w:rPr>
          <w:b/>
        </w:rPr>
        <w:br/>
        <w:t xml:space="preserve">           </w:t>
      </w:r>
      <w:r w:rsidR="000B3E58" w:rsidRPr="00305F7A">
        <w:rPr>
          <w:b/>
        </w:rPr>
        <w:t xml:space="preserve">ANALYSTS </w:t>
      </w:r>
      <w:r w:rsidR="000B3E58" w:rsidRPr="005E4850">
        <w:rPr>
          <w:b/>
        </w:rPr>
        <w:t xml:space="preserve">SHOULD REACH OUT TO THE UNDERWRITING TEAM FOR </w:t>
      </w:r>
      <w:r>
        <w:rPr>
          <w:b/>
        </w:rPr>
        <w:br/>
        <w:t xml:space="preserve">            </w:t>
      </w:r>
      <w:r w:rsidR="000B3E58" w:rsidRPr="005E4850">
        <w:rPr>
          <w:b/>
        </w:rPr>
        <w:t>T</w:t>
      </w:r>
      <w:r w:rsidR="00A12838" w:rsidRPr="005E4850">
        <w:rPr>
          <w:b/>
        </w:rPr>
        <w:t>HIS</w:t>
      </w:r>
      <w:r w:rsidR="00D10E86" w:rsidRPr="005E4850">
        <w:rPr>
          <w:b/>
        </w:rPr>
        <w:t xml:space="preserve"> </w:t>
      </w:r>
      <w:r w:rsidR="000B3E58" w:rsidRPr="005E4850">
        <w:rPr>
          <w:b/>
        </w:rPr>
        <w:t>INFORMATION—DON’T BE SHY!!</w:t>
      </w:r>
    </w:p>
    <w:p w14:paraId="54195A59" w14:textId="77777777" w:rsidR="000B3E58" w:rsidRPr="000A38DA" w:rsidRDefault="000B3E58" w:rsidP="00706BC4">
      <w:pPr>
        <w:pStyle w:val="ListParagraph"/>
        <w:ind w:left="1020"/>
        <w:jc w:val="both"/>
        <w:rPr>
          <w:color w:val="FF0000"/>
        </w:rPr>
      </w:pPr>
    </w:p>
    <w:p w14:paraId="616738DF" w14:textId="0DA68CBB" w:rsidR="00AC33D9" w:rsidRPr="000A38DA" w:rsidRDefault="00AC33D9" w:rsidP="0066328C">
      <w:pPr>
        <w:pStyle w:val="ListParagraph"/>
        <w:numPr>
          <w:ilvl w:val="0"/>
          <w:numId w:val="65"/>
        </w:numPr>
        <w:jc w:val="both"/>
        <w:rPr>
          <w:color w:val="FF0000"/>
        </w:rPr>
      </w:pPr>
      <w:r>
        <w:rPr>
          <w:u w:val="single"/>
        </w:rPr>
        <w:t xml:space="preserve">Special Revenue Pledges </w:t>
      </w:r>
      <w:proofErr w:type="gramStart"/>
      <w:r>
        <w:rPr>
          <w:u w:val="single"/>
        </w:rPr>
        <w:t>In</w:t>
      </w:r>
      <w:proofErr w:type="gramEnd"/>
      <w:r>
        <w:rPr>
          <w:u w:val="single"/>
        </w:rPr>
        <w:t xml:space="preserve"> Chapter 9 Bankruptcies—Special Rules &amp; Limits</w:t>
      </w:r>
      <w:r w:rsidR="001119BA">
        <w:rPr>
          <w:u w:val="single"/>
        </w:rPr>
        <w:t xml:space="preserve"> </w:t>
      </w:r>
      <w:r w:rsidR="001119BA" w:rsidRPr="000A38DA">
        <w:rPr>
          <w:color w:val="FF0000"/>
          <w:u w:val="single"/>
        </w:rPr>
        <w:t>GIL</w:t>
      </w:r>
    </w:p>
    <w:p w14:paraId="00CBF5BB" w14:textId="77777777" w:rsidR="008F2371" w:rsidRDefault="008F2371" w:rsidP="008F2371">
      <w:pPr>
        <w:jc w:val="both"/>
        <w:rPr>
          <w:color w:val="FF0000"/>
        </w:rPr>
      </w:pPr>
    </w:p>
    <w:p w14:paraId="104DCCEC" w14:textId="0339E1FB" w:rsidR="00967B96" w:rsidRDefault="006F1BC0" w:rsidP="00706BC4">
      <w:pPr>
        <w:ind w:left="1020"/>
        <w:jc w:val="both"/>
        <w:rPr>
          <w:b/>
        </w:rPr>
      </w:pPr>
      <w:r>
        <w:t xml:space="preserve">Certain types of government revenue pledges </w:t>
      </w:r>
      <w:r w:rsidR="006701C0">
        <w:t xml:space="preserve">to the bond trustee </w:t>
      </w:r>
      <w:r w:rsidR="00350C73">
        <w:t>are given special protection under Chapter 9 of the Bankruptcy Code</w:t>
      </w:r>
      <w:r w:rsidR="006701C0">
        <w:t xml:space="preserve">. This special protection allows the bond trustee’s security interest in those </w:t>
      </w:r>
      <w:r w:rsidR="008C5D4F">
        <w:t xml:space="preserve">pledged revenues to continue after the Chapter 9 filing and continue to be subject to the bond trustee’s security interest subject to a few </w:t>
      </w:r>
      <w:r w:rsidR="003E4EB4">
        <w:t>important qualifications.</w:t>
      </w:r>
      <w:r w:rsidR="00350C73">
        <w:t xml:space="preserve"> </w:t>
      </w:r>
      <w:r w:rsidR="00366CB2">
        <w:t>See the 2017 NFMA Whitepaper on GO Bonds plus the discussion in Section ___ above for further information</w:t>
      </w:r>
      <w:r w:rsidR="003E4EB4">
        <w:t xml:space="preserve"> on the treatment of these special revenues</w:t>
      </w:r>
      <w:r w:rsidR="00366CB2">
        <w:t>.</w:t>
      </w:r>
    </w:p>
    <w:p w14:paraId="4119C144" w14:textId="76F9CB3C" w:rsidR="00973AB8" w:rsidRPr="006F40B9" w:rsidRDefault="00BB7F78" w:rsidP="00E42AE5">
      <w:pPr>
        <w:jc w:val="both"/>
        <w:rPr>
          <w:b/>
          <w:bCs/>
          <w:color w:val="FF0000"/>
        </w:rPr>
      </w:pPr>
      <w:r w:rsidRPr="00564CBA">
        <w:rPr>
          <w:b/>
        </w:rPr>
        <w:br/>
      </w:r>
      <w:r w:rsidR="00062F9F" w:rsidRPr="006F40B9">
        <w:rPr>
          <w:b/>
          <w:bCs/>
        </w:rPr>
        <w:t xml:space="preserve">  </w:t>
      </w:r>
      <w:r w:rsidR="005E4850">
        <w:rPr>
          <w:b/>
          <w:bCs/>
        </w:rPr>
        <w:t xml:space="preserve"> </w:t>
      </w:r>
      <w:r w:rsidR="00062F9F" w:rsidRPr="006F40B9">
        <w:rPr>
          <w:b/>
          <w:bCs/>
        </w:rPr>
        <w:t xml:space="preserve">  </w:t>
      </w:r>
      <w:r w:rsidR="00B05457" w:rsidRPr="006F40B9">
        <w:rPr>
          <w:b/>
          <w:bCs/>
        </w:rPr>
        <w:t xml:space="preserve">C. </w:t>
      </w:r>
      <w:r w:rsidR="00062F9F" w:rsidRPr="006F40B9">
        <w:rPr>
          <w:b/>
          <w:bCs/>
        </w:rPr>
        <w:t xml:space="preserve">Need </w:t>
      </w:r>
      <w:proofErr w:type="gramStart"/>
      <w:r w:rsidR="00062F9F" w:rsidRPr="006F40B9">
        <w:rPr>
          <w:b/>
          <w:bCs/>
        </w:rPr>
        <w:t>To</w:t>
      </w:r>
      <w:proofErr w:type="gramEnd"/>
      <w:r w:rsidR="00062F9F" w:rsidRPr="006F40B9">
        <w:rPr>
          <w:b/>
          <w:bCs/>
        </w:rPr>
        <w:t xml:space="preserve"> Use</w:t>
      </w:r>
      <w:r w:rsidR="009D3F73" w:rsidRPr="006F40B9">
        <w:rPr>
          <w:b/>
          <w:bCs/>
        </w:rPr>
        <w:t xml:space="preserve"> </w:t>
      </w:r>
      <w:r w:rsidR="0034182F" w:rsidRPr="006F40B9">
        <w:rPr>
          <w:b/>
          <w:bCs/>
        </w:rPr>
        <w:t>Modern UCC 9 Collateral Descriptions</w:t>
      </w:r>
      <w:r w:rsidR="002D0A74" w:rsidRPr="006F40B9">
        <w:rPr>
          <w:b/>
          <w:bCs/>
        </w:rPr>
        <w:t>/Benefits Of Using</w:t>
      </w:r>
      <w:r w:rsidR="009A1AC3" w:rsidRPr="006F40B9">
        <w:rPr>
          <w:b/>
          <w:bCs/>
        </w:rPr>
        <w:t xml:space="preserve"> </w:t>
      </w:r>
      <w:r w:rsidR="002D0A74" w:rsidRPr="006F40B9">
        <w:rPr>
          <w:b/>
          <w:bCs/>
        </w:rPr>
        <w:t xml:space="preserve">A Modern UCC </w:t>
      </w:r>
      <w:r w:rsidR="009A1AC3" w:rsidRPr="006F40B9">
        <w:rPr>
          <w:b/>
          <w:bCs/>
        </w:rPr>
        <w:br/>
        <w:t xml:space="preserve">          </w:t>
      </w:r>
      <w:r w:rsidR="002D0A74" w:rsidRPr="006F40B9">
        <w:rPr>
          <w:b/>
          <w:bCs/>
        </w:rPr>
        <w:t>Security Agreement</w:t>
      </w:r>
      <w:r w:rsidR="00C75C99" w:rsidRPr="006F40B9">
        <w:rPr>
          <w:b/>
          <w:bCs/>
        </w:rPr>
        <w:t xml:space="preserve"> </w:t>
      </w:r>
      <w:r w:rsidR="00C75C99" w:rsidRPr="006F40B9">
        <w:rPr>
          <w:b/>
          <w:bCs/>
          <w:color w:val="FF0000"/>
        </w:rPr>
        <w:t>GIL</w:t>
      </w:r>
    </w:p>
    <w:p w14:paraId="22CBAF7A" w14:textId="01E42AE8" w:rsidR="00973AB8" w:rsidRPr="00706BC4" w:rsidRDefault="00A57E8D" w:rsidP="00973AB8">
      <w:pPr>
        <w:jc w:val="both"/>
        <w:rPr>
          <w:rFonts w:cs="Times New Roman"/>
          <w:kern w:val="2"/>
          <w:szCs w:val="24"/>
          <w14:ligatures w14:val="standardContextual"/>
        </w:rPr>
      </w:pPr>
      <w:r w:rsidRPr="006F40B9">
        <w:rPr>
          <w:b/>
          <w:bCs/>
          <w:color w:val="FF0000"/>
        </w:rPr>
        <w:br/>
      </w:r>
      <w:r w:rsidRPr="00706BC4">
        <w:rPr>
          <w:rFonts w:cs="Times New Roman"/>
          <w:kern w:val="2"/>
          <w:szCs w:val="24"/>
          <w14:ligatures w14:val="standardContextual"/>
        </w:rPr>
        <w:t xml:space="preserve">            </w:t>
      </w:r>
      <w:r w:rsidR="003823EA" w:rsidRPr="00706BC4">
        <w:rPr>
          <w:rFonts w:cs="Times New Roman"/>
          <w:kern w:val="2"/>
          <w:szCs w:val="24"/>
          <w14:ligatures w14:val="standardContextual"/>
        </w:rPr>
        <w:t xml:space="preserve">One area of MFTs that remains a problem is MFTs secured by “revenues” including “gross </w:t>
      </w:r>
      <w:r w:rsidR="00973AB8">
        <w:rPr>
          <w:rFonts w:cs="Times New Roman"/>
          <w:kern w:val="2"/>
          <w:szCs w:val="24"/>
          <w14:ligatures w14:val="standardContextual"/>
        </w:rPr>
        <w:t xml:space="preserve">          </w:t>
      </w:r>
      <w:r w:rsidR="00973AB8">
        <w:rPr>
          <w:rFonts w:cs="Times New Roman"/>
          <w:kern w:val="2"/>
          <w:szCs w:val="24"/>
          <w14:ligatures w14:val="standardContextual"/>
        </w:rPr>
        <w:br/>
        <w:t xml:space="preserve">            </w:t>
      </w:r>
      <w:r w:rsidR="003823EA" w:rsidRPr="00706BC4">
        <w:rPr>
          <w:rFonts w:cs="Times New Roman"/>
          <w:kern w:val="2"/>
          <w:szCs w:val="24"/>
          <w14:ligatures w14:val="standardContextual"/>
        </w:rPr>
        <w:t>revenue</w:t>
      </w:r>
      <w:r w:rsidR="00FB74A1">
        <w:rPr>
          <w:rFonts w:cs="Times New Roman"/>
          <w:kern w:val="2"/>
          <w:szCs w:val="24"/>
          <w14:ligatures w14:val="standardContextual"/>
        </w:rPr>
        <w:t xml:space="preserve"> </w:t>
      </w:r>
      <w:r w:rsidR="003823EA" w:rsidRPr="00706BC4">
        <w:rPr>
          <w:rFonts w:cs="Times New Roman"/>
          <w:kern w:val="2"/>
          <w:szCs w:val="24"/>
          <w14:ligatures w14:val="standardContextual"/>
        </w:rPr>
        <w:t xml:space="preserve">pledges” and “net revenue pledges”. Many high yield MFTs have a pledge of </w:t>
      </w:r>
      <w:r w:rsidR="00FB74A1">
        <w:rPr>
          <w:rFonts w:cs="Times New Roman"/>
          <w:kern w:val="2"/>
          <w:szCs w:val="24"/>
          <w14:ligatures w14:val="standardContextual"/>
        </w:rPr>
        <w:t xml:space="preserve">        </w:t>
      </w:r>
      <w:r w:rsidR="00FB74A1">
        <w:rPr>
          <w:rFonts w:cs="Times New Roman"/>
          <w:kern w:val="2"/>
          <w:szCs w:val="24"/>
          <w14:ligatures w14:val="standardContextual"/>
        </w:rPr>
        <w:br/>
        <w:t xml:space="preserve">            </w:t>
      </w:r>
      <w:r w:rsidR="003823EA" w:rsidRPr="00706BC4">
        <w:rPr>
          <w:rFonts w:cs="Times New Roman"/>
          <w:kern w:val="2"/>
          <w:szCs w:val="24"/>
          <w14:ligatures w14:val="standardContextual"/>
        </w:rPr>
        <w:t>revenues</w:t>
      </w:r>
      <w:r w:rsidR="005D08F0">
        <w:rPr>
          <w:rFonts w:cs="Times New Roman"/>
          <w:kern w:val="2"/>
          <w:szCs w:val="24"/>
          <w14:ligatures w14:val="standardContextual"/>
        </w:rPr>
        <w:t xml:space="preserve"> </w:t>
      </w:r>
      <w:r w:rsidR="003823EA" w:rsidRPr="00706BC4">
        <w:rPr>
          <w:rFonts w:cs="Times New Roman"/>
          <w:kern w:val="2"/>
          <w:szCs w:val="24"/>
          <w14:ligatures w14:val="standardContextual"/>
        </w:rPr>
        <w:t>including</w:t>
      </w:r>
      <w:r w:rsidRPr="00706BC4">
        <w:rPr>
          <w:rFonts w:cs="Times New Roman"/>
          <w:kern w:val="2"/>
          <w:szCs w:val="24"/>
          <w14:ligatures w14:val="standardContextual"/>
        </w:rPr>
        <w:t xml:space="preserve"> </w:t>
      </w:r>
      <w:r w:rsidR="003823EA" w:rsidRPr="00706BC4">
        <w:rPr>
          <w:rFonts w:cs="Times New Roman"/>
          <w:kern w:val="2"/>
          <w:szCs w:val="24"/>
          <w14:ligatures w14:val="standardContextual"/>
        </w:rPr>
        <w:t xml:space="preserve">tax collections, govt fees/fines, and other govt revenues. UCC-9 does </w:t>
      </w:r>
      <w:r w:rsidR="005D08F0">
        <w:rPr>
          <w:rFonts w:cs="Times New Roman"/>
          <w:kern w:val="2"/>
          <w:szCs w:val="24"/>
          <w14:ligatures w14:val="standardContextual"/>
        </w:rPr>
        <w:t xml:space="preserve">               </w:t>
      </w:r>
      <w:r w:rsidR="005D08F0">
        <w:rPr>
          <w:rFonts w:cs="Times New Roman"/>
          <w:kern w:val="2"/>
          <w:szCs w:val="24"/>
          <w14:ligatures w14:val="standardContextual"/>
        </w:rPr>
        <w:br/>
        <w:t xml:space="preserve">            </w:t>
      </w:r>
      <w:r w:rsidR="003823EA" w:rsidRPr="00706BC4">
        <w:rPr>
          <w:rFonts w:cs="Times New Roman"/>
          <w:kern w:val="2"/>
          <w:szCs w:val="24"/>
          <w14:ligatures w14:val="standardContextual"/>
        </w:rPr>
        <w:t>not have “revenues” as a</w:t>
      </w:r>
      <w:r w:rsidRPr="00706BC4">
        <w:rPr>
          <w:rFonts w:cs="Times New Roman"/>
          <w:kern w:val="2"/>
          <w:szCs w:val="24"/>
          <w14:ligatures w14:val="standardContextual"/>
        </w:rPr>
        <w:t xml:space="preserve"> </w:t>
      </w:r>
      <w:r w:rsidR="003823EA" w:rsidRPr="00706BC4">
        <w:rPr>
          <w:rFonts w:cs="Times New Roman"/>
          <w:kern w:val="2"/>
          <w:szCs w:val="24"/>
          <w14:ligatures w14:val="standardContextual"/>
        </w:rPr>
        <w:t xml:space="preserve">permitted UCC-9 Collateral description, so buy-side analysts </w:t>
      </w:r>
      <w:r w:rsidR="00BC6F18">
        <w:rPr>
          <w:rFonts w:cs="Times New Roman"/>
          <w:kern w:val="2"/>
          <w:szCs w:val="24"/>
          <w14:ligatures w14:val="standardContextual"/>
        </w:rPr>
        <w:br/>
        <w:t xml:space="preserve">            </w:t>
      </w:r>
      <w:r w:rsidR="003823EA" w:rsidRPr="00706BC4">
        <w:rPr>
          <w:rFonts w:cs="Times New Roman"/>
          <w:kern w:val="2"/>
          <w:szCs w:val="24"/>
          <w14:ligatures w14:val="standardContextual"/>
        </w:rPr>
        <w:t xml:space="preserve">should be requesting the underwriting team to make sure that the security agreement and </w:t>
      </w:r>
      <w:r w:rsidR="00BC6F18">
        <w:rPr>
          <w:rFonts w:cs="Times New Roman"/>
          <w:kern w:val="2"/>
          <w:szCs w:val="24"/>
          <w14:ligatures w14:val="standardContextual"/>
        </w:rPr>
        <w:br/>
        <w:t xml:space="preserve">            </w:t>
      </w:r>
      <w:r w:rsidR="003823EA" w:rsidRPr="00706BC4">
        <w:rPr>
          <w:rFonts w:cs="Times New Roman"/>
          <w:kern w:val="2"/>
          <w:szCs w:val="24"/>
          <w14:ligatures w14:val="standardContextual"/>
        </w:rPr>
        <w:t xml:space="preserve">UCC Financing Statements </w:t>
      </w:r>
      <w:proofErr w:type="gramStart"/>
      <w:r w:rsidR="003823EA" w:rsidRPr="00706BC4">
        <w:rPr>
          <w:rFonts w:cs="Times New Roman"/>
          <w:kern w:val="2"/>
          <w:szCs w:val="24"/>
          <w14:ligatures w14:val="standardContextual"/>
        </w:rPr>
        <w:t xml:space="preserve">use </w:t>
      </w:r>
      <w:r w:rsidRPr="00706BC4">
        <w:rPr>
          <w:rFonts w:cs="Times New Roman"/>
          <w:kern w:val="2"/>
          <w:szCs w:val="24"/>
          <w14:ligatures w14:val="standardContextual"/>
        </w:rPr>
        <w:t xml:space="preserve"> </w:t>
      </w:r>
      <w:r w:rsidR="003823EA" w:rsidRPr="00706BC4">
        <w:rPr>
          <w:rFonts w:cs="Times New Roman"/>
          <w:kern w:val="2"/>
          <w:szCs w:val="24"/>
          <w14:ligatures w14:val="standardContextual"/>
        </w:rPr>
        <w:t>the</w:t>
      </w:r>
      <w:proofErr w:type="gramEnd"/>
      <w:r w:rsidR="003823EA" w:rsidRPr="00706BC4">
        <w:rPr>
          <w:rFonts w:cs="Times New Roman"/>
          <w:kern w:val="2"/>
          <w:szCs w:val="24"/>
          <w14:ligatures w14:val="standardContextual"/>
        </w:rPr>
        <w:t xml:space="preserve"> correct UCC-9 Collateral descriptions for “revenues”. </w:t>
      </w:r>
      <w:r w:rsidR="00BC6F18">
        <w:rPr>
          <w:rFonts w:cs="Times New Roman"/>
          <w:kern w:val="2"/>
          <w:szCs w:val="24"/>
          <w14:ligatures w14:val="standardContextual"/>
        </w:rPr>
        <w:br/>
        <w:t xml:space="preserve">            </w:t>
      </w:r>
      <w:r w:rsidR="003823EA" w:rsidRPr="00706BC4">
        <w:rPr>
          <w:rFonts w:cs="Times New Roman"/>
          <w:kern w:val="2"/>
          <w:szCs w:val="24"/>
          <w14:ligatures w14:val="standardContextual"/>
        </w:rPr>
        <w:t>Usually, “revenues” are a combination of</w:t>
      </w:r>
      <w:r w:rsidR="00706BC4">
        <w:rPr>
          <w:rFonts w:cs="Times New Roman"/>
          <w:kern w:val="2"/>
          <w:szCs w:val="24"/>
          <w14:ligatures w14:val="standardContextual"/>
        </w:rPr>
        <w:t xml:space="preserve"> </w:t>
      </w:r>
      <w:r w:rsidR="003823EA" w:rsidRPr="00706BC4">
        <w:rPr>
          <w:rFonts w:cs="Times New Roman"/>
          <w:kern w:val="2"/>
          <w:szCs w:val="24"/>
          <w14:ligatures w14:val="standardContextual"/>
        </w:rPr>
        <w:t xml:space="preserve">accounts, intangibles, cash, money, depository </w:t>
      </w:r>
      <w:r w:rsidR="00706BC4">
        <w:rPr>
          <w:rFonts w:cs="Times New Roman"/>
          <w:kern w:val="2"/>
          <w:szCs w:val="24"/>
          <w14:ligatures w14:val="standardContextual"/>
        </w:rPr>
        <w:br/>
        <w:t xml:space="preserve">            </w:t>
      </w:r>
      <w:r w:rsidR="003823EA" w:rsidRPr="00706BC4">
        <w:rPr>
          <w:rFonts w:cs="Times New Roman"/>
          <w:kern w:val="2"/>
          <w:szCs w:val="24"/>
          <w14:ligatures w14:val="standardContextual"/>
        </w:rPr>
        <w:t xml:space="preserve">accounts, and proceeds thereof—so those UCC-9 Collateral items should be used in </w:t>
      </w:r>
      <w:r w:rsidR="00706BC4">
        <w:rPr>
          <w:rFonts w:cs="Times New Roman"/>
          <w:kern w:val="2"/>
          <w:szCs w:val="24"/>
          <w14:ligatures w14:val="standardContextual"/>
        </w:rPr>
        <w:br/>
        <w:t xml:space="preserve">            </w:t>
      </w:r>
      <w:r w:rsidR="003823EA" w:rsidRPr="00706BC4">
        <w:rPr>
          <w:rFonts w:cs="Times New Roman"/>
          <w:kern w:val="2"/>
          <w:szCs w:val="24"/>
          <w14:ligatures w14:val="standardContextual"/>
        </w:rPr>
        <w:t xml:space="preserve">addition to “revenues”. </w:t>
      </w:r>
    </w:p>
    <w:p w14:paraId="620ACB16" w14:textId="77777777" w:rsidR="00FC6897" w:rsidRDefault="003823EA" w:rsidP="00E42AE5">
      <w:pPr>
        <w:jc w:val="both"/>
        <w:rPr>
          <w:color w:val="FF0000"/>
        </w:rPr>
      </w:pPr>
      <w:r w:rsidRPr="00706BC4">
        <w:rPr>
          <w:rFonts w:cs="Times New Roman"/>
          <w:kern w:val="2"/>
          <w:szCs w:val="24"/>
          <w14:ligatures w14:val="standardContextual"/>
        </w:rPr>
        <w:br/>
      </w:r>
      <w:r w:rsidR="008A4078">
        <w:t xml:space="preserve">      D</w:t>
      </w:r>
      <w:r w:rsidR="008C69C8">
        <w:t xml:space="preserve">. </w:t>
      </w:r>
      <w:r w:rsidR="004B3EC7" w:rsidRPr="006F40B9">
        <w:rPr>
          <w:b/>
          <w:bCs/>
        </w:rPr>
        <w:t xml:space="preserve">The Concerns </w:t>
      </w:r>
      <w:proofErr w:type="gramStart"/>
      <w:r w:rsidR="004B3EC7" w:rsidRPr="006F40B9">
        <w:rPr>
          <w:b/>
          <w:bCs/>
        </w:rPr>
        <w:t>With</w:t>
      </w:r>
      <w:proofErr w:type="gramEnd"/>
      <w:r w:rsidR="004B3EC7" w:rsidRPr="006F40B9">
        <w:rPr>
          <w:b/>
          <w:bCs/>
        </w:rPr>
        <w:t xml:space="preserve"> Leasehold Mortgages/Deeds Of Trust &amp; Ground Leases</w:t>
      </w:r>
      <w:r w:rsidR="006B1A31">
        <w:t xml:space="preserve"> </w:t>
      </w:r>
      <w:r w:rsidR="006B1A31" w:rsidRPr="000A38DA">
        <w:rPr>
          <w:color w:val="FF0000"/>
        </w:rPr>
        <w:t>CASEY</w:t>
      </w:r>
    </w:p>
    <w:p w14:paraId="534E8B20" w14:textId="661BB77A" w:rsidR="00FC6897" w:rsidRDefault="009A1AC3" w:rsidP="009B6462">
      <w:pPr>
        <w:jc w:val="both"/>
      </w:pPr>
      <w:r w:rsidRPr="000A38DA">
        <w:rPr>
          <w:color w:val="FF0000"/>
        </w:rPr>
        <w:br/>
      </w:r>
      <w:r w:rsidR="00403E86">
        <w:t xml:space="preserve">            </w:t>
      </w:r>
      <w:r w:rsidR="00FC6897">
        <w:t xml:space="preserve">Collateral for leasehold mortgages/deeds of trust are riskier than fee simple mortgages </w:t>
      </w:r>
      <w:r w:rsidR="00403E86">
        <w:br/>
        <w:t xml:space="preserve">            </w:t>
      </w:r>
      <w:r w:rsidR="00FC6897">
        <w:t xml:space="preserve">since they provide the right to occupy, rather than ownership of the property. </w:t>
      </w:r>
      <w:proofErr w:type="gramStart"/>
      <w:r w:rsidR="00FC6897">
        <w:t>Specifically</w:t>
      </w:r>
      <w:proofErr w:type="gramEnd"/>
      <w:r w:rsidR="00FC6897">
        <w:t xml:space="preserve"> </w:t>
      </w:r>
      <w:r w:rsidR="00403E86">
        <w:br/>
        <w:t xml:space="preserve">            </w:t>
      </w:r>
      <w:r w:rsidR="00FC6897">
        <w:t xml:space="preserve">for ground leases, if the ground tenant defaults, the landowner can extinguish the leasehold </w:t>
      </w:r>
      <w:r w:rsidR="00403E86">
        <w:br/>
        <w:t xml:space="preserve">            </w:t>
      </w:r>
      <w:r w:rsidR="00FC6897">
        <w:t xml:space="preserve">lenders security by terminating the ground lease. </w:t>
      </w:r>
      <w:r w:rsidR="00FC6897" w:rsidRPr="00613EFC">
        <w:t xml:space="preserve">To mitigate these risks, </w:t>
      </w:r>
      <w:r w:rsidR="00FC6897">
        <w:t xml:space="preserve">there are several </w:t>
      </w:r>
      <w:r w:rsidR="00403E86">
        <w:br/>
        <w:t xml:space="preserve">            </w:t>
      </w:r>
      <w:r w:rsidR="00FC6897">
        <w:t>actions analysts can take. W</w:t>
      </w:r>
      <w:r w:rsidR="00FC6897" w:rsidRPr="00613EFC">
        <w:t xml:space="preserve">e advise analysts advocate for the right to receive notice and </w:t>
      </w:r>
      <w:r w:rsidR="00403E86">
        <w:br/>
        <w:t xml:space="preserve">            </w:t>
      </w:r>
      <w:r w:rsidR="00FC6897" w:rsidRPr="00613EFC">
        <w:t xml:space="preserve">cure in the case of a default by a ground tenant. </w:t>
      </w:r>
      <w:r w:rsidR="00FC6897">
        <w:t xml:space="preserve">This will mitigate risk associated with the </w:t>
      </w:r>
      <w:r w:rsidR="00403E86">
        <w:br/>
        <w:t xml:space="preserve">            </w:t>
      </w:r>
      <w:r w:rsidR="00FC6897">
        <w:t xml:space="preserve">leasehold mortgage being exterminated by a default on the ground </w:t>
      </w:r>
      <w:proofErr w:type="spellStart"/>
      <w:proofErr w:type="gramStart"/>
      <w:r w:rsidR="00FC6897">
        <w:t>lease.The</w:t>
      </w:r>
      <w:proofErr w:type="spellEnd"/>
      <w:proofErr w:type="gramEnd"/>
      <w:r w:rsidR="00FC6897">
        <w:t xml:space="preserve"> term of these </w:t>
      </w:r>
      <w:r w:rsidR="00224FF8">
        <w:br/>
        <w:t xml:space="preserve">            </w:t>
      </w:r>
      <w:r w:rsidR="00FC6897">
        <w:t xml:space="preserve">leases should also be noted. It’s preferable that the lease extend past the scheduled maturity </w:t>
      </w:r>
      <w:r w:rsidR="00224FF8">
        <w:br/>
        <w:t xml:space="preserve">            </w:t>
      </w:r>
      <w:r w:rsidR="00FC6897">
        <w:t xml:space="preserve">date of the bonds so that it makes refinancing easier. Analysts should also inquire as to </w:t>
      </w:r>
      <w:r w:rsidR="00224FF8">
        <w:br/>
        <w:t xml:space="preserve">            </w:t>
      </w:r>
      <w:r w:rsidR="00FC6897">
        <w:t xml:space="preserve">whether there are any other liens on the property such as a mechanic’s lien or another </w:t>
      </w:r>
      <w:r w:rsidR="00224FF8">
        <w:br/>
        <w:t xml:space="preserve">            </w:t>
      </w:r>
      <w:r w:rsidR="00FC6897">
        <w:t>mortgage to which their mortgage would be subordinate.</w:t>
      </w:r>
      <w:r w:rsidR="00FC6897">
        <w:rPr>
          <w:rStyle w:val="FootnoteReference"/>
        </w:rPr>
        <w:footnoteReference w:id="10"/>
      </w:r>
      <w:r w:rsidR="00FC6897">
        <w:t xml:space="preserve">   </w:t>
      </w:r>
    </w:p>
    <w:p w14:paraId="52297FDC" w14:textId="43A0A0C7" w:rsidR="009B30CA" w:rsidRPr="009B6462" w:rsidRDefault="008C69C8" w:rsidP="00E42AE5">
      <w:pPr>
        <w:jc w:val="both"/>
        <w:rPr>
          <w:bCs/>
          <w:color w:val="FF0000"/>
        </w:rPr>
      </w:pPr>
      <w:r>
        <w:br/>
      </w:r>
      <w:r w:rsidR="006D20B8">
        <w:t xml:space="preserve">      E. </w:t>
      </w:r>
      <w:r w:rsidR="00C97D6C" w:rsidRPr="006F40B9">
        <w:rPr>
          <w:b/>
          <w:bCs/>
        </w:rPr>
        <w:t xml:space="preserve">Importance </w:t>
      </w:r>
      <w:proofErr w:type="gramStart"/>
      <w:r w:rsidR="00C97D6C" w:rsidRPr="006F40B9">
        <w:rPr>
          <w:b/>
          <w:bCs/>
        </w:rPr>
        <w:t>Of</w:t>
      </w:r>
      <w:proofErr w:type="gramEnd"/>
      <w:r w:rsidR="00C97D6C" w:rsidRPr="006F40B9">
        <w:rPr>
          <w:b/>
          <w:bCs/>
        </w:rPr>
        <w:t xml:space="preserve"> Title Insurance Disclosure &amp; Reviewing The Title Insuran</w:t>
      </w:r>
      <w:r w:rsidR="00355056" w:rsidRPr="006F40B9">
        <w:rPr>
          <w:b/>
          <w:bCs/>
        </w:rPr>
        <w:t>c</w:t>
      </w:r>
      <w:r w:rsidR="00C97D6C" w:rsidRPr="006F40B9">
        <w:rPr>
          <w:b/>
          <w:bCs/>
        </w:rPr>
        <w:t xml:space="preserve">e </w:t>
      </w:r>
      <w:r w:rsidR="008A6066">
        <w:rPr>
          <w:b/>
          <w:bCs/>
        </w:rPr>
        <w:t xml:space="preserve">  </w:t>
      </w:r>
      <w:r w:rsidR="008A6066">
        <w:rPr>
          <w:b/>
          <w:bCs/>
        </w:rPr>
        <w:br/>
        <w:t xml:space="preserve">            </w:t>
      </w:r>
      <w:r w:rsidR="00C97D6C" w:rsidRPr="006F40B9">
        <w:rPr>
          <w:b/>
          <w:bCs/>
        </w:rPr>
        <w:t>Commitmen</w:t>
      </w:r>
      <w:r w:rsidR="008A6066">
        <w:rPr>
          <w:b/>
          <w:bCs/>
        </w:rPr>
        <w:t>t</w:t>
      </w:r>
      <w:r w:rsidR="003A16F1" w:rsidRPr="006F40B9">
        <w:rPr>
          <w:b/>
          <w:bCs/>
        </w:rPr>
        <w:t xml:space="preserve"> </w:t>
      </w:r>
      <w:r w:rsidR="003A16F1" w:rsidRPr="006F40B9">
        <w:rPr>
          <w:b/>
          <w:bCs/>
          <w:color w:val="FF0000"/>
        </w:rPr>
        <w:t>JEFF/LES</w:t>
      </w:r>
      <w:r w:rsidR="007C4EEE">
        <w:rPr>
          <w:b/>
          <w:bCs/>
          <w:color w:val="FF0000"/>
        </w:rPr>
        <w:br/>
      </w:r>
    </w:p>
    <w:p w14:paraId="511BEACC" w14:textId="783D39FD" w:rsidR="009B30CA" w:rsidRPr="00586E6C" w:rsidRDefault="009B30CA" w:rsidP="003650D2">
      <w:pPr>
        <w:pStyle w:val="ListParagraph"/>
        <w:numPr>
          <w:ilvl w:val="0"/>
          <w:numId w:val="66"/>
        </w:numPr>
        <w:rPr>
          <w:rFonts w:cs="Times New Roman"/>
          <w:iCs/>
          <w:szCs w:val="24"/>
        </w:rPr>
      </w:pPr>
      <w:r w:rsidRPr="00586E6C">
        <w:rPr>
          <w:rFonts w:cs="Times New Roman"/>
          <w:iCs/>
          <w:szCs w:val="24"/>
        </w:rPr>
        <w:t>Metes &amp; Bounds or Legal Description</w:t>
      </w:r>
    </w:p>
    <w:p w14:paraId="370B828E" w14:textId="77777777" w:rsidR="009B30CA" w:rsidRPr="008032AA" w:rsidRDefault="009B30CA" w:rsidP="009B30CA">
      <w:pPr>
        <w:rPr>
          <w:rFonts w:cs="Times New Roman"/>
          <w:szCs w:val="24"/>
        </w:rPr>
      </w:pPr>
    </w:p>
    <w:p w14:paraId="4F9C5162" w14:textId="046DA447" w:rsidR="009B30CA" w:rsidRPr="008032AA" w:rsidRDefault="000C1453" w:rsidP="009B30CA">
      <w:pPr>
        <w:rPr>
          <w:rFonts w:cs="Times New Roman"/>
          <w:szCs w:val="24"/>
        </w:rPr>
      </w:pPr>
      <w:r w:rsidRPr="008032AA">
        <w:rPr>
          <w:rFonts w:cs="Times New Roman"/>
          <w:szCs w:val="24"/>
        </w:rPr>
        <w:t xml:space="preserve">             </w:t>
      </w:r>
      <w:r w:rsidR="009B30CA" w:rsidRPr="008032AA">
        <w:rPr>
          <w:rFonts w:cs="Times New Roman"/>
          <w:szCs w:val="24"/>
        </w:rPr>
        <w:t xml:space="preserve">In addition to ensuring that the property description in the title policy matches the </w:t>
      </w:r>
      <w:r w:rsidRPr="008032AA">
        <w:rPr>
          <w:rFonts w:cs="Times New Roman"/>
          <w:szCs w:val="24"/>
        </w:rPr>
        <w:br/>
        <w:t xml:space="preserve">             </w:t>
      </w:r>
      <w:r w:rsidR="009B30CA" w:rsidRPr="008032AA">
        <w:rPr>
          <w:rFonts w:cs="Times New Roman"/>
          <w:szCs w:val="24"/>
        </w:rPr>
        <w:t xml:space="preserve">property description in the mortgage or deed of trust, the property descriptions should </w:t>
      </w:r>
      <w:r w:rsidRPr="008032AA">
        <w:rPr>
          <w:rFonts w:cs="Times New Roman"/>
          <w:szCs w:val="24"/>
        </w:rPr>
        <w:br/>
        <w:t xml:space="preserve">             </w:t>
      </w:r>
      <w:r w:rsidR="009B30CA" w:rsidRPr="008032AA">
        <w:rPr>
          <w:rFonts w:cs="Times New Roman"/>
          <w:szCs w:val="24"/>
        </w:rPr>
        <w:t xml:space="preserve">conform to the survey for the property.  This is accomplished by scrupulously tracking </w:t>
      </w:r>
      <w:r w:rsidRPr="008032AA">
        <w:rPr>
          <w:rFonts w:cs="Times New Roman"/>
          <w:szCs w:val="24"/>
        </w:rPr>
        <w:br/>
      </w:r>
      <w:r w:rsidRPr="008032AA">
        <w:rPr>
          <w:rFonts w:cs="Times New Roman"/>
          <w:szCs w:val="24"/>
        </w:rPr>
        <w:lastRenderedPageBreak/>
        <w:t xml:space="preserve">           </w:t>
      </w:r>
      <w:r w:rsidR="00586E6C">
        <w:rPr>
          <w:rFonts w:cs="Times New Roman"/>
          <w:szCs w:val="24"/>
        </w:rPr>
        <w:t xml:space="preserve">  </w:t>
      </w:r>
      <w:r w:rsidRPr="008032AA">
        <w:rPr>
          <w:rFonts w:cs="Times New Roman"/>
          <w:szCs w:val="24"/>
        </w:rPr>
        <w:t xml:space="preserve"> </w:t>
      </w:r>
      <w:r w:rsidR="00586E6C">
        <w:rPr>
          <w:rFonts w:cs="Times New Roman"/>
          <w:szCs w:val="24"/>
        </w:rPr>
        <w:t xml:space="preserve"> </w:t>
      </w:r>
      <w:r w:rsidRPr="008032AA">
        <w:rPr>
          <w:rFonts w:cs="Times New Roman"/>
          <w:szCs w:val="24"/>
        </w:rPr>
        <w:t xml:space="preserve"> </w:t>
      </w:r>
      <w:r w:rsidR="009B30CA" w:rsidRPr="008032AA">
        <w:rPr>
          <w:rFonts w:cs="Times New Roman"/>
          <w:szCs w:val="24"/>
        </w:rPr>
        <w:t xml:space="preserve">the property description against a new or updated survey for the benefit of the </w:t>
      </w:r>
      <w:r w:rsidRPr="008032AA">
        <w:rPr>
          <w:rFonts w:cs="Times New Roman"/>
          <w:szCs w:val="24"/>
        </w:rPr>
        <w:br/>
        <w:t xml:space="preserve">             </w:t>
      </w:r>
      <w:r w:rsidR="00586E6C">
        <w:rPr>
          <w:rFonts w:cs="Times New Roman"/>
          <w:szCs w:val="24"/>
        </w:rPr>
        <w:t xml:space="preserve">   </w:t>
      </w:r>
      <w:r w:rsidR="009B30CA" w:rsidRPr="008032AA">
        <w:rPr>
          <w:rFonts w:cs="Times New Roman"/>
          <w:szCs w:val="24"/>
        </w:rPr>
        <w:t xml:space="preserve">trustee/bondholders.  The property should be readily identifiable in a recorded plat or </w:t>
      </w:r>
      <w:r w:rsidRPr="008032AA">
        <w:rPr>
          <w:rFonts w:cs="Times New Roman"/>
          <w:szCs w:val="24"/>
        </w:rPr>
        <w:br/>
        <w:t xml:space="preserve">                </w:t>
      </w:r>
      <w:r w:rsidR="009B30CA" w:rsidRPr="008032AA">
        <w:rPr>
          <w:rFonts w:cs="Times New Roman"/>
          <w:szCs w:val="24"/>
        </w:rPr>
        <w:t xml:space="preserve">parcel map and associated, by document number (e.g. Doc No. 2024-123456), with the </w:t>
      </w:r>
      <w:r w:rsidRPr="008032AA">
        <w:rPr>
          <w:rFonts w:cs="Times New Roman"/>
          <w:szCs w:val="24"/>
        </w:rPr>
        <w:br/>
        <w:t xml:space="preserve">                </w:t>
      </w:r>
      <w:r w:rsidR="009B30CA" w:rsidRPr="008032AA">
        <w:rPr>
          <w:rFonts w:cs="Times New Roman"/>
          <w:szCs w:val="24"/>
        </w:rPr>
        <w:t xml:space="preserve">book and page number in the records of the county recorder.  </w:t>
      </w:r>
    </w:p>
    <w:p w14:paraId="658F611B" w14:textId="77777777" w:rsidR="009B30CA" w:rsidRPr="008032AA" w:rsidRDefault="009B30CA" w:rsidP="009B30CA">
      <w:pPr>
        <w:rPr>
          <w:rFonts w:cs="Times New Roman"/>
          <w:szCs w:val="24"/>
        </w:rPr>
      </w:pPr>
    </w:p>
    <w:p w14:paraId="488D318F" w14:textId="2E982018" w:rsidR="009B30CA" w:rsidRPr="00586E6C" w:rsidRDefault="009B30CA" w:rsidP="003650D2">
      <w:pPr>
        <w:pStyle w:val="ListParagraph"/>
        <w:numPr>
          <w:ilvl w:val="0"/>
          <w:numId w:val="66"/>
        </w:numPr>
        <w:rPr>
          <w:rFonts w:cs="Times New Roman"/>
          <w:iCs/>
          <w:szCs w:val="24"/>
        </w:rPr>
      </w:pPr>
      <w:r w:rsidRPr="00586E6C">
        <w:rPr>
          <w:rFonts w:cs="Times New Roman"/>
          <w:iCs/>
          <w:szCs w:val="24"/>
        </w:rPr>
        <w:t>Title Policy</w:t>
      </w:r>
    </w:p>
    <w:p w14:paraId="6BB3123D" w14:textId="77777777" w:rsidR="009B30CA" w:rsidRPr="008032AA" w:rsidRDefault="009B30CA" w:rsidP="009B30CA">
      <w:pPr>
        <w:rPr>
          <w:rFonts w:cs="Times New Roman"/>
          <w:szCs w:val="24"/>
        </w:rPr>
      </w:pPr>
    </w:p>
    <w:p w14:paraId="4FCF9F73" w14:textId="1926C789" w:rsidR="009B30CA" w:rsidRPr="008032AA" w:rsidRDefault="00D14C18" w:rsidP="009B30CA">
      <w:pPr>
        <w:rPr>
          <w:rFonts w:cs="Times New Roman"/>
          <w:szCs w:val="24"/>
        </w:rPr>
      </w:pPr>
      <w:r w:rsidRPr="008032AA">
        <w:rPr>
          <w:rFonts w:cs="Times New Roman"/>
          <w:szCs w:val="24"/>
        </w:rPr>
        <w:t xml:space="preserve">                </w:t>
      </w:r>
      <w:r w:rsidR="009B30CA" w:rsidRPr="008032AA">
        <w:rPr>
          <w:rFonts w:cs="Times New Roman"/>
          <w:szCs w:val="24"/>
        </w:rPr>
        <w:t xml:space="preserve">Scheduled B sets forth exceptions to clear title to real property which are not covered </w:t>
      </w:r>
      <w:r w:rsidRPr="008032AA">
        <w:rPr>
          <w:rFonts w:cs="Times New Roman"/>
          <w:szCs w:val="24"/>
        </w:rPr>
        <w:br/>
        <w:t xml:space="preserve">                </w:t>
      </w:r>
      <w:r w:rsidR="009B30CA" w:rsidRPr="008032AA">
        <w:rPr>
          <w:rFonts w:cs="Times New Roman"/>
          <w:szCs w:val="24"/>
        </w:rPr>
        <w:t xml:space="preserve">by title insurance.  These exceptions could include, among others, the following </w:t>
      </w:r>
      <w:r w:rsidRPr="008032AA">
        <w:rPr>
          <w:rFonts w:cs="Times New Roman"/>
          <w:szCs w:val="24"/>
        </w:rPr>
        <w:br/>
        <w:t xml:space="preserve">                </w:t>
      </w:r>
      <w:r w:rsidR="009B30CA" w:rsidRPr="008032AA">
        <w:rPr>
          <w:rFonts w:cs="Times New Roman"/>
          <w:szCs w:val="24"/>
        </w:rPr>
        <w:t>recorded documents</w:t>
      </w:r>
      <w:proofErr w:type="gramStart"/>
      <w:r w:rsidR="009B30CA" w:rsidRPr="008032AA">
        <w:rPr>
          <w:rFonts w:cs="Times New Roman"/>
          <w:szCs w:val="24"/>
        </w:rPr>
        <w:t>:  (</w:t>
      </w:r>
      <w:proofErr w:type="spellStart"/>
      <w:proofErr w:type="gramEnd"/>
      <w:r w:rsidR="009B30CA" w:rsidRPr="008032AA">
        <w:rPr>
          <w:rFonts w:cs="Times New Roman"/>
          <w:szCs w:val="24"/>
        </w:rPr>
        <w:t>i</w:t>
      </w:r>
      <w:proofErr w:type="spellEnd"/>
      <w:r w:rsidR="009B30CA" w:rsidRPr="008032AA">
        <w:rPr>
          <w:rFonts w:cs="Times New Roman"/>
          <w:szCs w:val="24"/>
        </w:rPr>
        <w:t xml:space="preserve">) deed restrictions, (ii) easements (utility and private), (iii) </w:t>
      </w:r>
      <w:r w:rsidRPr="008032AA">
        <w:rPr>
          <w:rFonts w:cs="Times New Roman"/>
          <w:szCs w:val="24"/>
        </w:rPr>
        <w:br/>
        <w:t xml:space="preserve">                </w:t>
      </w:r>
      <w:r w:rsidR="009B30CA" w:rsidRPr="008032AA">
        <w:rPr>
          <w:rFonts w:cs="Times New Roman"/>
          <w:szCs w:val="24"/>
        </w:rPr>
        <w:t xml:space="preserve">mortgages/deeds of trust and (iv) governmental regulatory and land-use restriction </w:t>
      </w:r>
      <w:r w:rsidRPr="008032AA">
        <w:rPr>
          <w:rFonts w:cs="Times New Roman"/>
          <w:szCs w:val="24"/>
        </w:rPr>
        <w:br/>
        <w:t xml:space="preserve">                </w:t>
      </w:r>
      <w:r w:rsidR="009B30CA" w:rsidRPr="008032AA">
        <w:rPr>
          <w:rFonts w:cs="Times New Roman"/>
          <w:szCs w:val="24"/>
        </w:rPr>
        <w:t>agreements</w:t>
      </w:r>
      <w:r w:rsidRPr="008032AA">
        <w:rPr>
          <w:rFonts w:cs="Times New Roman"/>
          <w:szCs w:val="24"/>
        </w:rPr>
        <w:t xml:space="preserve"> </w:t>
      </w:r>
      <w:r w:rsidR="009B30CA" w:rsidRPr="008032AA">
        <w:rPr>
          <w:rFonts w:cs="Times New Roman"/>
          <w:szCs w:val="24"/>
        </w:rPr>
        <w:t xml:space="preserve">(e.g. for affordable housing). A title report can be ordered from a title </w:t>
      </w:r>
      <w:r w:rsidR="00712575" w:rsidRPr="008032AA">
        <w:rPr>
          <w:rFonts w:cs="Times New Roman"/>
          <w:szCs w:val="24"/>
        </w:rPr>
        <w:br/>
        <w:t xml:space="preserve">                </w:t>
      </w:r>
      <w:r w:rsidR="009B30CA" w:rsidRPr="008032AA">
        <w:rPr>
          <w:rFonts w:cs="Times New Roman"/>
          <w:szCs w:val="24"/>
        </w:rPr>
        <w:t xml:space="preserve">company that contains hyper-linked access to the recorded documents impacting title, </w:t>
      </w:r>
      <w:r w:rsidR="00712575" w:rsidRPr="008032AA">
        <w:rPr>
          <w:rFonts w:cs="Times New Roman"/>
          <w:szCs w:val="24"/>
        </w:rPr>
        <w:br/>
        <w:t xml:space="preserve">                </w:t>
      </w:r>
      <w:r w:rsidR="009B30CA" w:rsidRPr="008032AA">
        <w:rPr>
          <w:rFonts w:cs="Times New Roman"/>
          <w:szCs w:val="24"/>
        </w:rPr>
        <w:t xml:space="preserve">which can be reviewed by bondholders and local counsel familiar with such liens, </w:t>
      </w:r>
      <w:r w:rsidR="00712575" w:rsidRPr="008032AA">
        <w:rPr>
          <w:rFonts w:cs="Times New Roman"/>
          <w:szCs w:val="24"/>
        </w:rPr>
        <w:br/>
        <w:t xml:space="preserve">                </w:t>
      </w:r>
      <w:r w:rsidR="009B30CA" w:rsidRPr="008032AA">
        <w:rPr>
          <w:rFonts w:cs="Times New Roman"/>
          <w:szCs w:val="24"/>
        </w:rPr>
        <w:t xml:space="preserve">encumbrances and title impairments.  </w:t>
      </w:r>
    </w:p>
    <w:p w14:paraId="6B24F131" w14:textId="77777777" w:rsidR="009B30CA" w:rsidRPr="008032AA" w:rsidRDefault="009B30CA" w:rsidP="009B30CA">
      <w:pPr>
        <w:rPr>
          <w:rFonts w:cs="Times New Roman"/>
          <w:szCs w:val="24"/>
        </w:rPr>
      </w:pPr>
    </w:p>
    <w:p w14:paraId="0345CCA8" w14:textId="5FC45144" w:rsidR="009B30CA" w:rsidRPr="008032AA" w:rsidRDefault="00712575" w:rsidP="009B30CA">
      <w:pPr>
        <w:rPr>
          <w:rFonts w:cs="Times New Roman"/>
          <w:szCs w:val="24"/>
        </w:rPr>
      </w:pPr>
      <w:r w:rsidRPr="008032AA">
        <w:rPr>
          <w:rFonts w:cs="Times New Roman"/>
          <w:szCs w:val="24"/>
        </w:rPr>
        <w:t xml:space="preserve">                </w:t>
      </w:r>
      <w:r w:rsidR="009B30CA" w:rsidRPr="008032AA">
        <w:rPr>
          <w:rFonts w:cs="Times New Roman"/>
          <w:szCs w:val="24"/>
        </w:rPr>
        <w:t xml:space="preserve">According to First American Title Company, a typical standard title policy may cover </w:t>
      </w:r>
      <w:r w:rsidRPr="008032AA">
        <w:rPr>
          <w:rFonts w:cs="Times New Roman"/>
          <w:szCs w:val="24"/>
        </w:rPr>
        <w:br/>
        <w:t xml:space="preserve">                </w:t>
      </w:r>
      <w:r w:rsidR="009B30CA" w:rsidRPr="008032AA">
        <w:rPr>
          <w:rFonts w:cs="Times New Roman"/>
          <w:szCs w:val="24"/>
        </w:rPr>
        <w:t>such risks as:</w:t>
      </w:r>
    </w:p>
    <w:p w14:paraId="27C8F338" w14:textId="77777777" w:rsidR="009B30CA" w:rsidRPr="008032AA" w:rsidRDefault="009B30CA" w:rsidP="009B30CA">
      <w:pPr>
        <w:numPr>
          <w:ilvl w:val="0"/>
          <w:numId w:val="56"/>
        </w:numPr>
        <w:spacing w:before="100" w:beforeAutospacing="1" w:after="100" w:afterAutospacing="1"/>
        <w:rPr>
          <w:rFonts w:eastAsia="Times New Roman" w:cs="Times New Roman"/>
          <w:szCs w:val="24"/>
        </w:rPr>
      </w:pPr>
      <w:r w:rsidRPr="008032AA">
        <w:rPr>
          <w:rFonts w:eastAsia="Times New Roman" w:cs="Times New Roman"/>
          <w:szCs w:val="24"/>
        </w:rPr>
        <w:t>Forgery and impersonation (including of satisfactions and releases);</w:t>
      </w:r>
    </w:p>
    <w:p w14:paraId="632768EF" w14:textId="77777777" w:rsidR="009B30CA" w:rsidRPr="008032AA" w:rsidRDefault="009B30CA" w:rsidP="009B30CA">
      <w:pPr>
        <w:numPr>
          <w:ilvl w:val="0"/>
          <w:numId w:val="56"/>
        </w:numPr>
        <w:spacing w:before="100" w:beforeAutospacing="1" w:after="100" w:afterAutospacing="1"/>
        <w:rPr>
          <w:rFonts w:eastAsia="Times New Roman" w:cs="Times New Roman"/>
          <w:szCs w:val="24"/>
        </w:rPr>
      </w:pPr>
      <w:r w:rsidRPr="008032AA">
        <w:rPr>
          <w:rFonts w:eastAsia="Times New Roman" w:cs="Times New Roman"/>
          <w:szCs w:val="24"/>
        </w:rPr>
        <w:t xml:space="preserve">Lack of </w:t>
      </w:r>
      <w:r w:rsidRPr="008032AA">
        <w:rPr>
          <w:rFonts w:eastAsia="Times New Roman" w:cs="Times New Roman"/>
          <w:color w:val="000000" w:themeColor="text1"/>
          <w:szCs w:val="24"/>
        </w:rPr>
        <w:t xml:space="preserve">competency, capacity or </w:t>
      </w:r>
      <w:r w:rsidRPr="008032AA">
        <w:rPr>
          <w:rFonts w:eastAsia="Times New Roman" w:cs="Times New Roman"/>
          <w:szCs w:val="24"/>
        </w:rPr>
        <w:t>legal authority of a party; [note:  not sure rest has come up often but your call]</w:t>
      </w:r>
    </w:p>
    <w:p w14:paraId="79F19580" w14:textId="77777777" w:rsidR="009B30CA" w:rsidRPr="008032AA" w:rsidRDefault="009B30CA" w:rsidP="009B30CA">
      <w:pPr>
        <w:numPr>
          <w:ilvl w:val="0"/>
          <w:numId w:val="56"/>
        </w:numPr>
        <w:spacing w:before="100" w:beforeAutospacing="1" w:after="100" w:afterAutospacing="1"/>
        <w:rPr>
          <w:rFonts w:eastAsia="Times New Roman" w:cs="Times New Roman"/>
          <w:szCs w:val="24"/>
        </w:rPr>
      </w:pPr>
      <w:r w:rsidRPr="008032AA">
        <w:rPr>
          <w:rFonts w:eastAsia="Times New Roman" w:cs="Times New Roman"/>
          <w:szCs w:val="24"/>
        </w:rPr>
        <w:t>Deed not joined in by a necessary party (co-owner, heir, spouse, corporate officer, or business partner);</w:t>
      </w:r>
    </w:p>
    <w:p w14:paraId="4401594B" w14:textId="77777777" w:rsidR="009B30CA" w:rsidRPr="008032AA" w:rsidRDefault="009B30CA" w:rsidP="009B30CA">
      <w:pPr>
        <w:numPr>
          <w:ilvl w:val="0"/>
          <w:numId w:val="56"/>
        </w:numPr>
        <w:spacing w:before="100" w:beforeAutospacing="1" w:after="100" w:afterAutospacing="1"/>
        <w:rPr>
          <w:rFonts w:eastAsia="Times New Roman" w:cs="Times New Roman"/>
          <w:szCs w:val="24"/>
        </w:rPr>
      </w:pPr>
      <w:r w:rsidRPr="008032AA">
        <w:rPr>
          <w:rFonts w:eastAsia="Times New Roman" w:cs="Times New Roman"/>
          <w:szCs w:val="24"/>
        </w:rPr>
        <w:t>Ineffective satisfactions and releases due to:</w:t>
      </w:r>
    </w:p>
    <w:p w14:paraId="02CB6D96" w14:textId="77777777" w:rsidR="009B30CA" w:rsidRPr="008032AA" w:rsidRDefault="009B30CA" w:rsidP="009B30CA">
      <w:pPr>
        <w:numPr>
          <w:ilvl w:val="1"/>
          <w:numId w:val="56"/>
        </w:numPr>
        <w:spacing w:before="100" w:beforeAutospacing="1" w:after="100" w:afterAutospacing="1"/>
        <w:rPr>
          <w:rFonts w:eastAsia="Times New Roman" w:cs="Times New Roman"/>
          <w:szCs w:val="24"/>
        </w:rPr>
      </w:pPr>
      <w:r w:rsidRPr="008032AA">
        <w:rPr>
          <w:rFonts w:eastAsia="Times New Roman" w:cs="Times New Roman"/>
          <w:szCs w:val="24"/>
        </w:rPr>
        <w:t>Acquisition of note by bona-fide purchaser (with no notice)</w:t>
      </w:r>
    </w:p>
    <w:p w14:paraId="5137D714" w14:textId="77777777" w:rsidR="009B30CA" w:rsidRPr="008032AA" w:rsidRDefault="009B30CA" w:rsidP="009B30CA">
      <w:pPr>
        <w:numPr>
          <w:ilvl w:val="1"/>
          <w:numId w:val="56"/>
        </w:numPr>
        <w:spacing w:before="100" w:beforeAutospacing="1" w:after="100" w:afterAutospacing="1"/>
        <w:rPr>
          <w:rFonts w:eastAsia="Times New Roman" w:cs="Times New Roman"/>
          <w:szCs w:val="24"/>
        </w:rPr>
      </w:pPr>
      <w:r w:rsidRPr="008032AA">
        <w:rPr>
          <w:rFonts w:eastAsia="Times New Roman" w:cs="Times New Roman"/>
          <w:szCs w:val="24"/>
        </w:rPr>
        <w:t>Bankruptcy of creditor prior to recording;</w:t>
      </w:r>
    </w:p>
    <w:p w14:paraId="6642EDF6" w14:textId="77777777" w:rsidR="009B30CA" w:rsidRPr="008032AA" w:rsidRDefault="009B30CA" w:rsidP="009B30CA">
      <w:pPr>
        <w:numPr>
          <w:ilvl w:val="0"/>
          <w:numId w:val="56"/>
        </w:numPr>
        <w:spacing w:before="100" w:beforeAutospacing="1" w:after="100" w:afterAutospacing="1"/>
        <w:rPr>
          <w:rFonts w:eastAsia="Times New Roman" w:cs="Times New Roman"/>
          <w:szCs w:val="24"/>
        </w:rPr>
      </w:pPr>
      <w:r w:rsidRPr="008032AA">
        <w:rPr>
          <w:rFonts w:eastAsia="Times New Roman" w:cs="Times New Roman"/>
          <w:szCs w:val="24"/>
        </w:rPr>
        <w:t>Undisclosed (but recorded):</w:t>
      </w:r>
    </w:p>
    <w:p w14:paraId="30AFE317" w14:textId="77777777" w:rsidR="009B30CA" w:rsidRPr="008032AA" w:rsidRDefault="009B30CA" w:rsidP="009B30CA">
      <w:pPr>
        <w:numPr>
          <w:ilvl w:val="1"/>
          <w:numId w:val="56"/>
        </w:numPr>
        <w:spacing w:before="100" w:beforeAutospacing="1" w:after="100" w:afterAutospacing="1"/>
        <w:rPr>
          <w:rFonts w:eastAsia="Times New Roman" w:cs="Times New Roman"/>
          <w:szCs w:val="24"/>
        </w:rPr>
      </w:pPr>
      <w:r w:rsidRPr="008032AA">
        <w:rPr>
          <w:rFonts w:eastAsia="Times New Roman" w:cs="Times New Roman"/>
          <w:szCs w:val="24"/>
        </w:rPr>
        <w:t>Prior mortgages</w:t>
      </w:r>
    </w:p>
    <w:p w14:paraId="66A7B255" w14:textId="77777777" w:rsidR="009B30CA" w:rsidRPr="008032AA" w:rsidRDefault="009B30CA" w:rsidP="009B30CA">
      <w:pPr>
        <w:numPr>
          <w:ilvl w:val="1"/>
          <w:numId w:val="56"/>
        </w:numPr>
        <w:spacing w:before="100" w:beforeAutospacing="1" w:after="100" w:afterAutospacing="1"/>
        <w:rPr>
          <w:rFonts w:eastAsia="Times New Roman" w:cs="Times New Roman"/>
          <w:szCs w:val="24"/>
        </w:rPr>
      </w:pPr>
      <w:r w:rsidRPr="008032AA">
        <w:rPr>
          <w:rFonts w:eastAsia="Times New Roman" w:cs="Times New Roman"/>
          <w:szCs w:val="24"/>
        </w:rPr>
        <w:t>Tax or environmental liens</w:t>
      </w:r>
    </w:p>
    <w:p w14:paraId="4A7163EF" w14:textId="77777777" w:rsidR="009B30CA" w:rsidRPr="008032AA" w:rsidRDefault="009B30CA" w:rsidP="009B30CA">
      <w:pPr>
        <w:numPr>
          <w:ilvl w:val="1"/>
          <w:numId w:val="56"/>
        </w:numPr>
        <w:spacing w:before="100" w:beforeAutospacing="1" w:after="100" w:afterAutospacing="1"/>
        <w:rPr>
          <w:rFonts w:eastAsia="Times New Roman" w:cs="Times New Roman"/>
          <w:szCs w:val="24"/>
        </w:rPr>
      </w:pPr>
      <w:r w:rsidRPr="008032AA">
        <w:rPr>
          <w:rFonts w:eastAsia="Times New Roman" w:cs="Times New Roman"/>
          <w:szCs w:val="24"/>
        </w:rPr>
        <w:t>Pending lawsuits affecting the land</w:t>
      </w:r>
    </w:p>
    <w:p w14:paraId="7B13A7BB" w14:textId="77777777" w:rsidR="009B30CA" w:rsidRPr="008032AA" w:rsidRDefault="009B30CA" w:rsidP="009B30CA">
      <w:pPr>
        <w:numPr>
          <w:ilvl w:val="1"/>
          <w:numId w:val="56"/>
        </w:numPr>
        <w:spacing w:before="100" w:beforeAutospacing="1" w:after="100" w:afterAutospacing="1"/>
        <w:rPr>
          <w:rFonts w:eastAsia="Times New Roman" w:cs="Times New Roman"/>
          <w:szCs w:val="24"/>
        </w:rPr>
      </w:pPr>
      <w:r w:rsidRPr="008032AA">
        <w:rPr>
          <w:rFonts w:eastAsia="Times New Roman" w:cs="Times New Roman"/>
          <w:szCs w:val="24"/>
        </w:rPr>
        <w:t>Easements or use restrictions (including governmental land use restriction and regulatory agreements)</w:t>
      </w:r>
    </w:p>
    <w:p w14:paraId="3C169DF4" w14:textId="77777777" w:rsidR="009B30CA" w:rsidRPr="008032AA" w:rsidRDefault="009B30CA" w:rsidP="009B30CA">
      <w:pPr>
        <w:numPr>
          <w:ilvl w:val="1"/>
          <w:numId w:val="56"/>
        </w:numPr>
        <w:spacing w:before="100" w:beforeAutospacing="1" w:after="100" w:afterAutospacing="1"/>
        <w:rPr>
          <w:rFonts w:eastAsia="Times New Roman" w:cs="Times New Roman"/>
          <w:szCs w:val="24"/>
        </w:rPr>
      </w:pPr>
      <w:r w:rsidRPr="008032AA">
        <w:rPr>
          <w:rFonts w:eastAsia="Times New Roman" w:cs="Times New Roman"/>
          <w:szCs w:val="24"/>
        </w:rPr>
        <w:t>Options or rights of first refusal to purchase the property;</w:t>
      </w:r>
    </w:p>
    <w:p w14:paraId="4AB67E92" w14:textId="77777777" w:rsidR="009B30CA" w:rsidRPr="008032AA" w:rsidRDefault="009B30CA" w:rsidP="009B30CA">
      <w:pPr>
        <w:numPr>
          <w:ilvl w:val="0"/>
          <w:numId w:val="56"/>
        </w:numPr>
        <w:spacing w:before="100" w:beforeAutospacing="1" w:after="100" w:afterAutospacing="1"/>
        <w:rPr>
          <w:rFonts w:eastAsia="Times New Roman" w:cs="Times New Roman"/>
          <w:szCs w:val="24"/>
        </w:rPr>
      </w:pPr>
      <w:r w:rsidRPr="008032AA">
        <w:rPr>
          <w:rFonts w:eastAsia="Times New Roman" w:cs="Times New Roman"/>
          <w:szCs w:val="24"/>
        </w:rPr>
        <w:t>Erroneous or inadequate legal descriptions;</w:t>
      </w:r>
    </w:p>
    <w:p w14:paraId="56227437" w14:textId="77777777" w:rsidR="009B30CA" w:rsidRPr="008032AA" w:rsidRDefault="009B30CA" w:rsidP="009B30CA">
      <w:pPr>
        <w:numPr>
          <w:ilvl w:val="0"/>
          <w:numId w:val="56"/>
        </w:numPr>
        <w:spacing w:before="100" w:beforeAutospacing="1" w:after="100" w:afterAutospacing="1"/>
        <w:rPr>
          <w:rFonts w:eastAsia="Times New Roman" w:cs="Times New Roman"/>
          <w:szCs w:val="24"/>
        </w:rPr>
      </w:pPr>
      <w:r w:rsidRPr="008032AA">
        <w:rPr>
          <w:rFonts w:eastAsia="Times New Roman" w:cs="Times New Roman"/>
          <w:szCs w:val="24"/>
        </w:rPr>
        <w:t>Lack of a right of access; and</w:t>
      </w:r>
    </w:p>
    <w:p w14:paraId="02D13F45" w14:textId="77777777" w:rsidR="009B30CA" w:rsidRPr="008032AA" w:rsidRDefault="009B30CA" w:rsidP="009B30CA">
      <w:pPr>
        <w:numPr>
          <w:ilvl w:val="0"/>
          <w:numId w:val="56"/>
        </w:numPr>
        <w:spacing w:before="100" w:beforeAutospacing="1" w:after="100" w:afterAutospacing="1"/>
        <w:rPr>
          <w:rFonts w:eastAsia="Times New Roman" w:cs="Times New Roman"/>
          <w:szCs w:val="24"/>
        </w:rPr>
      </w:pPr>
      <w:r w:rsidRPr="008032AA">
        <w:rPr>
          <w:rFonts w:eastAsia="Times New Roman" w:cs="Times New Roman"/>
          <w:szCs w:val="24"/>
        </w:rPr>
        <w:t>Deed not properly recorded.</w:t>
      </w:r>
    </w:p>
    <w:p w14:paraId="3074F303" w14:textId="77777777" w:rsidR="009B30CA" w:rsidRPr="008032AA" w:rsidRDefault="009B30CA" w:rsidP="009B30CA">
      <w:pPr>
        <w:spacing w:before="100" w:beforeAutospacing="1" w:after="100" w:afterAutospacing="1"/>
        <w:rPr>
          <w:rFonts w:cs="Times New Roman"/>
          <w:szCs w:val="24"/>
        </w:rPr>
      </w:pPr>
      <w:r w:rsidRPr="008032AA">
        <w:rPr>
          <w:rFonts w:cs="Times New Roman"/>
          <w:szCs w:val="24"/>
        </w:rPr>
        <w:t>An extended coverage policy may be requested to protect against such additional defects as:</w:t>
      </w:r>
    </w:p>
    <w:p w14:paraId="119B95BC" w14:textId="77777777" w:rsidR="009B30CA" w:rsidRPr="008032AA" w:rsidRDefault="009B30CA" w:rsidP="009B30CA">
      <w:pPr>
        <w:numPr>
          <w:ilvl w:val="0"/>
          <w:numId w:val="57"/>
        </w:numPr>
        <w:spacing w:before="100" w:beforeAutospacing="1" w:after="100" w:afterAutospacing="1"/>
        <w:rPr>
          <w:rFonts w:eastAsia="Times New Roman" w:cs="Times New Roman"/>
          <w:szCs w:val="24"/>
        </w:rPr>
      </w:pPr>
      <w:r w:rsidRPr="008032AA">
        <w:rPr>
          <w:rFonts w:eastAsia="Times New Roman" w:cs="Times New Roman"/>
          <w:szCs w:val="24"/>
        </w:rPr>
        <w:t>Off-record matters, such as claims for adverse possession or prescriptive easement;</w:t>
      </w:r>
    </w:p>
    <w:p w14:paraId="18CBF709" w14:textId="77777777" w:rsidR="009B30CA" w:rsidRPr="008032AA" w:rsidRDefault="009B30CA" w:rsidP="009B30CA">
      <w:pPr>
        <w:numPr>
          <w:ilvl w:val="0"/>
          <w:numId w:val="57"/>
        </w:numPr>
        <w:spacing w:before="100" w:beforeAutospacing="1" w:after="100" w:afterAutospacing="1"/>
        <w:rPr>
          <w:rFonts w:eastAsia="Times New Roman" w:cs="Times New Roman"/>
          <w:szCs w:val="24"/>
        </w:rPr>
      </w:pPr>
      <w:r w:rsidRPr="008032AA">
        <w:rPr>
          <w:rFonts w:eastAsia="Times New Roman" w:cs="Times New Roman"/>
          <w:szCs w:val="24"/>
        </w:rPr>
        <w:t>Deed to land with buildings encroaching on land of another;</w:t>
      </w:r>
    </w:p>
    <w:p w14:paraId="63D0CE69" w14:textId="77777777" w:rsidR="009B30CA" w:rsidRPr="008032AA" w:rsidRDefault="009B30CA" w:rsidP="009B30CA">
      <w:pPr>
        <w:numPr>
          <w:ilvl w:val="0"/>
          <w:numId w:val="57"/>
        </w:numPr>
        <w:spacing w:before="100" w:beforeAutospacing="1" w:after="100" w:afterAutospacing="1"/>
        <w:rPr>
          <w:rFonts w:eastAsia="Times New Roman" w:cs="Times New Roman"/>
          <w:szCs w:val="24"/>
        </w:rPr>
      </w:pPr>
      <w:r w:rsidRPr="008032AA">
        <w:rPr>
          <w:rFonts w:eastAsia="Times New Roman" w:cs="Times New Roman"/>
          <w:szCs w:val="24"/>
        </w:rPr>
        <w:t>Incorrect survey;</w:t>
      </w:r>
    </w:p>
    <w:p w14:paraId="5C8B908C" w14:textId="77777777" w:rsidR="009B30CA" w:rsidRPr="008032AA" w:rsidRDefault="009B30CA" w:rsidP="009B30CA">
      <w:pPr>
        <w:numPr>
          <w:ilvl w:val="0"/>
          <w:numId w:val="57"/>
        </w:numPr>
        <w:spacing w:before="100" w:beforeAutospacing="1" w:after="100" w:afterAutospacing="1"/>
        <w:rPr>
          <w:rFonts w:eastAsia="Times New Roman" w:cs="Times New Roman"/>
          <w:szCs w:val="24"/>
        </w:rPr>
      </w:pPr>
      <w:r w:rsidRPr="008032AA">
        <w:rPr>
          <w:rFonts w:eastAsia="Times New Roman" w:cs="Times New Roman"/>
          <w:szCs w:val="24"/>
        </w:rPr>
        <w:t xml:space="preserve">Silent (off-record) liens (such as </w:t>
      </w:r>
      <w:proofErr w:type="gramStart"/>
      <w:r w:rsidRPr="008032AA">
        <w:rPr>
          <w:rFonts w:eastAsia="Times New Roman" w:cs="Times New Roman"/>
          <w:szCs w:val="24"/>
        </w:rPr>
        <w:t>mechanics'</w:t>
      </w:r>
      <w:proofErr w:type="gramEnd"/>
      <w:r w:rsidRPr="008032AA">
        <w:rPr>
          <w:rFonts w:eastAsia="Times New Roman" w:cs="Times New Roman"/>
          <w:szCs w:val="24"/>
        </w:rPr>
        <w:t xml:space="preserve"> or estate tax liens); and</w:t>
      </w:r>
    </w:p>
    <w:p w14:paraId="7135351B" w14:textId="77777777" w:rsidR="009B30CA" w:rsidRPr="008032AA" w:rsidRDefault="009B30CA" w:rsidP="009B30CA">
      <w:pPr>
        <w:numPr>
          <w:ilvl w:val="0"/>
          <w:numId w:val="57"/>
        </w:numPr>
        <w:spacing w:before="100" w:beforeAutospacing="1" w:after="100" w:afterAutospacing="1"/>
        <w:rPr>
          <w:rFonts w:eastAsia="Times New Roman" w:cs="Times New Roman"/>
          <w:szCs w:val="24"/>
        </w:rPr>
      </w:pPr>
      <w:r w:rsidRPr="008032AA">
        <w:rPr>
          <w:rFonts w:eastAsia="Times New Roman" w:cs="Times New Roman"/>
          <w:szCs w:val="24"/>
        </w:rPr>
        <w:t>Pre-existing violations of subdivision laws, zoning ordinances, or covenants, conditions and restrictions.</w:t>
      </w:r>
    </w:p>
    <w:p w14:paraId="21433C61" w14:textId="77777777" w:rsidR="009B30CA" w:rsidRPr="008032AA" w:rsidRDefault="009B30CA" w:rsidP="009B30CA">
      <w:pPr>
        <w:spacing w:before="100" w:beforeAutospacing="1" w:after="100" w:afterAutospacing="1"/>
        <w:rPr>
          <w:rFonts w:cs="Times New Roman"/>
          <w:szCs w:val="24"/>
        </w:rPr>
      </w:pPr>
      <w:r w:rsidRPr="008032AA">
        <w:rPr>
          <w:rFonts w:cs="Times New Roman"/>
          <w:szCs w:val="24"/>
        </w:rPr>
        <w:t>Some title insurers may also provide extended coverage that address such risks as:</w:t>
      </w:r>
    </w:p>
    <w:p w14:paraId="2B701A8C" w14:textId="77777777" w:rsidR="009B30CA" w:rsidRPr="008032AA" w:rsidRDefault="009B30CA" w:rsidP="009B30CA">
      <w:pPr>
        <w:numPr>
          <w:ilvl w:val="0"/>
          <w:numId w:val="58"/>
        </w:numPr>
        <w:spacing w:before="100" w:beforeAutospacing="1" w:after="100" w:afterAutospacing="1"/>
        <w:rPr>
          <w:rFonts w:eastAsia="Times New Roman" w:cs="Times New Roman"/>
          <w:szCs w:val="24"/>
        </w:rPr>
      </w:pPr>
      <w:r w:rsidRPr="008032AA">
        <w:rPr>
          <w:rFonts w:eastAsia="Times New Roman" w:cs="Times New Roman"/>
          <w:szCs w:val="24"/>
        </w:rPr>
        <w:lastRenderedPageBreak/>
        <w:t>Post-policy forgery;</w:t>
      </w:r>
    </w:p>
    <w:p w14:paraId="06B74760" w14:textId="77777777" w:rsidR="009B30CA" w:rsidRPr="008032AA" w:rsidRDefault="009B30CA" w:rsidP="009B30CA">
      <w:pPr>
        <w:numPr>
          <w:ilvl w:val="0"/>
          <w:numId w:val="58"/>
        </w:numPr>
        <w:spacing w:before="100" w:beforeAutospacing="1" w:after="100" w:afterAutospacing="1"/>
        <w:rPr>
          <w:rFonts w:eastAsia="Times New Roman" w:cs="Times New Roman"/>
          <w:szCs w:val="24"/>
        </w:rPr>
      </w:pPr>
      <w:r w:rsidRPr="008032AA">
        <w:rPr>
          <w:rFonts w:eastAsia="Times New Roman" w:cs="Times New Roman"/>
          <w:szCs w:val="24"/>
        </w:rPr>
        <w:t>Forced removal of improvements due to lack of building permit (subject to deductible);</w:t>
      </w:r>
    </w:p>
    <w:p w14:paraId="4039F189" w14:textId="77777777" w:rsidR="009B30CA" w:rsidRPr="008032AA" w:rsidRDefault="009B30CA" w:rsidP="009B30CA">
      <w:pPr>
        <w:numPr>
          <w:ilvl w:val="0"/>
          <w:numId w:val="58"/>
        </w:numPr>
        <w:spacing w:before="100" w:beforeAutospacing="1" w:after="100" w:afterAutospacing="1"/>
        <w:rPr>
          <w:rFonts w:eastAsia="Times New Roman" w:cs="Times New Roman"/>
          <w:szCs w:val="24"/>
        </w:rPr>
      </w:pPr>
      <w:r w:rsidRPr="008032AA">
        <w:rPr>
          <w:rFonts w:eastAsia="Times New Roman" w:cs="Times New Roman"/>
          <w:szCs w:val="24"/>
        </w:rPr>
        <w:t>Post-policy construction of improvements by a neighbor onto insured land; and</w:t>
      </w:r>
    </w:p>
    <w:p w14:paraId="09F3EF70" w14:textId="77777777" w:rsidR="009B30CA" w:rsidRPr="008032AA" w:rsidRDefault="009B30CA" w:rsidP="009B30CA">
      <w:pPr>
        <w:numPr>
          <w:ilvl w:val="0"/>
          <w:numId w:val="58"/>
        </w:numPr>
        <w:spacing w:before="100" w:beforeAutospacing="1" w:after="100" w:afterAutospacing="1"/>
        <w:rPr>
          <w:rFonts w:eastAsia="Times New Roman" w:cs="Times New Roman"/>
          <w:szCs w:val="24"/>
        </w:rPr>
      </w:pPr>
      <w:r w:rsidRPr="008032AA">
        <w:rPr>
          <w:rFonts w:eastAsia="Times New Roman" w:cs="Times New Roman"/>
          <w:szCs w:val="24"/>
        </w:rPr>
        <w:t>Location and dimensions of insured land (survey not required).</w:t>
      </w:r>
    </w:p>
    <w:p w14:paraId="0CEE9E29" w14:textId="5D8BC6D6" w:rsidR="009B30CA" w:rsidRPr="008032AA" w:rsidRDefault="00BA531F" w:rsidP="009B30CA">
      <w:pPr>
        <w:rPr>
          <w:rFonts w:cs="Times New Roman"/>
          <w:szCs w:val="24"/>
        </w:rPr>
      </w:pPr>
      <w:r w:rsidRPr="008032AA">
        <w:rPr>
          <w:rFonts w:cs="Times New Roman"/>
          <w:szCs w:val="24"/>
        </w:rPr>
        <w:t xml:space="preserve">             </w:t>
      </w:r>
      <w:r w:rsidR="009B30CA" w:rsidRPr="008032AA">
        <w:rPr>
          <w:rFonts w:cs="Times New Roman"/>
          <w:szCs w:val="24"/>
        </w:rPr>
        <w:t xml:space="preserve">In a refinancing, existing mortgages either should be repaid and released of record, or </w:t>
      </w:r>
      <w:r w:rsidRPr="008032AA">
        <w:rPr>
          <w:rFonts w:cs="Times New Roman"/>
          <w:szCs w:val="24"/>
        </w:rPr>
        <w:br/>
        <w:t xml:space="preserve">             </w:t>
      </w:r>
      <w:r w:rsidR="009B30CA" w:rsidRPr="008032AA">
        <w:rPr>
          <w:rFonts w:cs="Times New Roman"/>
          <w:szCs w:val="24"/>
        </w:rPr>
        <w:t xml:space="preserve">subordinated if possible.  Bondholders should also be mindful of easements and </w:t>
      </w:r>
      <w:r w:rsidRPr="008032AA">
        <w:rPr>
          <w:rFonts w:cs="Times New Roman"/>
          <w:szCs w:val="24"/>
        </w:rPr>
        <w:br/>
        <w:t xml:space="preserve">             </w:t>
      </w:r>
      <w:r w:rsidR="009B30CA" w:rsidRPr="008032AA">
        <w:rPr>
          <w:rFonts w:cs="Times New Roman"/>
          <w:szCs w:val="24"/>
        </w:rPr>
        <w:t xml:space="preserve">regulatory agreement provisions that have restrictions that negatively impact the use of </w:t>
      </w:r>
      <w:r w:rsidRPr="008032AA">
        <w:rPr>
          <w:rFonts w:cs="Times New Roman"/>
          <w:szCs w:val="24"/>
        </w:rPr>
        <w:br/>
        <w:t xml:space="preserve">             </w:t>
      </w:r>
      <w:r w:rsidR="009B30CA" w:rsidRPr="008032AA">
        <w:rPr>
          <w:rFonts w:cs="Times New Roman"/>
          <w:szCs w:val="24"/>
        </w:rPr>
        <w:t xml:space="preserve">the property.  If there are such restrictions, they need to be amended, released or factored </w:t>
      </w:r>
      <w:r w:rsidRPr="008032AA">
        <w:rPr>
          <w:rFonts w:cs="Times New Roman"/>
          <w:szCs w:val="24"/>
        </w:rPr>
        <w:br/>
        <w:t xml:space="preserve">             </w:t>
      </w:r>
      <w:r w:rsidR="009B30CA" w:rsidRPr="008032AA">
        <w:rPr>
          <w:rFonts w:cs="Times New Roman"/>
          <w:szCs w:val="24"/>
        </w:rPr>
        <w:t>in when underwriting a bond financed project.</w:t>
      </w:r>
    </w:p>
    <w:p w14:paraId="393636E1" w14:textId="77777777" w:rsidR="009B30CA" w:rsidRPr="008032AA" w:rsidRDefault="009B30CA" w:rsidP="009B30CA">
      <w:pPr>
        <w:rPr>
          <w:rFonts w:cs="Times New Roman"/>
          <w:szCs w:val="24"/>
        </w:rPr>
      </w:pPr>
    </w:p>
    <w:p w14:paraId="6FE4211D" w14:textId="5C2B02EC" w:rsidR="009B30CA" w:rsidRPr="009B6462" w:rsidRDefault="00BA531F" w:rsidP="009B30CA">
      <w:pPr>
        <w:rPr>
          <w:rFonts w:cs="Times New Roman"/>
          <w:iCs/>
          <w:szCs w:val="24"/>
        </w:rPr>
      </w:pPr>
      <w:r w:rsidRPr="009B6462">
        <w:rPr>
          <w:rFonts w:cs="Times New Roman"/>
          <w:iCs/>
          <w:szCs w:val="24"/>
        </w:rPr>
        <w:t xml:space="preserve">     </w:t>
      </w:r>
      <w:r w:rsidR="00586E6C">
        <w:rPr>
          <w:rFonts w:cs="Times New Roman"/>
          <w:iCs/>
          <w:szCs w:val="24"/>
        </w:rPr>
        <w:t>3.</w:t>
      </w:r>
      <w:r w:rsidRPr="009B6462">
        <w:rPr>
          <w:rFonts w:cs="Times New Roman"/>
          <w:iCs/>
          <w:szCs w:val="24"/>
        </w:rPr>
        <w:t xml:space="preserve"> </w:t>
      </w:r>
      <w:r w:rsidR="009B30CA" w:rsidRPr="009B6462">
        <w:rPr>
          <w:rFonts w:cs="Times New Roman"/>
          <w:iCs/>
          <w:szCs w:val="24"/>
        </w:rPr>
        <w:t>Additional Diligence</w:t>
      </w:r>
    </w:p>
    <w:p w14:paraId="1DD74B66" w14:textId="77777777" w:rsidR="009B30CA" w:rsidRPr="008032AA" w:rsidRDefault="009B30CA" w:rsidP="009B30CA">
      <w:pPr>
        <w:rPr>
          <w:rFonts w:cs="Times New Roman"/>
          <w:szCs w:val="24"/>
        </w:rPr>
      </w:pPr>
    </w:p>
    <w:p w14:paraId="67745740" w14:textId="0E23E5C4" w:rsidR="009B30CA" w:rsidRPr="008032AA" w:rsidRDefault="006609F1" w:rsidP="009B30CA">
      <w:pPr>
        <w:rPr>
          <w:rFonts w:cs="Times New Roman"/>
          <w:szCs w:val="24"/>
        </w:rPr>
      </w:pPr>
      <w:r w:rsidRPr="008032AA">
        <w:rPr>
          <w:rFonts w:cs="Times New Roman"/>
          <w:szCs w:val="24"/>
        </w:rPr>
        <w:t xml:space="preserve">            </w:t>
      </w:r>
      <w:r w:rsidR="009B30CA" w:rsidRPr="008032AA">
        <w:rPr>
          <w:rFonts w:cs="Times New Roman"/>
          <w:szCs w:val="24"/>
        </w:rPr>
        <w:t xml:space="preserve">Though Schedule B includes all exceptions that have been recorded against the real </w:t>
      </w:r>
      <w:r w:rsidRPr="008032AA">
        <w:rPr>
          <w:rFonts w:cs="Times New Roman"/>
          <w:szCs w:val="24"/>
        </w:rPr>
        <w:br/>
        <w:t xml:space="preserve">            </w:t>
      </w:r>
      <w:r w:rsidR="009B30CA" w:rsidRPr="008032AA">
        <w:rPr>
          <w:rFonts w:cs="Times New Roman"/>
          <w:szCs w:val="24"/>
        </w:rPr>
        <w:t xml:space="preserve">property (and, if not, the title company would be responsible insuring title against them), </w:t>
      </w:r>
      <w:r w:rsidRPr="008032AA">
        <w:rPr>
          <w:rFonts w:cs="Times New Roman"/>
          <w:szCs w:val="24"/>
        </w:rPr>
        <w:br/>
        <w:t xml:space="preserve">            </w:t>
      </w:r>
      <w:r w:rsidR="009B30CA" w:rsidRPr="008032AA">
        <w:rPr>
          <w:rFonts w:cs="Times New Roman"/>
          <w:szCs w:val="24"/>
        </w:rPr>
        <w:t xml:space="preserve">there should be other searches required in connection with the borrower or the guarantors </w:t>
      </w:r>
      <w:r w:rsidRPr="008032AA">
        <w:rPr>
          <w:rFonts w:cs="Times New Roman"/>
          <w:szCs w:val="24"/>
        </w:rPr>
        <w:br/>
        <w:t xml:space="preserve">            </w:t>
      </w:r>
      <w:r w:rsidR="009B30CA" w:rsidRPr="008032AA">
        <w:rPr>
          <w:rFonts w:cs="Times New Roman"/>
          <w:szCs w:val="24"/>
        </w:rPr>
        <w:t>that might not be of record. Such searches include, (</w:t>
      </w:r>
      <w:proofErr w:type="spellStart"/>
      <w:r w:rsidR="009B30CA" w:rsidRPr="008032AA">
        <w:rPr>
          <w:rFonts w:cs="Times New Roman"/>
          <w:szCs w:val="24"/>
        </w:rPr>
        <w:t>i</w:t>
      </w:r>
      <w:proofErr w:type="spellEnd"/>
      <w:r w:rsidR="009B30CA" w:rsidRPr="008032AA">
        <w:rPr>
          <w:rFonts w:cs="Times New Roman"/>
          <w:szCs w:val="24"/>
        </w:rPr>
        <w:t xml:space="preserve">) tax lien, (ii) UCC Financing </w:t>
      </w:r>
      <w:r w:rsidRPr="008032AA">
        <w:rPr>
          <w:rFonts w:cs="Times New Roman"/>
          <w:szCs w:val="24"/>
        </w:rPr>
        <w:br/>
        <w:t xml:space="preserve">            </w:t>
      </w:r>
      <w:r w:rsidR="009B30CA" w:rsidRPr="008032AA">
        <w:rPr>
          <w:rFonts w:cs="Times New Roman"/>
          <w:szCs w:val="24"/>
        </w:rPr>
        <w:t>Statement and (iii) judgements.</w:t>
      </w:r>
    </w:p>
    <w:p w14:paraId="5447BE33" w14:textId="2D85D61A" w:rsidR="009B30CA" w:rsidRPr="008032AA" w:rsidRDefault="006609F1" w:rsidP="009B30CA">
      <w:pPr>
        <w:rPr>
          <w:rFonts w:cs="Times New Roman"/>
          <w:szCs w:val="24"/>
        </w:rPr>
      </w:pPr>
      <w:r w:rsidRPr="008032AA">
        <w:rPr>
          <w:rFonts w:cs="Times New Roman"/>
          <w:szCs w:val="24"/>
        </w:rPr>
        <w:br/>
        <w:t xml:space="preserve">            </w:t>
      </w:r>
      <w:r w:rsidR="009B30CA" w:rsidRPr="008032AA">
        <w:rPr>
          <w:rFonts w:cs="Times New Roman"/>
          <w:szCs w:val="24"/>
        </w:rPr>
        <w:t xml:space="preserve">In one instance, there were hundreds of old lawsuits that had settled but had not been </w:t>
      </w:r>
      <w:r w:rsidRPr="008032AA">
        <w:rPr>
          <w:rFonts w:cs="Times New Roman"/>
          <w:szCs w:val="24"/>
        </w:rPr>
        <w:br/>
        <w:t xml:space="preserve">            </w:t>
      </w:r>
      <w:r w:rsidR="009B30CA" w:rsidRPr="008032AA">
        <w:rPr>
          <w:rFonts w:cs="Times New Roman"/>
          <w:szCs w:val="24"/>
        </w:rPr>
        <w:t xml:space="preserve">properly disposed of with the courts.  In order to close, this necessitating determining </w:t>
      </w:r>
      <w:r w:rsidRPr="008032AA">
        <w:rPr>
          <w:rFonts w:cs="Times New Roman"/>
          <w:szCs w:val="24"/>
        </w:rPr>
        <w:br/>
        <w:t xml:space="preserve">            </w:t>
      </w:r>
      <w:r w:rsidR="009B30CA" w:rsidRPr="008032AA">
        <w:rPr>
          <w:rFonts w:cs="Times New Roman"/>
          <w:szCs w:val="24"/>
        </w:rPr>
        <w:t xml:space="preserve">whether or not a suit was material and, if so, that it was covered by insurance.  Once this </w:t>
      </w:r>
      <w:r w:rsidRPr="008032AA">
        <w:rPr>
          <w:rFonts w:cs="Times New Roman"/>
          <w:szCs w:val="24"/>
        </w:rPr>
        <w:br/>
        <w:t xml:space="preserve">            </w:t>
      </w:r>
      <w:r w:rsidR="009B30CA" w:rsidRPr="008032AA">
        <w:rPr>
          <w:rFonts w:cs="Times New Roman"/>
          <w:szCs w:val="24"/>
        </w:rPr>
        <w:t>was done, clearing the court records were done as a post-closing obligation.</w:t>
      </w:r>
    </w:p>
    <w:p w14:paraId="035A2A91" w14:textId="77777777" w:rsidR="009B30CA" w:rsidRPr="009B6462" w:rsidRDefault="009B30CA" w:rsidP="00E42AE5">
      <w:pPr>
        <w:jc w:val="both"/>
        <w:rPr>
          <w:bCs/>
          <w:color w:val="FF0000"/>
        </w:rPr>
      </w:pPr>
    </w:p>
    <w:p w14:paraId="6FB416DE" w14:textId="6EB94E71" w:rsidR="008032AA" w:rsidRPr="009B6462" w:rsidRDefault="009B30CA" w:rsidP="00E42AE5">
      <w:pPr>
        <w:jc w:val="both"/>
        <w:rPr>
          <w:b/>
        </w:rPr>
      </w:pPr>
      <w:r w:rsidRPr="002717EC">
        <w:rPr>
          <w:b/>
          <w:color w:val="FF0000"/>
        </w:rPr>
        <w:t xml:space="preserve">      </w:t>
      </w:r>
      <w:r w:rsidR="0023621E" w:rsidRPr="009B6462">
        <w:rPr>
          <w:b/>
        </w:rPr>
        <w:t xml:space="preserve">F. </w:t>
      </w:r>
      <w:r w:rsidR="00E02B35" w:rsidRPr="002717EC">
        <w:rPr>
          <w:b/>
        </w:rPr>
        <w:t xml:space="preserve">Importance </w:t>
      </w:r>
      <w:proofErr w:type="gramStart"/>
      <w:r w:rsidR="00E02B35" w:rsidRPr="002717EC">
        <w:rPr>
          <w:b/>
        </w:rPr>
        <w:t>Of</w:t>
      </w:r>
      <w:proofErr w:type="gramEnd"/>
      <w:r w:rsidR="00E02B35" w:rsidRPr="002717EC">
        <w:rPr>
          <w:b/>
        </w:rPr>
        <w:t xml:space="preserve"> </w:t>
      </w:r>
      <w:r w:rsidR="0028084F" w:rsidRPr="002717EC">
        <w:rPr>
          <w:b/>
        </w:rPr>
        <w:t>Obtaining An Equipment List Funded From Bond Proceeds</w:t>
      </w:r>
      <w:r w:rsidR="00352B8B" w:rsidRPr="002717EC">
        <w:rPr>
          <w:b/>
        </w:rPr>
        <w:t xml:space="preserve">/After </w:t>
      </w:r>
      <w:r w:rsidR="008A6066" w:rsidRPr="002717EC">
        <w:rPr>
          <w:b/>
        </w:rPr>
        <w:br/>
        <w:t xml:space="preserve">          </w:t>
      </w:r>
      <w:r w:rsidR="008032AA" w:rsidRPr="009B6462">
        <w:rPr>
          <w:b/>
        </w:rPr>
        <w:t xml:space="preserve">  </w:t>
      </w:r>
      <w:r w:rsidR="00352B8B" w:rsidRPr="002717EC">
        <w:rPr>
          <w:b/>
        </w:rPr>
        <w:t>Acquired Equipment</w:t>
      </w:r>
      <w:r w:rsidR="00485E11" w:rsidRPr="009B6462">
        <w:rPr>
          <w:b/>
        </w:rPr>
        <w:t xml:space="preserve"> </w:t>
      </w:r>
    </w:p>
    <w:p w14:paraId="1FA8B72D" w14:textId="02527AB6" w:rsidR="007A7AD5" w:rsidRPr="008032AA" w:rsidRDefault="008032AA" w:rsidP="009B6462">
      <w:pPr>
        <w:jc w:val="both"/>
      </w:pPr>
      <w:r w:rsidRPr="008032AA">
        <w:br/>
      </w:r>
      <w:r w:rsidR="007A7AD5" w:rsidRPr="008032AA">
        <w:rPr>
          <w:color w:val="FF0000"/>
        </w:rPr>
        <w:t xml:space="preserve">          </w:t>
      </w:r>
      <w:r w:rsidRPr="008032AA">
        <w:rPr>
          <w:color w:val="FF0000"/>
        </w:rPr>
        <w:t xml:space="preserve"> </w:t>
      </w:r>
      <w:r w:rsidR="007A7AD5" w:rsidRPr="008032AA">
        <w:t xml:space="preserve">A complete list of equipment for analysts is another factor analysts should look at when </w:t>
      </w:r>
      <w:r w:rsidRPr="008032AA">
        <w:br/>
        <w:t xml:space="preserve">           </w:t>
      </w:r>
      <w:r w:rsidR="007A7AD5" w:rsidRPr="008032AA">
        <w:t xml:space="preserve">assessing the collateral for MTFs. In the case of liquidation, these physical assets may be </w:t>
      </w:r>
      <w:r w:rsidRPr="008032AA">
        <w:br/>
        <w:t xml:space="preserve">           </w:t>
      </w:r>
      <w:r w:rsidR="007A7AD5" w:rsidRPr="008032AA">
        <w:t xml:space="preserve">resold to provide additional funds for bondholders and/or debt service payments. The list </w:t>
      </w:r>
      <w:r w:rsidRPr="008032AA">
        <w:br/>
        <w:t xml:space="preserve">           </w:t>
      </w:r>
      <w:r w:rsidR="007A7AD5" w:rsidRPr="008032AA">
        <w:t xml:space="preserve">should include the name of the equipment, acquisition cost, quantity, age and market value </w:t>
      </w:r>
      <w:r w:rsidRPr="008032AA">
        <w:br/>
        <w:t xml:space="preserve">           </w:t>
      </w:r>
      <w:r w:rsidR="007A7AD5" w:rsidRPr="008032AA">
        <w:t xml:space="preserve">to give analysts an idea of how much value the equipment provides to bondholders. This is </w:t>
      </w:r>
      <w:r w:rsidRPr="008032AA">
        <w:br/>
        <w:t xml:space="preserve">           </w:t>
      </w:r>
      <w:r w:rsidR="007A7AD5" w:rsidRPr="008032AA">
        <w:t xml:space="preserve">particularly useful for new or unique technology which may be hard to get a market value </w:t>
      </w:r>
      <w:r w:rsidRPr="008032AA">
        <w:br/>
        <w:t xml:space="preserve">           </w:t>
      </w:r>
      <w:r w:rsidR="007A7AD5" w:rsidRPr="008032AA">
        <w:t xml:space="preserve">for and hard to resale in the event of liquidation. </w:t>
      </w:r>
    </w:p>
    <w:p w14:paraId="7C0C7C98" w14:textId="2687EFE6" w:rsidR="007A7AD5" w:rsidRPr="008032AA" w:rsidRDefault="007A7AD5" w:rsidP="00E42AE5">
      <w:pPr>
        <w:jc w:val="both"/>
        <w:rPr>
          <w:color w:val="FF0000"/>
        </w:rPr>
      </w:pPr>
    </w:p>
    <w:p w14:paraId="045F4CDF" w14:textId="313A5988" w:rsidR="006E307A" w:rsidRPr="002717EC" w:rsidRDefault="00E42AE5" w:rsidP="00E42AE5">
      <w:pPr>
        <w:jc w:val="both"/>
        <w:rPr>
          <w:b/>
          <w:bCs/>
          <w:color w:val="FF0000"/>
        </w:rPr>
      </w:pPr>
      <w:r w:rsidRPr="009B6462">
        <w:rPr>
          <w:b/>
          <w:bCs/>
        </w:rPr>
        <w:t xml:space="preserve">      G. </w:t>
      </w:r>
      <w:r w:rsidR="00A2676D" w:rsidRPr="002717EC">
        <w:rPr>
          <w:b/>
          <w:bCs/>
        </w:rPr>
        <w:t xml:space="preserve">Importance </w:t>
      </w:r>
      <w:proofErr w:type="gramStart"/>
      <w:r w:rsidR="00A2676D" w:rsidRPr="002717EC">
        <w:rPr>
          <w:b/>
          <w:bCs/>
        </w:rPr>
        <w:t>Of</w:t>
      </w:r>
      <w:proofErr w:type="gramEnd"/>
      <w:r w:rsidR="00A2676D" w:rsidRPr="002717EC">
        <w:rPr>
          <w:b/>
          <w:bCs/>
        </w:rPr>
        <w:t xml:space="preserve"> </w:t>
      </w:r>
      <w:r w:rsidR="00274FF9" w:rsidRPr="002717EC">
        <w:rPr>
          <w:b/>
          <w:bCs/>
        </w:rPr>
        <w:t>Disciplined Project Fund Draw Procedures</w:t>
      </w:r>
      <w:r w:rsidR="000038E3" w:rsidRPr="002717EC">
        <w:rPr>
          <w:b/>
          <w:bCs/>
        </w:rPr>
        <w:t xml:space="preserve">; Role Of Trustee &amp; Title </w:t>
      </w:r>
      <w:r w:rsidR="00866830" w:rsidRPr="002717EC">
        <w:rPr>
          <w:b/>
          <w:bCs/>
        </w:rPr>
        <w:br/>
        <w:t xml:space="preserve">           </w:t>
      </w:r>
      <w:r w:rsidR="000038E3" w:rsidRPr="002717EC">
        <w:rPr>
          <w:b/>
          <w:bCs/>
        </w:rPr>
        <w:t>Insurer</w:t>
      </w:r>
      <w:r w:rsidR="00866830" w:rsidRPr="002717EC">
        <w:rPr>
          <w:b/>
          <w:bCs/>
          <w:color w:val="FF0000"/>
        </w:rPr>
        <w:t xml:space="preserve"> J</w:t>
      </w:r>
      <w:r w:rsidR="00462255" w:rsidRPr="002717EC">
        <w:rPr>
          <w:b/>
          <w:bCs/>
          <w:color w:val="FF0000"/>
        </w:rPr>
        <w:t>EFF</w:t>
      </w:r>
    </w:p>
    <w:p w14:paraId="0C4B9140" w14:textId="0BD5BF4F" w:rsidR="006E307A" w:rsidRPr="009B6462" w:rsidRDefault="006E307A" w:rsidP="006E307A">
      <w:pPr>
        <w:pStyle w:val="NormalWeb"/>
        <w:rPr>
          <w:color w:val="000000"/>
          <w:szCs w:val="27"/>
        </w:rPr>
      </w:pPr>
      <w:r w:rsidRPr="009B6462">
        <w:rPr>
          <w:bCs/>
          <w:color w:val="FF0000"/>
        </w:rPr>
        <w:t xml:space="preserve">            </w:t>
      </w:r>
      <w:r w:rsidRPr="009B6462">
        <w:rPr>
          <w:color w:val="000000"/>
          <w:szCs w:val="27"/>
        </w:rPr>
        <w:t xml:space="preserve">In project financings, the analyst should know and understand the construction process </w:t>
      </w:r>
      <w:r w:rsidR="0023621E">
        <w:rPr>
          <w:color w:val="000000"/>
          <w:szCs w:val="27"/>
        </w:rPr>
        <w:br/>
        <w:t xml:space="preserve">            </w:t>
      </w:r>
      <w:r w:rsidRPr="009B6462">
        <w:rPr>
          <w:color w:val="000000"/>
          <w:szCs w:val="27"/>
        </w:rPr>
        <w:t xml:space="preserve">and how monies are paid from a project or construction fund held by the Indenture </w:t>
      </w:r>
      <w:r w:rsidR="0023621E">
        <w:rPr>
          <w:color w:val="000000"/>
          <w:szCs w:val="27"/>
        </w:rPr>
        <w:br/>
        <w:t xml:space="preserve">            </w:t>
      </w:r>
      <w:r w:rsidRPr="009B6462">
        <w:rPr>
          <w:color w:val="000000"/>
          <w:szCs w:val="27"/>
        </w:rPr>
        <w:t>Trustee.</w:t>
      </w:r>
    </w:p>
    <w:p w14:paraId="4A1005E3" w14:textId="1169DD8E" w:rsidR="006E307A" w:rsidRPr="009B6462" w:rsidRDefault="0023621E" w:rsidP="006E307A">
      <w:pPr>
        <w:pStyle w:val="NormalWeb"/>
        <w:rPr>
          <w:color w:val="000000"/>
          <w:szCs w:val="27"/>
        </w:rPr>
      </w:pPr>
      <w:r>
        <w:rPr>
          <w:color w:val="000000"/>
          <w:szCs w:val="27"/>
        </w:rPr>
        <w:t xml:space="preserve">            </w:t>
      </w:r>
      <w:r w:rsidR="006E307A" w:rsidRPr="009B6462">
        <w:rPr>
          <w:color w:val="000000"/>
          <w:szCs w:val="27"/>
        </w:rPr>
        <w:t xml:space="preserve">Upon request, and ideally pledged to the bondholders as additional security for a </w:t>
      </w:r>
      <w:r>
        <w:rPr>
          <w:color w:val="000000"/>
          <w:szCs w:val="27"/>
        </w:rPr>
        <w:br/>
        <w:t xml:space="preserve">            </w:t>
      </w:r>
      <w:r w:rsidR="006E307A" w:rsidRPr="009B6462">
        <w:rPr>
          <w:color w:val="000000"/>
          <w:szCs w:val="27"/>
        </w:rPr>
        <w:t xml:space="preserve">construction project, the analyst should review the construction contract for the work to </w:t>
      </w:r>
      <w:r>
        <w:rPr>
          <w:color w:val="000000"/>
          <w:szCs w:val="27"/>
        </w:rPr>
        <w:br/>
        <w:t xml:space="preserve">            </w:t>
      </w:r>
      <w:r w:rsidR="006E307A" w:rsidRPr="009B6462">
        <w:rPr>
          <w:color w:val="000000"/>
          <w:szCs w:val="27"/>
        </w:rPr>
        <w:t xml:space="preserve">be performed and how the Indenture treats interim and final payments from a project or </w:t>
      </w:r>
      <w:r>
        <w:rPr>
          <w:color w:val="000000"/>
          <w:szCs w:val="27"/>
        </w:rPr>
        <w:br/>
        <w:t xml:space="preserve">            </w:t>
      </w:r>
      <w:r w:rsidR="006E307A" w:rsidRPr="009B6462">
        <w:rPr>
          <w:color w:val="000000"/>
          <w:szCs w:val="27"/>
        </w:rPr>
        <w:t>construction fund.</w:t>
      </w:r>
    </w:p>
    <w:p w14:paraId="63BEB3CC" w14:textId="08A524D9" w:rsidR="006E307A" w:rsidRPr="009B6462" w:rsidRDefault="0023621E" w:rsidP="006E307A">
      <w:pPr>
        <w:pStyle w:val="NormalWeb"/>
        <w:rPr>
          <w:color w:val="000000"/>
          <w:szCs w:val="27"/>
        </w:rPr>
      </w:pPr>
      <w:r>
        <w:rPr>
          <w:color w:val="000000"/>
          <w:szCs w:val="27"/>
        </w:rPr>
        <w:lastRenderedPageBreak/>
        <w:t xml:space="preserve">            </w:t>
      </w:r>
      <w:r w:rsidR="006E307A" w:rsidRPr="009B6462">
        <w:rPr>
          <w:color w:val="000000"/>
          <w:szCs w:val="27"/>
        </w:rPr>
        <w:t xml:space="preserve">Any payment made request made by a contractor pursuant to the construction contract to </w:t>
      </w:r>
      <w:r>
        <w:rPr>
          <w:color w:val="000000"/>
          <w:szCs w:val="27"/>
        </w:rPr>
        <w:br/>
        <w:t xml:space="preserve">            </w:t>
      </w:r>
      <w:r w:rsidR="006E307A" w:rsidRPr="009B6462">
        <w:rPr>
          <w:color w:val="000000"/>
          <w:szCs w:val="27"/>
        </w:rPr>
        <w:t xml:space="preserve">the owner/borrower that will be paid from monies held by the Indenture Trustee should </w:t>
      </w:r>
      <w:r>
        <w:rPr>
          <w:color w:val="000000"/>
          <w:szCs w:val="27"/>
        </w:rPr>
        <w:br/>
        <w:t xml:space="preserve">            </w:t>
      </w:r>
      <w:r w:rsidR="006E307A" w:rsidRPr="009B6462">
        <w:rPr>
          <w:color w:val="000000"/>
          <w:szCs w:val="27"/>
        </w:rPr>
        <w:t>include:</w:t>
      </w:r>
    </w:p>
    <w:p w14:paraId="26048D40" w14:textId="264EDA60" w:rsidR="006E307A" w:rsidRDefault="00AA3D02" w:rsidP="006E307A">
      <w:pPr>
        <w:pStyle w:val="NormalWeb"/>
        <w:rPr>
          <w:color w:val="000000"/>
          <w:sz w:val="27"/>
          <w:szCs w:val="27"/>
        </w:rPr>
      </w:pPr>
      <w:r>
        <w:rPr>
          <w:color w:val="000000"/>
          <w:sz w:val="27"/>
          <w:szCs w:val="27"/>
        </w:rPr>
        <w:t xml:space="preserve">         </w:t>
      </w:r>
      <w:r w:rsidR="006E307A">
        <w:rPr>
          <w:color w:val="000000"/>
          <w:sz w:val="27"/>
          <w:szCs w:val="27"/>
        </w:rPr>
        <w:t xml:space="preserve">· A payment application made by the contractor at unit prices specified in the </w:t>
      </w:r>
      <w:r>
        <w:rPr>
          <w:color w:val="000000"/>
          <w:sz w:val="27"/>
          <w:szCs w:val="27"/>
        </w:rPr>
        <w:br/>
        <w:t xml:space="preserve">            </w:t>
      </w:r>
      <w:r w:rsidR="006E307A">
        <w:rPr>
          <w:color w:val="000000"/>
          <w:sz w:val="27"/>
          <w:szCs w:val="27"/>
        </w:rPr>
        <w:t xml:space="preserve">construction agreement, with confirmation that the owner/borrower has </w:t>
      </w:r>
      <w:r>
        <w:rPr>
          <w:color w:val="000000"/>
          <w:sz w:val="27"/>
          <w:szCs w:val="27"/>
        </w:rPr>
        <w:br/>
        <w:t xml:space="preserve">            </w:t>
      </w:r>
      <w:r w:rsidR="006E307A">
        <w:rPr>
          <w:color w:val="000000"/>
          <w:sz w:val="27"/>
          <w:szCs w:val="27"/>
        </w:rPr>
        <w:t>accepted the work.</w:t>
      </w:r>
    </w:p>
    <w:p w14:paraId="17AB988F" w14:textId="5AE3A801" w:rsidR="006E307A" w:rsidRDefault="00AA3D02" w:rsidP="006E307A">
      <w:pPr>
        <w:pStyle w:val="NormalWeb"/>
        <w:rPr>
          <w:color w:val="000000"/>
          <w:sz w:val="27"/>
          <w:szCs w:val="27"/>
        </w:rPr>
      </w:pPr>
      <w:r>
        <w:rPr>
          <w:color w:val="000000"/>
          <w:sz w:val="27"/>
          <w:szCs w:val="27"/>
        </w:rPr>
        <w:t xml:space="preserve">         </w:t>
      </w:r>
      <w:r w:rsidR="006E307A">
        <w:rPr>
          <w:color w:val="000000"/>
          <w:sz w:val="27"/>
          <w:szCs w:val="27"/>
        </w:rPr>
        <w:t xml:space="preserve">· A schedule of values in the construction contract should identify unit prices </w:t>
      </w:r>
      <w:r>
        <w:rPr>
          <w:color w:val="000000"/>
          <w:sz w:val="27"/>
          <w:szCs w:val="27"/>
        </w:rPr>
        <w:br/>
        <w:t xml:space="preserve">           </w:t>
      </w:r>
      <w:r w:rsidR="006E307A">
        <w:rPr>
          <w:color w:val="000000"/>
          <w:sz w:val="27"/>
          <w:szCs w:val="27"/>
        </w:rPr>
        <w:t xml:space="preserve">and actual quantities for work performed and allocates the overall contract </w:t>
      </w:r>
      <w:r>
        <w:rPr>
          <w:color w:val="000000"/>
          <w:sz w:val="27"/>
          <w:szCs w:val="27"/>
        </w:rPr>
        <w:br/>
        <w:t xml:space="preserve">           </w:t>
      </w:r>
      <w:r w:rsidR="006E307A">
        <w:rPr>
          <w:color w:val="000000"/>
          <w:sz w:val="27"/>
          <w:szCs w:val="27"/>
        </w:rPr>
        <w:t xml:space="preserve">price among the various items of work. These allocations should provide the </w:t>
      </w:r>
      <w:r>
        <w:rPr>
          <w:color w:val="000000"/>
          <w:sz w:val="27"/>
          <w:szCs w:val="27"/>
        </w:rPr>
        <w:br/>
        <w:t xml:space="preserve">           </w:t>
      </w:r>
      <w:r w:rsidR="006E307A">
        <w:rPr>
          <w:color w:val="000000"/>
          <w:sz w:val="27"/>
          <w:szCs w:val="27"/>
        </w:rPr>
        <w:t>basis for progress payments under the contract.</w:t>
      </w:r>
    </w:p>
    <w:p w14:paraId="35FC4985" w14:textId="47F85B92" w:rsidR="006E307A" w:rsidRDefault="00AA3D02" w:rsidP="006E307A">
      <w:pPr>
        <w:pStyle w:val="NormalWeb"/>
        <w:rPr>
          <w:color w:val="000000"/>
          <w:sz w:val="27"/>
          <w:szCs w:val="27"/>
        </w:rPr>
      </w:pPr>
      <w:r>
        <w:rPr>
          <w:color w:val="000000"/>
          <w:sz w:val="27"/>
          <w:szCs w:val="27"/>
        </w:rPr>
        <w:t xml:space="preserve">           </w:t>
      </w:r>
      <w:r w:rsidR="006E307A">
        <w:rPr>
          <w:color w:val="000000"/>
          <w:sz w:val="27"/>
          <w:szCs w:val="27"/>
        </w:rPr>
        <w:t xml:space="preserve">The contractor should warrant that the work performed meets the requirements </w:t>
      </w:r>
      <w:r>
        <w:rPr>
          <w:color w:val="000000"/>
          <w:sz w:val="27"/>
          <w:szCs w:val="27"/>
        </w:rPr>
        <w:br/>
        <w:t xml:space="preserve">           </w:t>
      </w:r>
      <w:r w:rsidR="006E307A">
        <w:rPr>
          <w:color w:val="000000"/>
          <w:sz w:val="27"/>
          <w:szCs w:val="27"/>
        </w:rPr>
        <w:t>of the contract agreements.</w:t>
      </w:r>
      <w:r>
        <w:rPr>
          <w:color w:val="000000"/>
          <w:sz w:val="27"/>
          <w:szCs w:val="27"/>
        </w:rPr>
        <w:t xml:space="preserve"> </w:t>
      </w:r>
      <w:proofErr w:type="gramStart"/>
      <w:r>
        <w:rPr>
          <w:color w:val="000000"/>
          <w:sz w:val="27"/>
          <w:szCs w:val="27"/>
        </w:rPr>
        <w:t>,</w:t>
      </w:r>
      <w:r w:rsidR="006E307A">
        <w:rPr>
          <w:color w:val="000000"/>
          <w:sz w:val="27"/>
          <w:szCs w:val="27"/>
        </w:rPr>
        <w:t>The</w:t>
      </w:r>
      <w:proofErr w:type="gramEnd"/>
      <w:r w:rsidR="006E307A">
        <w:rPr>
          <w:color w:val="000000"/>
          <w:sz w:val="27"/>
          <w:szCs w:val="27"/>
        </w:rPr>
        <w:t xml:space="preserve"> contractor shall certify under penalty of </w:t>
      </w:r>
      <w:r>
        <w:rPr>
          <w:color w:val="000000"/>
          <w:sz w:val="27"/>
          <w:szCs w:val="27"/>
        </w:rPr>
        <w:br/>
        <w:t xml:space="preserve">           </w:t>
      </w:r>
      <w:r w:rsidR="006E307A">
        <w:rPr>
          <w:color w:val="000000"/>
          <w:sz w:val="27"/>
          <w:szCs w:val="27"/>
        </w:rPr>
        <w:t xml:space="preserve">perjury (without the requirements of notary certification) that all cost </w:t>
      </w:r>
      <w:r w:rsidR="00E352EE">
        <w:rPr>
          <w:color w:val="000000"/>
          <w:sz w:val="27"/>
          <w:szCs w:val="27"/>
        </w:rPr>
        <w:br/>
        <w:t xml:space="preserve">           </w:t>
      </w:r>
      <w:r w:rsidR="006E307A">
        <w:rPr>
          <w:color w:val="000000"/>
          <w:sz w:val="27"/>
          <w:szCs w:val="27"/>
        </w:rPr>
        <w:t xml:space="preserve">breakdowns and periodic estimates accurately reflect the work completed on </w:t>
      </w:r>
      <w:r w:rsidR="00E352EE">
        <w:rPr>
          <w:color w:val="000000"/>
          <w:sz w:val="27"/>
          <w:szCs w:val="27"/>
        </w:rPr>
        <w:br/>
        <w:t xml:space="preserve">           </w:t>
      </w:r>
      <w:r w:rsidR="006E307A">
        <w:rPr>
          <w:color w:val="000000"/>
          <w:sz w:val="27"/>
          <w:szCs w:val="27"/>
        </w:rPr>
        <w:t xml:space="preserve">the project in accordance with the contract documents as of the date of the </w:t>
      </w:r>
      <w:r w:rsidR="00E352EE">
        <w:rPr>
          <w:color w:val="000000"/>
          <w:sz w:val="27"/>
          <w:szCs w:val="27"/>
        </w:rPr>
        <w:br/>
        <w:t xml:space="preserve">           </w:t>
      </w:r>
      <w:r w:rsidR="006E307A">
        <w:rPr>
          <w:color w:val="000000"/>
          <w:sz w:val="27"/>
          <w:szCs w:val="27"/>
        </w:rPr>
        <w:t xml:space="preserve">payment request. Once the owner/borrower accepts the work and the project is </w:t>
      </w:r>
      <w:r w:rsidR="00E352EE">
        <w:rPr>
          <w:color w:val="000000"/>
          <w:sz w:val="27"/>
          <w:szCs w:val="27"/>
        </w:rPr>
        <w:br/>
        <w:t xml:space="preserve">           </w:t>
      </w:r>
      <w:r w:rsidR="006E307A">
        <w:rPr>
          <w:color w:val="000000"/>
          <w:sz w:val="27"/>
          <w:szCs w:val="27"/>
        </w:rPr>
        <w:t xml:space="preserve">complete, the contractor should submit to a written statement of the final </w:t>
      </w:r>
      <w:r w:rsidR="00E352EE">
        <w:rPr>
          <w:color w:val="000000"/>
          <w:sz w:val="27"/>
          <w:szCs w:val="27"/>
        </w:rPr>
        <w:br/>
        <w:t xml:space="preserve">           </w:t>
      </w:r>
      <w:r w:rsidR="006E307A">
        <w:rPr>
          <w:color w:val="000000"/>
          <w:sz w:val="27"/>
          <w:szCs w:val="27"/>
        </w:rPr>
        <w:t>quantities of unit price items for inclusion in a final payment request.</w:t>
      </w:r>
    </w:p>
    <w:p w14:paraId="2A9D369B" w14:textId="6C1DE7F6" w:rsidR="006E307A" w:rsidRDefault="00E352EE" w:rsidP="006E307A">
      <w:pPr>
        <w:pStyle w:val="NormalWeb"/>
        <w:rPr>
          <w:color w:val="000000"/>
          <w:sz w:val="27"/>
          <w:szCs w:val="27"/>
        </w:rPr>
      </w:pPr>
      <w:r>
        <w:rPr>
          <w:color w:val="000000"/>
          <w:sz w:val="27"/>
          <w:szCs w:val="27"/>
        </w:rPr>
        <w:t xml:space="preserve">           </w:t>
      </w:r>
      <w:r w:rsidR="006E307A">
        <w:rPr>
          <w:color w:val="000000"/>
          <w:sz w:val="27"/>
          <w:szCs w:val="27"/>
        </w:rPr>
        <w:t xml:space="preserve">Typically, some amounts are withheld from each payment request to further </w:t>
      </w:r>
      <w:r>
        <w:rPr>
          <w:color w:val="000000"/>
          <w:sz w:val="27"/>
          <w:szCs w:val="27"/>
        </w:rPr>
        <w:br/>
        <w:t xml:space="preserve">           </w:t>
      </w:r>
      <w:r w:rsidR="006E307A">
        <w:rPr>
          <w:color w:val="000000"/>
          <w:sz w:val="27"/>
          <w:szCs w:val="27"/>
        </w:rPr>
        <w:t xml:space="preserve">assure performance of the contractor under the construction contract—called </w:t>
      </w:r>
      <w:r>
        <w:rPr>
          <w:color w:val="000000"/>
          <w:sz w:val="27"/>
          <w:szCs w:val="27"/>
        </w:rPr>
        <w:br/>
        <w:t xml:space="preserve">           </w:t>
      </w:r>
      <w:r w:rsidR="006E307A">
        <w:rPr>
          <w:color w:val="000000"/>
          <w:sz w:val="27"/>
          <w:szCs w:val="27"/>
        </w:rPr>
        <w:t xml:space="preserve">retention. Retention requirements vary by statute and may vary between private </w:t>
      </w:r>
      <w:r>
        <w:rPr>
          <w:color w:val="000000"/>
          <w:sz w:val="27"/>
          <w:szCs w:val="27"/>
        </w:rPr>
        <w:br/>
        <w:t xml:space="preserve">           </w:t>
      </w:r>
      <w:r w:rsidR="006E307A">
        <w:rPr>
          <w:color w:val="000000"/>
          <w:sz w:val="27"/>
          <w:szCs w:val="27"/>
        </w:rPr>
        <w:t xml:space="preserve">and public works projects. Retention is paid upon final completion of the </w:t>
      </w:r>
      <w:r>
        <w:rPr>
          <w:color w:val="000000"/>
          <w:sz w:val="27"/>
          <w:szCs w:val="27"/>
        </w:rPr>
        <w:br/>
        <w:t xml:space="preserve">           </w:t>
      </w:r>
      <w:r w:rsidR="006E307A">
        <w:rPr>
          <w:color w:val="000000"/>
          <w:sz w:val="27"/>
          <w:szCs w:val="27"/>
        </w:rPr>
        <w:t xml:space="preserve">project, assuming the owner/borrower has accepted the work and no </w:t>
      </w:r>
      <w:r>
        <w:rPr>
          <w:color w:val="000000"/>
          <w:sz w:val="27"/>
          <w:szCs w:val="27"/>
        </w:rPr>
        <w:br/>
        <w:t xml:space="preserve">           </w:t>
      </w:r>
      <w:r w:rsidR="006E307A">
        <w:rPr>
          <w:color w:val="000000"/>
          <w:sz w:val="27"/>
          <w:szCs w:val="27"/>
        </w:rPr>
        <w:t>outstanding constriction-related issues pertaining to the contract remain.</w:t>
      </w:r>
    </w:p>
    <w:p w14:paraId="6C449021" w14:textId="6179CB33" w:rsidR="006E307A" w:rsidRDefault="00E352EE" w:rsidP="006E307A">
      <w:pPr>
        <w:pStyle w:val="NormalWeb"/>
        <w:rPr>
          <w:color w:val="000000"/>
          <w:sz w:val="27"/>
          <w:szCs w:val="27"/>
        </w:rPr>
      </w:pPr>
      <w:r>
        <w:rPr>
          <w:color w:val="000000"/>
          <w:sz w:val="27"/>
          <w:szCs w:val="27"/>
        </w:rPr>
        <w:t xml:space="preserve">           </w:t>
      </w:r>
      <w:r w:rsidR="006E307A">
        <w:rPr>
          <w:color w:val="000000"/>
          <w:sz w:val="27"/>
          <w:szCs w:val="27"/>
        </w:rPr>
        <w:t xml:space="preserve">Each payment application should include, as a condition of payment, payroll </w:t>
      </w:r>
      <w:r>
        <w:rPr>
          <w:color w:val="000000"/>
          <w:sz w:val="27"/>
          <w:szCs w:val="27"/>
        </w:rPr>
        <w:br/>
        <w:t xml:space="preserve">           </w:t>
      </w:r>
      <w:r w:rsidR="006E307A">
        <w:rPr>
          <w:color w:val="000000"/>
          <w:sz w:val="27"/>
          <w:szCs w:val="27"/>
        </w:rPr>
        <w:t xml:space="preserve">affidavits, receipts, vouchers, certified payroll reports, and other documents </w:t>
      </w:r>
      <w:r>
        <w:rPr>
          <w:color w:val="000000"/>
          <w:sz w:val="27"/>
          <w:szCs w:val="27"/>
        </w:rPr>
        <w:br/>
        <w:t xml:space="preserve">           </w:t>
      </w:r>
      <w:r w:rsidR="006E307A">
        <w:rPr>
          <w:color w:val="000000"/>
          <w:sz w:val="27"/>
          <w:szCs w:val="27"/>
        </w:rPr>
        <w:t>that may be required under the construction contract.</w:t>
      </w:r>
    </w:p>
    <w:p w14:paraId="1D5A2831" w14:textId="5258F815" w:rsidR="006E307A" w:rsidRDefault="00E352EE" w:rsidP="006E307A">
      <w:pPr>
        <w:pStyle w:val="NormalWeb"/>
        <w:rPr>
          <w:color w:val="000000"/>
          <w:sz w:val="27"/>
          <w:szCs w:val="27"/>
        </w:rPr>
      </w:pPr>
      <w:r>
        <w:rPr>
          <w:color w:val="000000"/>
          <w:sz w:val="27"/>
          <w:szCs w:val="27"/>
        </w:rPr>
        <w:t xml:space="preserve">           </w:t>
      </w:r>
      <w:r w:rsidR="006E307A">
        <w:rPr>
          <w:color w:val="000000"/>
          <w:sz w:val="27"/>
          <w:szCs w:val="27"/>
        </w:rPr>
        <w:t xml:space="preserve">Additionally, to avoid the possibility of mechanic’s liens that could be filed by </w:t>
      </w:r>
      <w:r>
        <w:rPr>
          <w:color w:val="000000"/>
          <w:sz w:val="27"/>
          <w:szCs w:val="27"/>
        </w:rPr>
        <w:br/>
        <w:t xml:space="preserve">           </w:t>
      </w:r>
      <w:r w:rsidR="006E307A">
        <w:rPr>
          <w:color w:val="000000"/>
          <w:sz w:val="27"/>
          <w:szCs w:val="27"/>
        </w:rPr>
        <w:t xml:space="preserve">general contractor and sub-contractors and materials suppliers to a project for </w:t>
      </w:r>
      <w:r>
        <w:rPr>
          <w:color w:val="000000"/>
          <w:sz w:val="27"/>
          <w:szCs w:val="27"/>
        </w:rPr>
        <w:br/>
        <w:t xml:space="preserve">           </w:t>
      </w:r>
      <w:r w:rsidR="006E307A">
        <w:rPr>
          <w:color w:val="000000"/>
          <w:sz w:val="27"/>
          <w:szCs w:val="27"/>
        </w:rPr>
        <w:t xml:space="preserve">non-payment of work, the contractor should file on behalf of itself and those </w:t>
      </w:r>
      <w:r>
        <w:rPr>
          <w:color w:val="000000"/>
          <w:sz w:val="27"/>
          <w:szCs w:val="27"/>
        </w:rPr>
        <w:br/>
        <w:t xml:space="preserve">           </w:t>
      </w:r>
      <w:r w:rsidR="006E307A">
        <w:rPr>
          <w:color w:val="000000"/>
          <w:sz w:val="27"/>
          <w:szCs w:val="27"/>
        </w:rPr>
        <w:t xml:space="preserve">subcontractors and suppliers that furnished labor, material, equipment or </w:t>
      </w:r>
      <w:r>
        <w:rPr>
          <w:color w:val="000000"/>
          <w:sz w:val="27"/>
          <w:szCs w:val="27"/>
        </w:rPr>
        <w:br/>
        <w:t xml:space="preserve">           </w:t>
      </w:r>
      <w:r w:rsidR="006E307A">
        <w:rPr>
          <w:color w:val="000000"/>
          <w:sz w:val="27"/>
          <w:szCs w:val="27"/>
        </w:rPr>
        <w:t xml:space="preserve">services to the work and that have served a preliminary lien notice, with each </w:t>
      </w:r>
      <w:r>
        <w:rPr>
          <w:color w:val="000000"/>
          <w:sz w:val="27"/>
          <w:szCs w:val="27"/>
        </w:rPr>
        <w:br/>
        <w:t xml:space="preserve">           </w:t>
      </w:r>
      <w:r w:rsidR="006E307A">
        <w:rPr>
          <w:color w:val="000000"/>
          <w:sz w:val="27"/>
          <w:szCs w:val="27"/>
        </w:rPr>
        <w:t xml:space="preserve">payment application, conditional waivers and releases while the construction </w:t>
      </w:r>
      <w:r>
        <w:rPr>
          <w:color w:val="000000"/>
          <w:sz w:val="27"/>
          <w:szCs w:val="27"/>
        </w:rPr>
        <w:br/>
        <w:t xml:space="preserve">           </w:t>
      </w:r>
      <w:r w:rsidR="006E307A">
        <w:rPr>
          <w:color w:val="000000"/>
          <w:sz w:val="27"/>
          <w:szCs w:val="27"/>
        </w:rPr>
        <w:t xml:space="preserve">work is being performed, and unconditional final waivers and release of lien </w:t>
      </w:r>
      <w:r>
        <w:rPr>
          <w:color w:val="000000"/>
          <w:sz w:val="27"/>
          <w:szCs w:val="27"/>
        </w:rPr>
        <w:br/>
        <w:t xml:space="preserve">           </w:t>
      </w:r>
      <w:r w:rsidR="006E307A">
        <w:rPr>
          <w:color w:val="000000"/>
          <w:sz w:val="27"/>
          <w:szCs w:val="27"/>
        </w:rPr>
        <w:t xml:space="preserve">when the project is complete, all work has been accepted by the </w:t>
      </w:r>
      <w:r>
        <w:rPr>
          <w:color w:val="000000"/>
          <w:sz w:val="27"/>
          <w:szCs w:val="27"/>
        </w:rPr>
        <w:br/>
        <w:t xml:space="preserve">           </w:t>
      </w:r>
      <w:r w:rsidR="006E307A">
        <w:rPr>
          <w:color w:val="000000"/>
          <w:sz w:val="27"/>
          <w:szCs w:val="27"/>
        </w:rPr>
        <w:t xml:space="preserve">owner/borrower, and all final payment, including retention, have been made. </w:t>
      </w:r>
      <w:r>
        <w:rPr>
          <w:color w:val="000000"/>
          <w:sz w:val="27"/>
          <w:szCs w:val="27"/>
        </w:rPr>
        <w:br/>
        <w:t xml:space="preserve">           </w:t>
      </w:r>
      <w:r w:rsidR="006E307A">
        <w:rPr>
          <w:color w:val="000000"/>
          <w:sz w:val="27"/>
          <w:szCs w:val="27"/>
        </w:rPr>
        <w:t>Note that mechanics’ lien filing requirements vary by statute.</w:t>
      </w:r>
    </w:p>
    <w:p w14:paraId="26C4B05A" w14:textId="5DE9F4FF" w:rsidR="006E307A" w:rsidRDefault="00E352EE" w:rsidP="006E307A">
      <w:pPr>
        <w:pStyle w:val="NormalWeb"/>
        <w:rPr>
          <w:color w:val="000000"/>
          <w:sz w:val="27"/>
          <w:szCs w:val="27"/>
        </w:rPr>
      </w:pPr>
      <w:r>
        <w:rPr>
          <w:color w:val="000000"/>
          <w:sz w:val="27"/>
          <w:szCs w:val="27"/>
        </w:rPr>
        <w:lastRenderedPageBreak/>
        <w:t xml:space="preserve">           </w:t>
      </w:r>
      <w:r w:rsidR="006E307A">
        <w:rPr>
          <w:color w:val="000000"/>
          <w:sz w:val="27"/>
          <w:szCs w:val="27"/>
        </w:rPr>
        <w:t xml:space="preserve">In complex projects, a construction monitor can be accommodated to provide </w:t>
      </w:r>
      <w:r>
        <w:rPr>
          <w:color w:val="000000"/>
          <w:sz w:val="27"/>
          <w:szCs w:val="27"/>
        </w:rPr>
        <w:br/>
        <w:t xml:space="preserve">           </w:t>
      </w:r>
      <w:r w:rsidR="006E307A">
        <w:rPr>
          <w:color w:val="000000"/>
          <w:sz w:val="27"/>
          <w:szCs w:val="27"/>
        </w:rPr>
        <w:t xml:space="preserve">monthly construction reporting that identifies the payment application process </w:t>
      </w:r>
      <w:r>
        <w:rPr>
          <w:color w:val="000000"/>
          <w:sz w:val="27"/>
          <w:szCs w:val="27"/>
        </w:rPr>
        <w:br/>
        <w:t xml:space="preserve">           </w:t>
      </w:r>
      <w:r w:rsidR="006E307A">
        <w:rPr>
          <w:color w:val="000000"/>
          <w:sz w:val="27"/>
          <w:szCs w:val="27"/>
        </w:rPr>
        <w:t>and request for, and</w:t>
      </w:r>
    </w:p>
    <w:p w14:paraId="3DC905A4" w14:textId="611228D9" w:rsidR="00E548C0" w:rsidRPr="006F40B9" w:rsidRDefault="00F30A7C" w:rsidP="00E42AE5">
      <w:pPr>
        <w:jc w:val="both"/>
        <w:rPr>
          <w:b/>
          <w:bCs/>
          <w:color w:val="FF0000"/>
        </w:rPr>
      </w:pPr>
      <w:r>
        <w:t xml:space="preserve">     </w:t>
      </w:r>
      <w:r w:rsidR="00F15F24">
        <w:t xml:space="preserve"> </w:t>
      </w:r>
      <w:r w:rsidR="00E548C0">
        <w:t xml:space="preserve">H. </w:t>
      </w:r>
      <w:r w:rsidR="00194E28" w:rsidRPr="006F40B9">
        <w:rPr>
          <w:b/>
          <w:bCs/>
        </w:rPr>
        <w:t xml:space="preserve">Importance </w:t>
      </w:r>
      <w:proofErr w:type="gramStart"/>
      <w:r w:rsidR="00194E28" w:rsidRPr="006F40B9">
        <w:rPr>
          <w:b/>
          <w:bCs/>
        </w:rPr>
        <w:t>Of</w:t>
      </w:r>
      <w:proofErr w:type="gramEnd"/>
      <w:r w:rsidR="00194E28" w:rsidRPr="006F40B9">
        <w:rPr>
          <w:b/>
          <w:bCs/>
        </w:rPr>
        <w:t xml:space="preserve"> Evaluating </w:t>
      </w:r>
      <w:r w:rsidR="00964D57" w:rsidRPr="006F40B9">
        <w:rPr>
          <w:b/>
          <w:bCs/>
        </w:rPr>
        <w:t xml:space="preserve">Bond Trustee’s </w:t>
      </w:r>
      <w:r w:rsidR="00194E28" w:rsidRPr="006F40B9">
        <w:rPr>
          <w:b/>
          <w:bCs/>
        </w:rPr>
        <w:t>Prop</w:t>
      </w:r>
      <w:r w:rsidR="00675518" w:rsidRPr="006F40B9">
        <w:rPr>
          <w:b/>
          <w:bCs/>
        </w:rPr>
        <w:t xml:space="preserve">erty Insurance Coverage For The </w:t>
      </w:r>
      <w:r w:rsidRPr="006F40B9">
        <w:rPr>
          <w:b/>
          <w:bCs/>
        </w:rPr>
        <w:br/>
        <w:t xml:space="preserve">           </w:t>
      </w:r>
      <w:r w:rsidR="00675518" w:rsidRPr="006F40B9">
        <w:rPr>
          <w:b/>
          <w:bCs/>
        </w:rPr>
        <w:t>Collateral/Business Interruption Insurance</w:t>
      </w:r>
      <w:r w:rsidR="00462255" w:rsidRPr="006F40B9">
        <w:rPr>
          <w:b/>
          <w:bCs/>
        </w:rPr>
        <w:t xml:space="preserve"> </w:t>
      </w:r>
      <w:r w:rsidR="00462255" w:rsidRPr="006F40B9">
        <w:rPr>
          <w:b/>
          <w:bCs/>
          <w:color w:val="FF0000"/>
        </w:rPr>
        <w:t>DAN/LES</w:t>
      </w:r>
    </w:p>
    <w:p w14:paraId="2EDBB0B8" w14:textId="77777777" w:rsidR="00147F5C" w:rsidRDefault="00E548C0" w:rsidP="005F2AB8">
      <w:pPr>
        <w:jc w:val="both"/>
        <w:rPr>
          <w:color w:val="FF0000"/>
        </w:rPr>
      </w:pPr>
      <w:r w:rsidRPr="006F40B9">
        <w:rPr>
          <w:b/>
          <w:bCs/>
        </w:rPr>
        <w:br/>
      </w:r>
      <w:r w:rsidR="00C709AD">
        <w:t xml:space="preserve">      </w:t>
      </w:r>
      <w:r w:rsidR="00EF68A0">
        <w:t>I</w:t>
      </w:r>
      <w:r w:rsidR="00EF68A0" w:rsidRPr="006F40B9">
        <w:rPr>
          <w:b/>
          <w:bCs/>
        </w:rPr>
        <w:t xml:space="preserve">. </w:t>
      </w:r>
      <w:r w:rsidR="00310990" w:rsidRPr="006F40B9">
        <w:rPr>
          <w:b/>
          <w:bCs/>
        </w:rPr>
        <w:t xml:space="preserve">Importance </w:t>
      </w:r>
      <w:proofErr w:type="gramStart"/>
      <w:r w:rsidR="00310990" w:rsidRPr="006F40B9">
        <w:rPr>
          <w:b/>
          <w:bCs/>
        </w:rPr>
        <w:t>Of</w:t>
      </w:r>
      <w:proofErr w:type="gramEnd"/>
      <w:r w:rsidR="00310990" w:rsidRPr="006F40B9">
        <w:rPr>
          <w:b/>
          <w:bCs/>
        </w:rPr>
        <w:t xml:space="preserve"> Intellectual Property</w:t>
      </w:r>
      <w:r w:rsidR="00CE20FC" w:rsidRPr="006F40B9">
        <w:rPr>
          <w:b/>
          <w:bCs/>
        </w:rPr>
        <w:t xml:space="preserve"> Collateral/ Federal &amp; State Law Protections For </w:t>
      </w:r>
      <w:r w:rsidR="00F15F24">
        <w:rPr>
          <w:b/>
          <w:bCs/>
        </w:rPr>
        <w:br/>
        <w:t xml:space="preserve">         </w:t>
      </w:r>
      <w:r w:rsidR="00CE20FC" w:rsidRPr="006F40B9">
        <w:rPr>
          <w:b/>
          <w:bCs/>
        </w:rPr>
        <w:t>Trustee</w:t>
      </w:r>
      <w:r w:rsidR="00640951">
        <w:t xml:space="preserve"> </w:t>
      </w:r>
      <w:r w:rsidR="00640951" w:rsidRPr="000A38DA">
        <w:rPr>
          <w:color w:val="FF0000"/>
        </w:rPr>
        <w:t>KIM/GIL</w:t>
      </w:r>
    </w:p>
    <w:p w14:paraId="2748A33A" w14:textId="07230038" w:rsidR="005F2AB8" w:rsidRDefault="005F2AB8" w:rsidP="003650D2">
      <w:pPr>
        <w:jc w:val="both"/>
      </w:pPr>
      <w:r>
        <w:rPr>
          <w:color w:val="FF0000"/>
        </w:rPr>
        <w:br/>
      </w:r>
      <w:r w:rsidR="00147F5C">
        <w:t xml:space="preserve">            </w:t>
      </w:r>
      <w:r>
        <w:t xml:space="preserve">Intellectual property security comes into play for projects that require specific intellectual </w:t>
      </w:r>
      <w:r>
        <w:br/>
        <w:t xml:space="preserve">            </w:t>
      </w:r>
      <w:r>
        <w:t xml:space="preserve">property – patents or licenses – to develop and/or operate a project.  The risks around </w:t>
      </w:r>
      <w:r>
        <w:br/>
        <w:t xml:space="preserve">            </w:t>
      </w:r>
      <w:r>
        <w:t xml:space="preserve">intellectual property include ownership and use, and particularly what happens if the </w:t>
      </w:r>
      <w:r>
        <w:br/>
        <w:t xml:space="preserve">            </w:t>
      </w:r>
      <w:r>
        <w:t xml:space="preserve">borrower is not able to use or access the intellectual property.  Often intellectual property </w:t>
      </w:r>
      <w:r>
        <w:br/>
        <w:t xml:space="preserve">            </w:t>
      </w:r>
      <w:r>
        <w:t xml:space="preserve">is included in an </w:t>
      </w:r>
      <w:proofErr w:type="gramStart"/>
      <w:r>
        <w:t>all assets</w:t>
      </w:r>
      <w:proofErr w:type="gramEnd"/>
      <w:r>
        <w:t xml:space="preserve"> pledge and security agreement from the borrower to the bond </w:t>
      </w:r>
      <w:r>
        <w:br/>
        <w:t xml:space="preserve">            </w:t>
      </w:r>
      <w:r>
        <w:t xml:space="preserve">trustee as security for the borrower’s obligations under the bond documents, but it may be </w:t>
      </w:r>
      <w:r>
        <w:br/>
        <w:t xml:space="preserve">            </w:t>
      </w:r>
      <w:r>
        <w:t xml:space="preserve">prudent to enter into a separate intellectual property security agreement from the borrower </w:t>
      </w:r>
      <w:r>
        <w:br/>
        <w:t xml:space="preserve">            </w:t>
      </w:r>
      <w:r>
        <w:t xml:space="preserve">to the bond trustee if the intellectual property is crucial to the development and operation </w:t>
      </w:r>
      <w:r>
        <w:br/>
        <w:t xml:space="preserve">            </w:t>
      </w:r>
      <w:r>
        <w:t xml:space="preserve">of the project being financed.  Depending on the intellectual security interest, </w:t>
      </w:r>
      <w:r w:rsidRPr="00090DE9">
        <w:t xml:space="preserve">additional </w:t>
      </w:r>
      <w:r>
        <w:br/>
        <w:t xml:space="preserve">            </w:t>
      </w:r>
      <w:r w:rsidRPr="00090DE9">
        <w:t xml:space="preserve">documentation </w:t>
      </w:r>
      <w:r>
        <w:t xml:space="preserve">may need to be filed </w:t>
      </w:r>
      <w:r w:rsidRPr="00090DE9">
        <w:t xml:space="preserve">with the U.S. Patent and Trademark Office (USPTO) </w:t>
      </w:r>
      <w:r>
        <w:br/>
        <w:t xml:space="preserve">            </w:t>
      </w:r>
      <w:r w:rsidRPr="00090DE9">
        <w:t>to fully perfect the security interest</w:t>
      </w:r>
      <w:r>
        <w:t xml:space="preserve">.  This filing should be done on the date of closing in </w:t>
      </w:r>
      <w:r>
        <w:br/>
        <w:t xml:space="preserve">            </w:t>
      </w:r>
      <w:r>
        <w:t xml:space="preserve">addition to the filing of any other UCC financing statements to perfect Article 9 security </w:t>
      </w:r>
      <w:r>
        <w:br/>
        <w:t xml:space="preserve">            </w:t>
      </w:r>
      <w:r>
        <w:t>interests.</w:t>
      </w:r>
      <w:r w:rsidR="00147F5C">
        <w:br/>
      </w:r>
    </w:p>
    <w:p w14:paraId="76C3756B" w14:textId="77B91BF6" w:rsidR="004245E8" w:rsidRPr="00E41F8A" w:rsidRDefault="005E4938" w:rsidP="006F40B9">
      <w:pPr>
        <w:jc w:val="both"/>
        <w:rPr>
          <w:b/>
          <w:bCs/>
        </w:rPr>
      </w:pPr>
      <w:r w:rsidRPr="006F40B9">
        <w:rPr>
          <w:b/>
          <w:bCs/>
        </w:rPr>
        <w:t xml:space="preserve">     </w:t>
      </w:r>
      <w:r w:rsidR="00D23841" w:rsidRPr="006F40B9">
        <w:rPr>
          <w:b/>
          <w:bCs/>
        </w:rPr>
        <w:t xml:space="preserve">J. </w:t>
      </w:r>
      <w:r w:rsidR="00EF68A0" w:rsidRPr="006F40B9">
        <w:rPr>
          <w:b/>
          <w:bCs/>
        </w:rPr>
        <w:t>Concerns Over</w:t>
      </w:r>
      <w:r w:rsidR="00C709AD" w:rsidRPr="006F40B9">
        <w:rPr>
          <w:b/>
          <w:bCs/>
        </w:rPr>
        <w:t xml:space="preserve"> </w:t>
      </w:r>
      <w:r w:rsidR="00B07668" w:rsidRPr="006F40B9">
        <w:rPr>
          <w:b/>
          <w:bCs/>
        </w:rPr>
        <w:t>Comm</w:t>
      </w:r>
      <w:r w:rsidR="00EB130F" w:rsidRPr="006F40B9">
        <w:rPr>
          <w:b/>
          <w:bCs/>
        </w:rPr>
        <w:t xml:space="preserve">ingling </w:t>
      </w:r>
      <w:proofErr w:type="gramStart"/>
      <w:r w:rsidR="00EB130F" w:rsidRPr="006F40B9">
        <w:rPr>
          <w:b/>
          <w:bCs/>
        </w:rPr>
        <w:t>Of</w:t>
      </w:r>
      <w:proofErr w:type="gramEnd"/>
      <w:r w:rsidR="00EB130F" w:rsidRPr="006F40B9">
        <w:rPr>
          <w:b/>
          <w:bCs/>
        </w:rPr>
        <w:t xml:space="preserve"> Pledged Revenues/ </w:t>
      </w:r>
      <w:r w:rsidR="006A5B37" w:rsidRPr="006F40B9">
        <w:rPr>
          <w:b/>
          <w:bCs/>
        </w:rPr>
        <w:t xml:space="preserve">Risk of </w:t>
      </w:r>
      <w:r w:rsidR="00EB130F" w:rsidRPr="006F40B9">
        <w:rPr>
          <w:b/>
          <w:bCs/>
        </w:rPr>
        <w:t>Loss Of Lien</w:t>
      </w:r>
      <w:r w:rsidR="006A5B37" w:rsidRPr="006F40B9">
        <w:rPr>
          <w:b/>
          <w:bCs/>
        </w:rPr>
        <w:t>/UC</w:t>
      </w:r>
      <w:r w:rsidR="006F40B9">
        <w:rPr>
          <w:b/>
          <w:bCs/>
        </w:rPr>
        <w:t>C-9</w:t>
      </w:r>
      <w:r w:rsidR="006A5B37" w:rsidRPr="006F40B9">
        <w:rPr>
          <w:b/>
          <w:bCs/>
        </w:rPr>
        <w:t xml:space="preserve"> </w:t>
      </w:r>
      <w:r>
        <w:rPr>
          <w:b/>
          <w:bCs/>
        </w:rPr>
        <w:br/>
        <w:t xml:space="preserve">           </w:t>
      </w:r>
      <w:r w:rsidR="006A5B37" w:rsidRPr="006F40B9">
        <w:rPr>
          <w:b/>
          <w:bCs/>
        </w:rPr>
        <w:t>Securit</w:t>
      </w:r>
      <w:r w:rsidR="00304CD3">
        <w:rPr>
          <w:b/>
          <w:bCs/>
        </w:rPr>
        <w:t>y I</w:t>
      </w:r>
      <w:r w:rsidR="006A5B37" w:rsidRPr="006F40B9">
        <w:rPr>
          <w:b/>
          <w:bCs/>
        </w:rPr>
        <w:t>nterest</w:t>
      </w:r>
      <w:r w:rsidR="006F40B9">
        <w:rPr>
          <w:b/>
          <w:bCs/>
        </w:rPr>
        <w:t>s</w:t>
      </w:r>
      <w:r w:rsidR="000B3B78">
        <w:t xml:space="preserve"> </w:t>
      </w:r>
    </w:p>
    <w:p w14:paraId="3917C505" w14:textId="1C5878DF" w:rsidR="002000D3" w:rsidRDefault="00F1504D" w:rsidP="006F40B9">
      <w:pPr>
        <w:jc w:val="both"/>
        <w:rPr>
          <w:rFonts w:asciiTheme="minorHAnsi" w:hAnsiTheme="minorHAnsi"/>
          <w:kern w:val="2"/>
          <w:sz w:val="22"/>
          <w14:ligatures w14:val="standardContextual"/>
        </w:rPr>
      </w:pPr>
      <w:r w:rsidRPr="005E4938">
        <w:rPr>
          <w:color w:val="FF0000"/>
        </w:rPr>
        <w:br/>
      </w:r>
      <w:r w:rsidRPr="006F40B9">
        <w:rPr>
          <w:rFonts w:cs="Times New Roman"/>
          <w:color w:val="FF0000"/>
          <w:szCs w:val="24"/>
        </w:rPr>
        <w:t xml:space="preserve">           </w:t>
      </w:r>
      <w:r w:rsidRPr="006F40B9">
        <w:rPr>
          <w:rFonts w:cs="Times New Roman"/>
          <w:kern w:val="2"/>
          <w:szCs w:val="24"/>
          <w14:ligatures w14:val="standardContextual"/>
        </w:rPr>
        <w:t xml:space="preserve"> Commingling Of Pledged Revenues/Taxes: For any components of a Collateral Package </w:t>
      </w:r>
      <w:r w:rsidR="00223576">
        <w:rPr>
          <w:rFonts w:cs="Times New Roman"/>
          <w:kern w:val="2"/>
          <w:szCs w:val="24"/>
          <w14:ligatures w14:val="standardContextual"/>
        </w:rPr>
        <w:br/>
        <w:t xml:space="preserve">            </w:t>
      </w:r>
      <w:r w:rsidRPr="006F40B9">
        <w:rPr>
          <w:rFonts w:cs="Times New Roman"/>
          <w:kern w:val="2"/>
          <w:szCs w:val="24"/>
          <w14:ligatures w14:val="standardContextual"/>
        </w:rPr>
        <w:t xml:space="preserve">that rely on the collection of revenues/taxes, the degree of the Bond Trustee’s “control”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over those revenue/tax collections during collection is important in maximizing recovery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on those collections. In MFTs, the Bond Trustee can obtain control over tax/revenue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collections in various ways such as special depository accounts with the initial collector of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the revenues/taxes, special remittance agreements with other govt entities that collect the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revenues/taxes, and collection agency agreements between a government entity and the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Bond Trustee. Under the terms of the UCC-9, various Statutory Liens and U.S. bankruptcy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laws, if these revenues/tax collections become commingled with other non-pledged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funds/taxes/revenues and lose their “identity” in the collection process before received by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the Bond Trustee, the Bond Trustee can lose its perfection and/or priority claim to the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pledged revenues/taxes. Consequently, the MFT offering statement should highlight the </w:t>
      </w:r>
      <w:r w:rsidR="0080463F">
        <w:rPr>
          <w:rFonts w:cs="Times New Roman"/>
          <w:kern w:val="2"/>
          <w:szCs w:val="24"/>
          <w14:ligatures w14:val="standardContextual"/>
        </w:rPr>
        <w:br/>
        <w:t xml:space="preserve">            </w:t>
      </w:r>
      <w:r w:rsidRPr="006F40B9">
        <w:rPr>
          <w:rFonts w:cs="Times New Roman"/>
          <w:kern w:val="2"/>
          <w:szCs w:val="24"/>
          <w14:ligatures w14:val="standardContextual"/>
        </w:rPr>
        <w:t xml:space="preserve">risks of commingling/loss of identity of any pledged revenues/taxes if there is any danger </w:t>
      </w:r>
      <w:r w:rsidR="002000D3">
        <w:rPr>
          <w:rFonts w:cs="Times New Roman"/>
          <w:kern w:val="2"/>
          <w:szCs w:val="24"/>
          <w14:ligatures w14:val="standardContextual"/>
        </w:rPr>
        <w:br/>
        <w:t xml:space="preserve">            </w:t>
      </w:r>
      <w:r w:rsidRPr="006F40B9">
        <w:rPr>
          <w:rFonts w:cs="Times New Roman"/>
          <w:kern w:val="2"/>
          <w:szCs w:val="24"/>
          <w14:ligatures w14:val="standardContextual"/>
        </w:rPr>
        <w:t>of</w:t>
      </w:r>
      <w:r w:rsidRPr="006F40B9">
        <w:rPr>
          <w:rFonts w:asciiTheme="minorHAnsi" w:hAnsiTheme="minorHAnsi"/>
          <w:kern w:val="2"/>
          <w:sz w:val="22"/>
          <w14:ligatures w14:val="standardContextual"/>
        </w:rPr>
        <w:t xml:space="preserve"> commingling.</w:t>
      </w:r>
    </w:p>
    <w:p w14:paraId="7B372602" w14:textId="77777777" w:rsidR="00147F5C" w:rsidRDefault="00D23841" w:rsidP="00867B37">
      <w:pPr>
        <w:jc w:val="both"/>
        <w:rPr>
          <w:color w:val="FF0000"/>
        </w:rPr>
      </w:pPr>
      <w:r w:rsidRPr="00882F0F">
        <w:rPr>
          <w:b/>
          <w:bCs/>
        </w:rPr>
        <w:br/>
      </w:r>
      <w:r w:rsidR="0095329B" w:rsidRPr="00882F0F">
        <w:rPr>
          <w:b/>
          <w:bCs/>
        </w:rPr>
        <w:t xml:space="preserve">    </w:t>
      </w:r>
      <w:r w:rsidR="00703E44">
        <w:rPr>
          <w:b/>
          <w:bCs/>
        </w:rPr>
        <w:t xml:space="preserve"> </w:t>
      </w:r>
      <w:r w:rsidR="0095329B" w:rsidRPr="00882F0F">
        <w:rPr>
          <w:b/>
          <w:bCs/>
        </w:rPr>
        <w:t xml:space="preserve"> </w:t>
      </w:r>
      <w:r w:rsidRPr="00882F0F">
        <w:rPr>
          <w:b/>
          <w:bCs/>
        </w:rPr>
        <w:t xml:space="preserve">K. </w:t>
      </w:r>
      <w:r w:rsidR="0095329B" w:rsidRPr="00882F0F">
        <w:rPr>
          <w:b/>
          <w:bCs/>
        </w:rPr>
        <w:t xml:space="preserve">The </w:t>
      </w:r>
      <w:r w:rsidR="0059799F" w:rsidRPr="00882F0F">
        <w:rPr>
          <w:b/>
          <w:bCs/>
        </w:rPr>
        <w:t xml:space="preserve">Importance </w:t>
      </w:r>
      <w:proofErr w:type="gramStart"/>
      <w:r w:rsidR="00D3666A" w:rsidRPr="00882F0F">
        <w:rPr>
          <w:b/>
          <w:bCs/>
        </w:rPr>
        <w:t>Of</w:t>
      </w:r>
      <w:proofErr w:type="gramEnd"/>
      <w:r w:rsidR="00D3666A" w:rsidRPr="00882F0F">
        <w:rPr>
          <w:b/>
          <w:bCs/>
        </w:rPr>
        <w:t xml:space="preserve"> The Negative Pledge Covenant</w:t>
      </w:r>
      <w:r w:rsidR="000B3B78">
        <w:t xml:space="preserve"> </w:t>
      </w:r>
      <w:r w:rsidR="000B3B78" w:rsidRPr="000A38DA">
        <w:rPr>
          <w:color w:val="FF0000"/>
        </w:rPr>
        <w:t>GIL</w:t>
      </w:r>
    </w:p>
    <w:p w14:paraId="5E9B1DCD" w14:textId="64CC0EAD" w:rsidR="005A1E3E" w:rsidRPr="002D0678" w:rsidRDefault="009050E3" w:rsidP="00867B37">
      <w:pPr>
        <w:jc w:val="both"/>
        <w:rPr>
          <w:color w:val="000000" w:themeColor="text1"/>
        </w:rPr>
      </w:pPr>
      <w:r>
        <w:rPr>
          <w:color w:val="FF0000"/>
        </w:rPr>
        <w:br/>
      </w:r>
      <w:r w:rsidRPr="002D0678">
        <w:rPr>
          <w:color w:val="000000" w:themeColor="text1"/>
        </w:rPr>
        <w:t xml:space="preserve">           </w:t>
      </w:r>
      <w:r w:rsidR="00DB3FB4" w:rsidRPr="002D0678">
        <w:rPr>
          <w:color w:val="000000" w:themeColor="text1"/>
        </w:rPr>
        <w:t>To preserve</w:t>
      </w:r>
      <w:r w:rsidR="00B71804" w:rsidRPr="002D0678">
        <w:rPr>
          <w:color w:val="000000" w:themeColor="text1"/>
        </w:rPr>
        <w:t xml:space="preserve"> the value of the MCP from</w:t>
      </w:r>
      <w:r w:rsidR="00DB3FB4" w:rsidRPr="002D0678">
        <w:rPr>
          <w:color w:val="000000" w:themeColor="text1"/>
        </w:rPr>
        <w:t xml:space="preserve"> any competing creditors</w:t>
      </w:r>
      <w:r w:rsidR="00CE26E2" w:rsidRPr="002D0678">
        <w:rPr>
          <w:color w:val="000000" w:themeColor="text1"/>
        </w:rPr>
        <w:t xml:space="preserve"> and </w:t>
      </w:r>
      <w:r w:rsidR="00B40E20" w:rsidRPr="002D0678">
        <w:rPr>
          <w:color w:val="000000" w:themeColor="text1"/>
        </w:rPr>
        <w:t xml:space="preserve">to </w:t>
      </w:r>
      <w:r w:rsidR="001F13BD" w:rsidRPr="002D0678">
        <w:rPr>
          <w:color w:val="000000" w:themeColor="text1"/>
        </w:rPr>
        <w:t xml:space="preserve">preserve </w:t>
      </w:r>
      <w:r w:rsidR="00CE26E2" w:rsidRPr="002D0678">
        <w:rPr>
          <w:color w:val="000000" w:themeColor="text1"/>
        </w:rPr>
        <w:t xml:space="preserve">the overall </w:t>
      </w:r>
      <w:r w:rsidR="00BC7B2E">
        <w:rPr>
          <w:color w:val="000000" w:themeColor="text1"/>
        </w:rPr>
        <w:br/>
        <w:t xml:space="preserve">           </w:t>
      </w:r>
      <w:r w:rsidR="00CE26E2" w:rsidRPr="002D0678">
        <w:rPr>
          <w:color w:val="000000" w:themeColor="text1"/>
        </w:rPr>
        <w:t>fiscal/credit res</w:t>
      </w:r>
      <w:r w:rsidR="001837C7" w:rsidRPr="002D0678">
        <w:rPr>
          <w:color w:val="000000" w:themeColor="text1"/>
        </w:rPr>
        <w:t>i</w:t>
      </w:r>
      <w:r w:rsidR="00CE26E2" w:rsidRPr="002D0678">
        <w:rPr>
          <w:color w:val="000000" w:themeColor="text1"/>
        </w:rPr>
        <w:t>liency of the issuer, borrower, obligor or pledgo</w:t>
      </w:r>
      <w:r w:rsidR="001837C7" w:rsidRPr="002D0678">
        <w:rPr>
          <w:color w:val="000000" w:themeColor="text1"/>
        </w:rPr>
        <w:t>r</w:t>
      </w:r>
      <w:r w:rsidR="00253DBB" w:rsidRPr="002D0678">
        <w:rPr>
          <w:color w:val="000000" w:themeColor="text1"/>
        </w:rPr>
        <w:t xml:space="preserve"> (collectively “Obl</w:t>
      </w:r>
      <w:r w:rsidR="00CB7E6D" w:rsidRPr="002D0678">
        <w:rPr>
          <w:color w:val="000000" w:themeColor="text1"/>
        </w:rPr>
        <w:t>i</w:t>
      </w:r>
      <w:r w:rsidR="00253DBB" w:rsidRPr="002D0678">
        <w:rPr>
          <w:color w:val="000000" w:themeColor="text1"/>
        </w:rPr>
        <w:t>gors”)</w:t>
      </w:r>
      <w:r w:rsidR="00B71804" w:rsidRPr="002D0678">
        <w:rPr>
          <w:color w:val="000000" w:themeColor="text1"/>
        </w:rPr>
        <w:t xml:space="preserve">, </w:t>
      </w:r>
      <w:r w:rsidR="00BC7B2E">
        <w:rPr>
          <w:color w:val="000000" w:themeColor="text1"/>
        </w:rPr>
        <w:br/>
        <w:t xml:space="preserve">           </w:t>
      </w:r>
      <w:r w:rsidR="00B71804" w:rsidRPr="002D0678">
        <w:rPr>
          <w:color w:val="000000" w:themeColor="text1"/>
        </w:rPr>
        <w:t>t</w:t>
      </w:r>
      <w:r w:rsidR="001837C7" w:rsidRPr="002D0678">
        <w:rPr>
          <w:color w:val="000000" w:themeColor="text1"/>
        </w:rPr>
        <w:t xml:space="preserve">he trust indenture and/or loan agreement (as applicable) </w:t>
      </w:r>
      <w:r w:rsidR="00CA0514" w:rsidRPr="002D0678">
        <w:rPr>
          <w:color w:val="000000" w:themeColor="text1"/>
        </w:rPr>
        <w:t xml:space="preserve">can contain a “negative pledge” </w:t>
      </w:r>
      <w:r w:rsidR="00BC7B2E">
        <w:rPr>
          <w:color w:val="000000" w:themeColor="text1"/>
        </w:rPr>
        <w:br/>
        <w:t xml:space="preserve">           </w:t>
      </w:r>
      <w:r w:rsidR="00CA0514" w:rsidRPr="002D0678">
        <w:rPr>
          <w:color w:val="000000" w:themeColor="text1"/>
        </w:rPr>
        <w:t>prohi</w:t>
      </w:r>
      <w:r w:rsidR="001B0F90" w:rsidRPr="002D0678">
        <w:rPr>
          <w:color w:val="000000" w:themeColor="text1"/>
        </w:rPr>
        <w:t>b</w:t>
      </w:r>
      <w:r w:rsidR="00CA0514" w:rsidRPr="002D0678">
        <w:rPr>
          <w:color w:val="000000" w:themeColor="text1"/>
        </w:rPr>
        <w:t xml:space="preserve">iting </w:t>
      </w:r>
      <w:r w:rsidR="001B0F90" w:rsidRPr="002D0678">
        <w:rPr>
          <w:color w:val="000000" w:themeColor="text1"/>
        </w:rPr>
        <w:t>the</w:t>
      </w:r>
      <w:r w:rsidR="00253DBB" w:rsidRPr="002D0678">
        <w:rPr>
          <w:color w:val="000000" w:themeColor="text1"/>
        </w:rPr>
        <w:t xml:space="preserve"> Ob</w:t>
      </w:r>
      <w:r w:rsidR="00B87824" w:rsidRPr="002D0678">
        <w:rPr>
          <w:color w:val="000000" w:themeColor="text1"/>
        </w:rPr>
        <w:t xml:space="preserve">ligors </w:t>
      </w:r>
      <w:r w:rsidR="001B0F90" w:rsidRPr="002D0678">
        <w:rPr>
          <w:color w:val="000000" w:themeColor="text1"/>
        </w:rPr>
        <w:t xml:space="preserve">from granting a security interest, lien or pledge </w:t>
      </w:r>
      <w:r w:rsidR="00C82611" w:rsidRPr="002D0678">
        <w:rPr>
          <w:color w:val="000000" w:themeColor="text1"/>
        </w:rPr>
        <w:t xml:space="preserve">of any of their </w:t>
      </w:r>
      <w:r w:rsidR="00BC7B2E">
        <w:rPr>
          <w:color w:val="000000" w:themeColor="text1"/>
        </w:rPr>
        <w:br/>
      </w:r>
      <w:r w:rsidR="00BC7B2E">
        <w:rPr>
          <w:color w:val="000000" w:themeColor="text1"/>
        </w:rPr>
        <w:lastRenderedPageBreak/>
        <w:t xml:space="preserve">           </w:t>
      </w:r>
      <w:r w:rsidR="00C82611" w:rsidRPr="002D0678">
        <w:rPr>
          <w:color w:val="000000" w:themeColor="text1"/>
        </w:rPr>
        <w:t>assets to a</w:t>
      </w:r>
      <w:r w:rsidR="0037148B" w:rsidRPr="002D0678">
        <w:rPr>
          <w:color w:val="000000" w:themeColor="text1"/>
        </w:rPr>
        <w:t>nother creditor without bond trustee’s consent. The “negative</w:t>
      </w:r>
      <w:r w:rsidR="00AA756C" w:rsidRPr="002D0678">
        <w:rPr>
          <w:color w:val="000000" w:themeColor="text1"/>
        </w:rPr>
        <w:t xml:space="preserve"> pledge” can allow </w:t>
      </w:r>
      <w:r w:rsidR="00BC7B2E">
        <w:rPr>
          <w:color w:val="000000" w:themeColor="text1"/>
        </w:rPr>
        <w:br/>
        <w:t xml:space="preserve">           </w:t>
      </w:r>
      <w:r w:rsidR="00AA756C" w:rsidRPr="002D0678">
        <w:rPr>
          <w:color w:val="000000" w:themeColor="text1"/>
        </w:rPr>
        <w:t xml:space="preserve">the </w:t>
      </w:r>
      <w:r w:rsidR="00CB7E6D" w:rsidRPr="002D0678">
        <w:rPr>
          <w:color w:val="000000" w:themeColor="text1"/>
        </w:rPr>
        <w:t>Obligors</w:t>
      </w:r>
      <w:r w:rsidR="00AA756C" w:rsidRPr="002D0678">
        <w:rPr>
          <w:color w:val="000000" w:themeColor="text1"/>
        </w:rPr>
        <w:t xml:space="preserve"> </w:t>
      </w:r>
      <w:r w:rsidR="009614B8" w:rsidRPr="002D0678">
        <w:rPr>
          <w:color w:val="000000" w:themeColor="text1"/>
        </w:rPr>
        <w:t xml:space="preserve">to </w:t>
      </w:r>
      <w:r w:rsidR="00AA756C" w:rsidRPr="002D0678">
        <w:rPr>
          <w:color w:val="000000" w:themeColor="text1"/>
        </w:rPr>
        <w:t xml:space="preserve">grant a security interest </w:t>
      </w:r>
      <w:r w:rsidR="00311BF5" w:rsidRPr="002D0678">
        <w:rPr>
          <w:color w:val="000000" w:themeColor="text1"/>
        </w:rPr>
        <w:t>to another creditor for</w:t>
      </w:r>
      <w:r w:rsidR="000A2A99" w:rsidRPr="002D0678">
        <w:rPr>
          <w:color w:val="000000" w:themeColor="text1"/>
        </w:rPr>
        <w:t xml:space="preserve"> specific</w:t>
      </w:r>
      <w:r w:rsidR="00AA756C" w:rsidRPr="002D0678">
        <w:rPr>
          <w:color w:val="000000" w:themeColor="text1"/>
        </w:rPr>
        <w:t xml:space="preserve"> </w:t>
      </w:r>
      <w:r w:rsidR="00253DBB" w:rsidRPr="002D0678">
        <w:rPr>
          <w:color w:val="000000" w:themeColor="text1"/>
        </w:rPr>
        <w:t>equipm</w:t>
      </w:r>
      <w:r w:rsidR="009614B8" w:rsidRPr="002D0678">
        <w:rPr>
          <w:color w:val="000000" w:themeColor="text1"/>
        </w:rPr>
        <w:t xml:space="preserve">ent, </w:t>
      </w:r>
      <w:r w:rsidR="00BC7B2E">
        <w:rPr>
          <w:color w:val="000000" w:themeColor="text1"/>
        </w:rPr>
        <w:br/>
        <w:t xml:space="preserve">           </w:t>
      </w:r>
      <w:r w:rsidR="009614B8" w:rsidRPr="002D0678">
        <w:rPr>
          <w:color w:val="000000" w:themeColor="text1"/>
        </w:rPr>
        <w:t>inventory, motor vehicles</w:t>
      </w:r>
      <w:r w:rsidR="009311C0" w:rsidRPr="002D0678">
        <w:rPr>
          <w:color w:val="000000" w:themeColor="text1"/>
        </w:rPr>
        <w:t xml:space="preserve"> and</w:t>
      </w:r>
      <w:r w:rsidR="0002024F" w:rsidRPr="002D0678">
        <w:rPr>
          <w:color w:val="000000" w:themeColor="text1"/>
        </w:rPr>
        <w:t xml:space="preserve"> other assets needed by the Obligors </w:t>
      </w:r>
      <w:r w:rsidR="000A2A99" w:rsidRPr="002D0678">
        <w:rPr>
          <w:color w:val="000000" w:themeColor="text1"/>
        </w:rPr>
        <w:t>to operate, and any pre-</w:t>
      </w:r>
      <w:r w:rsidR="00BC7B2E">
        <w:rPr>
          <w:color w:val="000000" w:themeColor="text1"/>
        </w:rPr>
        <w:br/>
        <w:t xml:space="preserve">           </w:t>
      </w:r>
      <w:r w:rsidR="000A2A99" w:rsidRPr="002D0678">
        <w:rPr>
          <w:color w:val="000000" w:themeColor="text1"/>
        </w:rPr>
        <w:t>existing and future property leased by the Oblig</w:t>
      </w:r>
      <w:r w:rsidR="00346556" w:rsidRPr="002D0678">
        <w:rPr>
          <w:color w:val="000000" w:themeColor="text1"/>
        </w:rPr>
        <w:t>o</w:t>
      </w:r>
      <w:r w:rsidR="000A2A99" w:rsidRPr="002D0678">
        <w:rPr>
          <w:color w:val="000000" w:themeColor="text1"/>
        </w:rPr>
        <w:t>rs from an outside</w:t>
      </w:r>
      <w:r w:rsidR="005A1E3E" w:rsidRPr="002D0678">
        <w:rPr>
          <w:color w:val="000000" w:themeColor="text1"/>
        </w:rPr>
        <w:t xml:space="preserve"> leasing </w:t>
      </w:r>
      <w:r w:rsidR="000A2A99" w:rsidRPr="002D0678">
        <w:rPr>
          <w:color w:val="000000" w:themeColor="text1"/>
        </w:rPr>
        <w:t>credi</w:t>
      </w:r>
      <w:r w:rsidR="00B40E20" w:rsidRPr="002D0678">
        <w:rPr>
          <w:color w:val="000000" w:themeColor="text1"/>
        </w:rPr>
        <w:t>t</w:t>
      </w:r>
      <w:r w:rsidR="000A2A99" w:rsidRPr="002D0678">
        <w:rPr>
          <w:color w:val="000000" w:themeColor="text1"/>
        </w:rPr>
        <w:t>or.</w:t>
      </w:r>
      <w:r w:rsidR="00560838" w:rsidRPr="002D0678">
        <w:rPr>
          <w:color w:val="000000" w:themeColor="text1"/>
        </w:rPr>
        <w:t xml:space="preserve"> NFMA </w:t>
      </w:r>
      <w:r w:rsidR="00BC7B2E">
        <w:rPr>
          <w:color w:val="000000" w:themeColor="text1"/>
        </w:rPr>
        <w:br/>
        <w:t xml:space="preserve">           </w:t>
      </w:r>
      <w:r w:rsidR="00560838" w:rsidRPr="002D0678">
        <w:rPr>
          <w:color w:val="000000" w:themeColor="text1"/>
        </w:rPr>
        <w:t>believes</w:t>
      </w:r>
      <w:r w:rsidR="002F0A2D" w:rsidRPr="002D0678">
        <w:rPr>
          <w:color w:val="000000" w:themeColor="text1"/>
        </w:rPr>
        <w:t xml:space="preserve"> that any MFT supported by a MCP should </w:t>
      </w:r>
      <w:r w:rsidR="0037186F" w:rsidRPr="002D0678">
        <w:rPr>
          <w:color w:val="000000" w:themeColor="text1"/>
        </w:rPr>
        <w:t xml:space="preserve">contain a negative pledge </w:t>
      </w:r>
      <w:r w:rsidR="005B6672" w:rsidRPr="002D0678">
        <w:rPr>
          <w:color w:val="000000" w:themeColor="text1"/>
        </w:rPr>
        <w:t>f</w:t>
      </w:r>
      <w:r w:rsidR="0037186F" w:rsidRPr="002D0678">
        <w:rPr>
          <w:color w:val="000000" w:themeColor="text1"/>
        </w:rPr>
        <w:t xml:space="preserve">rom each of </w:t>
      </w:r>
      <w:r w:rsidR="00BC7B2E">
        <w:rPr>
          <w:color w:val="000000" w:themeColor="text1"/>
        </w:rPr>
        <w:br/>
        <w:t xml:space="preserve">           </w:t>
      </w:r>
      <w:r w:rsidR="0037186F" w:rsidRPr="002D0678">
        <w:rPr>
          <w:color w:val="000000" w:themeColor="text1"/>
        </w:rPr>
        <w:t>the Obligors, and the trust indenture/loan agreement</w:t>
      </w:r>
      <w:r w:rsidR="005B6672" w:rsidRPr="002D0678">
        <w:rPr>
          <w:color w:val="000000" w:themeColor="text1"/>
        </w:rPr>
        <w:t xml:space="preserve"> in these MFTs</w:t>
      </w:r>
      <w:r w:rsidR="00F84EF1" w:rsidRPr="002D0678">
        <w:rPr>
          <w:color w:val="000000" w:themeColor="text1"/>
        </w:rPr>
        <w:t xml:space="preserve"> should contain a </w:t>
      </w:r>
      <w:r w:rsidR="00BC7B2E">
        <w:rPr>
          <w:color w:val="000000" w:themeColor="text1"/>
        </w:rPr>
        <w:br/>
        <w:t xml:space="preserve">           </w:t>
      </w:r>
      <w:r w:rsidR="00F84EF1" w:rsidRPr="002D0678">
        <w:rPr>
          <w:color w:val="000000" w:themeColor="text1"/>
        </w:rPr>
        <w:t xml:space="preserve">negative pledge, and if one is not </w:t>
      </w:r>
      <w:r w:rsidR="0030171E" w:rsidRPr="002D0678">
        <w:rPr>
          <w:color w:val="000000" w:themeColor="text1"/>
        </w:rPr>
        <w:t xml:space="preserve">included, that the POS contain risk disclosure on the lack </w:t>
      </w:r>
      <w:r w:rsidR="00BC7B2E">
        <w:rPr>
          <w:color w:val="000000" w:themeColor="text1"/>
        </w:rPr>
        <w:br/>
        <w:t xml:space="preserve">           </w:t>
      </w:r>
      <w:r w:rsidR="0030171E" w:rsidRPr="002D0678">
        <w:rPr>
          <w:color w:val="000000" w:themeColor="text1"/>
        </w:rPr>
        <w:t>of a n</w:t>
      </w:r>
      <w:r w:rsidR="007722D3" w:rsidRPr="002D0678">
        <w:rPr>
          <w:color w:val="000000" w:themeColor="text1"/>
        </w:rPr>
        <w:t>e</w:t>
      </w:r>
      <w:r w:rsidR="0030171E" w:rsidRPr="002D0678">
        <w:rPr>
          <w:color w:val="000000" w:themeColor="text1"/>
        </w:rPr>
        <w:t>gat</w:t>
      </w:r>
      <w:r w:rsidR="007722D3" w:rsidRPr="002D0678">
        <w:rPr>
          <w:color w:val="000000" w:themeColor="text1"/>
        </w:rPr>
        <w:t>i</w:t>
      </w:r>
      <w:r w:rsidR="0030171E" w:rsidRPr="002D0678">
        <w:rPr>
          <w:color w:val="000000" w:themeColor="text1"/>
        </w:rPr>
        <w:t xml:space="preserve">ve pledge </w:t>
      </w:r>
      <w:r w:rsidR="007722D3" w:rsidRPr="002D0678">
        <w:rPr>
          <w:color w:val="000000" w:themeColor="text1"/>
        </w:rPr>
        <w:t>of</w:t>
      </w:r>
      <w:r w:rsidR="0030171E" w:rsidRPr="002D0678">
        <w:rPr>
          <w:color w:val="000000" w:themeColor="text1"/>
        </w:rPr>
        <w:t xml:space="preserve"> the Obl</w:t>
      </w:r>
      <w:r w:rsidR="007722D3" w:rsidRPr="002D0678">
        <w:rPr>
          <w:color w:val="000000" w:themeColor="text1"/>
        </w:rPr>
        <w:t>i</w:t>
      </w:r>
      <w:r w:rsidR="0030171E" w:rsidRPr="002D0678">
        <w:rPr>
          <w:color w:val="000000" w:themeColor="text1"/>
        </w:rPr>
        <w:t>g</w:t>
      </w:r>
      <w:r w:rsidR="00CE1C7B" w:rsidRPr="002D0678">
        <w:rPr>
          <w:color w:val="000000" w:themeColor="text1"/>
        </w:rPr>
        <w:t>or</w:t>
      </w:r>
      <w:r w:rsidR="0030171E" w:rsidRPr="002D0678">
        <w:rPr>
          <w:color w:val="000000" w:themeColor="text1"/>
        </w:rPr>
        <w:t>s</w:t>
      </w:r>
      <w:r w:rsidR="00CE1C7B" w:rsidRPr="002D0678">
        <w:rPr>
          <w:color w:val="000000" w:themeColor="text1"/>
        </w:rPr>
        <w:t>’</w:t>
      </w:r>
      <w:r w:rsidR="0030171E" w:rsidRPr="002D0678">
        <w:rPr>
          <w:color w:val="000000" w:themeColor="text1"/>
        </w:rPr>
        <w:t xml:space="preserve"> assets.</w:t>
      </w:r>
    </w:p>
    <w:p w14:paraId="23BE00D7" w14:textId="512B422D" w:rsidR="00703E44" w:rsidRDefault="0037148B" w:rsidP="003C67C2">
      <w:pPr>
        <w:ind w:left="360"/>
        <w:jc w:val="both"/>
      </w:pPr>
      <w:r w:rsidRPr="002D0678">
        <w:rPr>
          <w:color w:val="000000" w:themeColor="text1"/>
        </w:rPr>
        <w:br/>
      </w:r>
      <w:r w:rsidR="005B5607">
        <w:rPr>
          <w:b/>
          <w:bCs/>
        </w:rPr>
        <w:t>L</w:t>
      </w:r>
      <w:r w:rsidR="00703E44" w:rsidRPr="00882F0F">
        <w:rPr>
          <w:b/>
          <w:bCs/>
        </w:rPr>
        <w:t xml:space="preserve">. </w:t>
      </w:r>
      <w:r w:rsidR="00E215FB" w:rsidRPr="00882F0F">
        <w:rPr>
          <w:b/>
          <w:bCs/>
        </w:rPr>
        <w:t>UCC-9 Collateral Descriptions &amp; Danger Of “Revenue Pledges” In MFTS:</w:t>
      </w:r>
      <w:r w:rsidR="00E215FB">
        <w:t xml:space="preserve"> </w:t>
      </w:r>
    </w:p>
    <w:p w14:paraId="5F3A988B" w14:textId="77777777" w:rsidR="00703E44" w:rsidRDefault="00703E44" w:rsidP="003C67C2">
      <w:pPr>
        <w:ind w:left="360"/>
        <w:jc w:val="both"/>
      </w:pPr>
    </w:p>
    <w:p w14:paraId="3CB9B0B9" w14:textId="77777777" w:rsidR="005320BE" w:rsidRDefault="008A5D4F" w:rsidP="003C67C2">
      <w:pPr>
        <w:ind w:left="360"/>
        <w:jc w:val="both"/>
      </w:pPr>
      <w:r>
        <w:t xml:space="preserve">       </w:t>
      </w:r>
      <w:r w:rsidR="00E215FB">
        <w:t xml:space="preserve">MFT Collateral Packages and the UCC Financing Statements must use the collateral </w:t>
      </w:r>
      <w:r>
        <w:br/>
        <w:t xml:space="preserve">       </w:t>
      </w:r>
      <w:r w:rsidR="00E215FB">
        <w:t xml:space="preserve">descriptions required by UCC-9 to be effective (although an “all assets” UCC-9 Collateral </w:t>
      </w:r>
      <w:r>
        <w:br/>
        <w:t xml:space="preserve">       </w:t>
      </w:r>
      <w:r w:rsidR="00E215FB">
        <w:t xml:space="preserve">Description is permitted). As noted above, MFTs based on project/development financings </w:t>
      </w:r>
      <w:r>
        <w:br/>
        <w:t xml:space="preserve">       </w:t>
      </w:r>
      <w:r w:rsidR="00E215FB">
        <w:t xml:space="preserve">will usually have real estate, equipment, cash, money, depository accounts, accounts (aka </w:t>
      </w:r>
      <w:r>
        <w:br/>
        <w:t xml:space="preserve">       </w:t>
      </w:r>
      <w:r w:rsidR="00E215FB">
        <w:t xml:space="preserve">accounts receivable) and investment property as collateral. The UCC Financing </w:t>
      </w:r>
      <w:r>
        <w:br/>
        <w:t xml:space="preserve">       </w:t>
      </w:r>
      <w:r w:rsidR="00E215FB">
        <w:t xml:space="preserve">Statements must use these UCC-9 Collateral descriptions or they may be ineffective. </w:t>
      </w:r>
      <w:r w:rsidR="00E215FB">
        <w:br/>
      </w:r>
      <w:r w:rsidR="00E215FB">
        <w:br/>
      </w:r>
      <w:r>
        <w:t xml:space="preserve">       </w:t>
      </w:r>
      <w:r w:rsidR="00421450">
        <w:t xml:space="preserve">One area of MFTs that remains a problem is MFTs secured by “revenues” including “gross </w:t>
      </w:r>
      <w:r w:rsidR="00623121">
        <w:br/>
        <w:t xml:space="preserve">       </w:t>
      </w:r>
      <w:r w:rsidR="00421450">
        <w:t xml:space="preserve">revenue pledges” and “net revenue pledges”. Many high yield MFTs have a pledge of </w:t>
      </w:r>
      <w:r w:rsidR="00623121">
        <w:br/>
        <w:t xml:space="preserve">       </w:t>
      </w:r>
      <w:r w:rsidR="00421450">
        <w:t xml:space="preserve">revenues including tax collections, govt fees/fines, and other govt revenues. UCC-9 does </w:t>
      </w:r>
      <w:r w:rsidR="00623121">
        <w:br/>
        <w:t xml:space="preserve">       </w:t>
      </w:r>
      <w:r w:rsidR="00421450">
        <w:t xml:space="preserve">not have “revenues” as a permitted UCC-9 Collateral description, so buy-side analysts </w:t>
      </w:r>
      <w:r w:rsidR="00623121">
        <w:br/>
        <w:t xml:space="preserve">       </w:t>
      </w:r>
      <w:r w:rsidR="00421450">
        <w:t xml:space="preserve">should be requesting the underwriting team to make sure that the security agreement and </w:t>
      </w:r>
      <w:r w:rsidR="00623121">
        <w:br/>
        <w:t xml:space="preserve">       </w:t>
      </w:r>
      <w:r w:rsidR="00421450">
        <w:t xml:space="preserve">UCC Financing Statements use the correct UCC-9 Collateral descriptions for “revenues”. </w:t>
      </w:r>
      <w:r w:rsidR="00623121">
        <w:br/>
        <w:t xml:space="preserve">       </w:t>
      </w:r>
      <w:r w:rsidR="00421450">
        <w:t xml:space="preserve">Usually, “revenues” are a combination of accounts, intangibles, cash, money, depository </w:t>
      </w:r>
      <w:r w:rsidR="00E263B1">
        <w:br/>
        <w:t xml:space="preserve">        </w:t>
      </w:r>
      <w:r w:rsidR="00421450">
        <w:t xml:space="preserve">accounts, and proceeds thereof—so those UCC-9 Collateral items should be used in </w:t>
      </w:r>
      <w:r w:rsidR="00E263B1">
        <w:t xml:space="preserve">     </w:t>
      </w:r>
      <w:r w:rsidR="00E263B1">
        <w:br/>
        <w:t xml:space="preserve">        </w:t>
      </w:r>
      <w:r w:rsidR="00421450">
        <w:t>addition to “revenues”.</w:t>
      </w:r>
    </w:p>
    <w:p w14:paraId="2F6543D4" w14:textId="77777777" w:rsidR="005320BE" w:rsidRDefault="005320BE" w:rsidP="003C67C2">
      <w:pPr>
        <w:ind w:left="360"/>
        <w:jc w:val="both"/>
      </w:pPr>
    </w:p>
    <w:p w14:paraId="0D409F05" w14:textId="4145190F" w:rsidR="00094759" w:rsidRDefault="005320BE" w:rsidP="001256FF">
      <w:pPr>
        <w:ind w:left="360"/>
        <w:jc w:val="both"/>
      </w:pPr>
      <w:r>
        <w:t xml:space="preserve">        Another common issue </w:t>
      </w:r>
      <w:r w:rsidR="00146B73">
        <w:t xml:space="preserve">in understanding a MCP </w:t>
      </w:r>
      <w:r w:rsidR="001256FF">
        <w:t xml:space="preserve">under the UCC 9 </w:t>
      </w:r>
      <w:r w:rsidR="00146B73">
        <w:t xml:space="preserve">is the difference </w:t>
      </w:r>
      <w:r w:rsidR="001256FF">
        <w:br/>
        <w:t xml:space="preserve">        </w:t>
      </w:r>
      <w:r w:rsidR="00146B73">
        <w:t>between a “gross</w:t>
      </w:r>
      <w:r w:rsidR="001256FF">
        <w:t xml:space="preserve"> </w:t>
      </w:r>
      <w:r w:rsidR="00146B73">
        <w:t>reven</w:t>
      </w:r>
      <w:r w:rsidR="00094759">
        <w:t>u</w:t>
      </w:r>
      <w:r w:rsidR="00146B73">
        <w:t>e pledge” an</w:t>
      </w:r>
      <w:r w:rsidR="00094759">
        <w:t>d</w:t>
      </w:r>
      <w:r w:rsidR="00146B73">
        <w:t xml:space="preserve"> “net revenue pledge”. </w:t>
      </w:r>
      <w:r w:rsidR="001256FF">
        <w:t xml:space="preserve">Both terms are not defined </w:t>
      </w:r>
      <w:r w:rsidR="001256FF">
        <w:br/>
        <w:t xml:space="preserve">        in the UCC 9. While the term “gross revenue” </w:t>
      </w:r>
      <w:r w:rsidR="001D0196">
        <w:t xml:space="preserve">seems to be </w:t>
      </w:r>
      <w:r w:rsidR="00FF2299">
        <w:t xml:space="preserve">intuitive, its definition in the </w:t>
      </w:r>
      <w:r w:rsidR="00FF2299">
        <w:br/>
        <w:t xml:space="preserve">        bond indenture, security agreement, UCC Financing Statement, </w:t>
      </w:r>
      <w:proofErr w:type="spellStart"/>
      <w:r w:rsidR="00FF2299">
        <w:t>etc</w:t>
      </w:r>
      <w:proofErr w:type="spellEnd"/>
      <w:r w:rsidR="00FF2299">
        <w:t xml:space="preserve"> should contain the </w:t>
      </w:r>
      <w:r w:rsidR="00FF2299">
        <w:br/>
        <w:t xml:space="preserve">        specific UCC 9 collateral items described above. However, the definition of “net </w:t>
      </w:r>
      <w:r w:rsidR="00FF2299">
        <w:br/>
        <w:t xml:space="preserve">        revenues” is not so intuitive and </w:t>
      </w:r>
      <w:r w:rsidR="00DE5555">
        <w:t xml:space="preserve">connotes </w:t>
      </w:r>
      <w:proofErr w:type="gramStart"/>
      <w:r w:rsidR="00DE5555">
        <w:t>that certain “expenses</w:t>
      </w:r>
      <w:r w:rsidR="00261345">
        <w:t>”</w:t>
      </w:r>
      <w:proofErr w:type="gramEnd"/>
      <w:r w:rsidR="00DE5555">
        <w:t>, adjustments</w:t>
      </w:r>
      <w:r w:rsidR="00261345">
        <w:t xml:space="preserve"> and </w:t>
      </w:r>
      <w:r w:rsidR="00980B36">
        <w:br/>
        <w:t xml:space="preserve">        </w:t>
      </w:r>
      <w:r w:rsidR="00261345">
        <w:t>exclusions are applied</w:t>
      </w:r>
      <w:r w:rsidR="00A569B9">
        <w:t xml:space="preserve"> to “gross revenues”</w:t>
      </w:r>
      <w:r w:rsidR="00FF2299">
        <w:t>.</w:t>
      </w:r>
      <w:r w:rsidR="00A569B9">
        <w:t xml:space="preserve"> In this </w:t>
      </w:r>
      <w:r w:rsidR="00980B36">
        <w:t xml:space="preserve">case, the POS should have express </w:t>
      </w:r>
      <w:r w:rsidR="00980B36">
        <w:br/>
        <w:t xml:space="preserve">        disclosure on this point and provide a full description of these expenses, adjustments and </w:t>
      </w:r>
      <w:r w:rsidR="00980B36">
        <w:br/>
        <w:t xml:space="preserve">        exclusions with references to </w:t>
      </w:r>
      <w:r w:rsidR="00437DE1">
        <w:t xml:space="preserve">where and how they will </w:t>
      </w:r>
      <w:proofErr w:type="gramStart"/>
      <w:r w:rsidR="00437DE1">
        <w:t>disclosed</w:t>
      </w:r>
      <w:proofErr w:type="gramEnd"/>
      <w:r w:rsidR="00437DE1">
        <w:t xml:space="preserve"> by the issuer, borrower, </w:t>
      </w:r>
      <w:r w:rsidR="003650D2">
        <w:br/>
        <w:t xml:space="preserve">        </w:t>
      </w:r>
      <w:r w:rsidR="00437DE1">
        <w:t>obligor and pledgor</w:t>
      </w:r>
      <w:r w:rsidR="003650D2">
        <w:t xml:space="preserve"> in their financial statements or other financial report or disclosure </w:t>
      </w:r>
      <w:r w:rsidR="003650D2">
        <w:br/>
        <w:t xml:space="preserve">        filing.</w:t>
      </w:r>
    </w:p>
    <w:p w14:paraId="00A59BD5" w14:textId="50965AB7" w:rsidR="005D4164" w:rsidRPr="00C14941" w:rsidRDefault="005320BE" w:rsidP="003040F5">
      <w:pPr>
        <w:ind w:left="360"/>
        <w:jc w:val="both"/>
        <w:rPr>
          <w:b/>
          <w:bCs/>
          <w:szCs w:val="24"/>
        </w:rPr>
      </w:pPr>
      <w:r>
        <w:br/>
      </w:r>
      <w:r w:rsidR="005B5607">
        <w:rPr>
          <w:szCs w:val="24"/>
        </w:rPr>
        <w:t>M</w:t>
      </w:r>
      <w:r w:rsidR="00D85AF2" w:rsidRPr="00C14941">
        <w:rPr>
          <w:b/>
          <w:bCs/>
          <w:szCs w:val="24"/>
        </w:rPr>
        <w:t>. Statutory</w:t>
      </w:r>
      <w:r w:rsidR="005D4164" w:rsidRPr="00C14941">
        <w:rPr>
          <w:b/>
          <w:bCs/>
          <w:szCs w:val="24"/>
        </w:rPr>
        <w:t xml:space="preserve"> Intercept Agreements:</w:t>
      </w:r>
      <w:r w:rsidR="00C14941" w:rsidRPr="002D0678">
        <w:rPr>
          <w:b/>
          <w:bCs/>
          <w:szCs w:val="24"/>
        </w:rPr>
        <w:t xml:space="preserve"> </w:t>
      </w:r>
      <w:r w:rsidR="00C14941" w:rsidRPr="002D0678">
        <w:rPr>
          <w:b/>
          <w:bCs/>
          <w:color w:val="FF0000"/>
          <w:szCs w:val="24"/>
        </w:rPr>
        <w:t>(GIL)</w:t>
      </w:r>
    </w:p>
    <w:p w14:paraId="0BE29729" w14:textId="77777777" w:rsidR="005D4164" w:rsidRPr="00C14941" w:rsidRDefault="005D4164" w:rsidP="003040F5">
      <w:pPr>
        <w:ind w:left="360"/>
        <w:jc w:val="both"/>
        <w:rPr>
          <w:b/>
          <w:bCs/>
          <w:szCs w:val="24"/>
        </w:rPr>
      </w:pPr>
    </w:p>
    <w:p w14:paraId="1E97C386" w14:textId="21A0B3A6" w:rsidR="00CB73DF" w:rsidRDefault="002F20C3" w:rsidP="000A38DA">
      <w:pPr>
        <w:spacing w:after="160" w:line="259" w:lineRule="auto"/>
        <w:contextualSpacing/>
        <w:jc w:val="both"/>
      </w:pPr>
      <w:r>
        <w:t xml:space="preserve">             </w:t>
      </w:r>
      <w:r w:rsidRPr="002F20C3">
        <w:t xml:space="preserve">Statutory Intercept Agreements on revenues/funds payable to a govt borrower are found </w:t>
      </w:r>
      <w:r>
        <w:t xml:space="preserve">  </w:t>
      </w:r>
      <w:r>
        <w:br/>
        <w:t xml:space="preserve">             </w:t>
      </w:r>
      <w:r w:rsidRPr="002F20C3">
        <w:t xml:space="preserve">in several types of MFTs including high-yield deals involving charter school MFTs. These </w:t>
      </w:r>
      <w:r>
        <w:br/>
        <w:t xml:space="preserve">             </w:t>
      </w:r>
      <w:r w:rsidRPr="002F20C3">
        <w:t xml:space="preserve">statutory intercepts may not create a Statutory Lien on the funds/revenues payable to the </w:t>
      </w:r>
      <w:r>
        <w:br/>
        <w:t xml:space="preserve">             </w:t>
      </w:r>
      <w:r w:rsidRPr="002F20C3">
        <w:t xml:space="preserve">govt borrower under applicable state law. However, where authorized by state statute, the </w:t>
      </w:r>
      <w:r>
        <w:br/>
        <w:t xml:space="preserve">             </w:t>
      </w:r>
      <w:r w:rsidRPr="002F20C3">
        <w:t xml:space="preserve">intercept might create a Statutory Lien if the statute uses the word “lien” and the lien arises </w:t>
      </w:r>
      <w:r>
        <w:br/>
        <w:t xml:space="preserve">             </w:t>
      </w:r>
      <w:r w:rsidRPr="002F20C3">
        <w:t xml:space="preserve">at the time the intercept is created (and not only if/when the intercept is requested by the </w:t>
      </w:r>
      <w:r>
        <w:br/>
      </w:r>
      <w:r>
        <w:lastRenderedPageBreak/>
        <w:t xml:space="preserve">             </w:t>
      </w:r>
      <w:r w:rsidRPr="002F20C3">
        <w:t xml:space="preserve">Bond Trustee. For example, AZ 15-183.S:  Charter schools may pledge, assign or </w:t>
      </w:r>
      <w:r>
        <w:br/>
        <w:t xml:space="preserve">             </w:t>
      </w:r>
      <w:r w:rsidRPr="002F20C3">
        <w:t>encumber their assets to be used as collateral for loans or extensions of credit</w:t>
      </w:r>
      <w:r w:rsidR="00CB73DF">
        <w:br/>
      </w:r>
    </w:p>
    <w:p w14:paraId="4241BDCD" w14:textId="45AEE7DD" w:rsidR="00D3666A" w:rsidRDefault="00CB73DF" w:rsidP="0093485A">
      <w:r w:rsidRPr="00140CCA">
        <w:rPr>
          <w:b/>
          <w:bCs/>
        </w:rPr>
        <w:t xml:space="preserve">      </w:t>
      </w:r>
      <w:r w:rsidR="005B5607" w:rsidRPr="00140CCA">
        <w:rPr>
          <w:b/>
          <w:bCs/>
        </w:rPr>
        <w:t>N</w:t>
      </w:r>
      <w:r w:rsidRPr="00140CCA">
        <w:rPr>
          <w:b/>
          <w:bCs/>
        </w:rPr>
        <w:t xml:space="preserve">. Recourse VS. Non-Recourse Debt &amp; The Importance </w:t>
      </w:r>
      <w:proofErr w:type="gramStart"/>
      <w:r w:rsidRPr="00140CCA">
        <w:rPr>
          <w:b/>
          <w:bCs/>
        </w:rPr>
        <w:t>Of</w:t>
      </w:r>
      <w:proofErr w:type="gramEnd"/>
      <w:r w:rsidRPr="00140CCA">
        <w:rPr>
          <w:b/>
          <w:bCs/>
        </w:rPr>
        <w:t xml:space="preserve"> A MCP </w:t>
      </w:r>
      <w:r w:rsidRPr="00140CCA">
        <w:rPr>
          <w:b/>
          <w:bCs/>
          <w:color w:val="FF0000"/>
        </w:rPr>
        <w:t>GIL</w:t>
      </w:r>
      <w:r w:rsidRPr="00140CCA">
        <w:rPr>
          <w:b/>
          <w:bCs/>
        </w:rPr>
        <w:br/>
      </w:r>
      <w:r w:rsidRPr="00C615EA">
        <w:rPr>
          <w:b/>
          <w:bCs/>
        </w:rPr>
        <w:br/>
      </w:r>
      <w:r>
        <w:t xml:space="preserve">            </w:t>
      </w:r>
      <w:r w:rsidRPr="00320BDA">
        <w:t>Debt issued for any MFT can either be recourse to the borrower/obligor or “non-</w:t>
      </w:r>
      <w:r>
        <w:br/>
        <w:t xml:space="preserve">            </w:t>
      </w:r>
      <w:r w:rsidRPr="00320BDA">
        <w:t xml:space="preserve">recourse”.  If the debt is issued as “non-recourse” debt by the issuer, the issuer is only </w:t>
      </w:r>
      <w:r>
        <w:br/>
        <w:t xml:space="preserve">            </w:t>
      </w:r>
      <w:r w:rsidRPr="00320BDA">
        <w:t xml:space="preserve">liable to pay the debt from the MCP and not its other “non-pledged” assets. In these </w:t>
      </w:r>
      <w:r>
        <w:br/>
        <w:t xml:space="preserve">            </w:t>
      </w:r>
      <w:r w:rsidRPr="00320BDA">
        <w:t xml:space="preserve">cases, the support/strength of the MCP is critically important to repayment of the MFT </w:t>
      </w:r>
      <w:r>
        <w:br/>
        <w:t xml:space="preserve">            </w:t>
      </w:r>
      <w:r w:rsidRPr="00320BDA">
        <w:t xml:space="preserve">debt. However, it is often not clear in the POS if the debt for a MFT is “recourse” or </w:t>
      </w:r>
      <w:r>
        <w:br/>
        <w:t xml:space="preserve">             </w:t>
      </w:r>
      <w:r w:rsidRPr="00320BDA">
        <w:t xml:space="preserve">“non-recourse” to the issuer/borrower/obligor, so there should be POS disclosure on this </w:t>
      </w:r>
      <w:r>
        <w:br/>
        <w:t xml:space="preserve">             </w:t>
      </w:r>
      <w:r w:rsidRPr="00320BDA">
        <w:t xml:space="preserve">important, and municipal analysts should request this disclosure if it is not present in the </w:t>
      </w:r>
      <w:r>
        <w:br/>
        <w:t xml:space="preserve">             </w:t>
      </w:r>
      <w:r w:rsidRPr="00320BDA">
        <w:t>POS.</w:t>
      </w:r>
      <w:r>
        <w:br/>
      </w:r>
      <w:r>
        <w:br/>
        <w:t xml:space="preserve">             </w:t>
      </w:r>
      <w:r w:rsidRPr="00320BDA">
        <w:t xml:space="preserve">If the debt is issued as “recourse” debt by the issuer, the issuer is liable to pay the debt </w:t>
      </w:r>
      <w:r>
        <w:br/>
        <w:t xml:space="preserve">             </w:t>
      </w:r>
      <w:r w:rsidRPr="00320BDA">
        <w:t xml:space="preserve">from not only the MCP, but also its other “non-pledged assets” if the MCP is not </w:t>
      </w:r>
      <w:r>
        <w:br/>
        <w:t xml:space="preserve">             </w:t>
      </w:r>
      <w:r w:rsidRPr="00320BDA">
        <w:t xml:space="preserve">sufficient to pay off the debt. </w:t>
      </w:r>
      <w:proofErr w:type="gramStart"/>
      <w:r w:rsidRPr="00320BDA">
        <w:t>So</w:t>
      </w:r>
      <w:proofErr w:type="gramEnd"/>
      <w:r w:rsidRPr="00320BDA">
        <w:t xml:space="preserve"> in “recourse” debt MFTs, the support/strength of the </w:t>
      </w:r>
      <w:r>
        <w:br/>
        <w:t xml:space="preserve">             </w:t>
      </w:r>
      <w:r w:rsidRPr="00320BDA">
        <w:t xml:space="preserve">MCP may not need to be as robust as if the debt is “non-recourse”. However, the bond </w:t>
      </w:r>
      <w:r>
        <w:br/>
        <w:t xml:space="preserve">             </w:t>
      </w:r>
      <w:r w:rsidRPr="00320BDA">
        <w:t xml:space="preserve">trustee has no superior or special claim to these “non-pledged” assets unless it gets a </w:t>
      </w:r>
      <w:r>
        <w:br/>
        <w:t xml:space="preserve">             </w:t>
      </w:r>
      <w:r w:rsidRPr="00320BDA">
        <w:t xml:space="preserve">judgment against the issuer and enforces its judgment lien against those “non-pledged” </w:t>
      </w:r>
      <w:r>
        <w:br/>
        <w:t xml:space="preserve">             </w:t>
      </w:r>
      <w:r w:rsidRPr="00320BDA">
        <w:t>assets. In addition, in certain states, getting a judgment/judicial lien on these “non-</w:t>
      </w:r>
      <w:r>
        <w:br/>
        <w:t xml:space="preserve">             </w:t>
      </w:r>
      <w:r w:rsidRPr="00320BDA">
        <w:t xml:space="preserve">pledged” assets may be limited or even prohibited. So municipal analysts should request </w:t>
      </w:r>
      <w:r>
        <w:br/>
        <w:t xml:space="preserve">             </w:t>
      </w:r>
      <w:r w:rsidRPr="00320BDA">
        <w:t>a legal opinion on the enforceability of any judgement/judicial lien on the issuer’s non-</w:t>
      </w:r>
      <w:r>
        <w:br/>
        <w:t xml:space="preserve">             </w:t>
      </w:r>
      <w:r w:rsidRPr="00320BDA">
        <w:t xml:space="preserve">pledged assets and adequate POS risk disclosure regarding any uncertainties in the </w:t>
      </w:r>
      <w:r>
        <w:br/>
        <w:t xml:space="preserve">             </w:t>
      </w:r>
      <w:r w:rsidRPr="00320BDA">
        <w:t xml:space="preserve">enforcement of a judgment/judicial lien against the issuer’s “non-pledged” assets. </w:t>
      </w:r>
      <w:r w:rsidR="009E3394">
        <w:br/>
      </w:r>
    </w:p>
    <w:p w14:paraId="58CAD7B2" w14:textId="6201E512" w:rsidR="002469A3" w:rsidRPr="00882F0F" w:rsidRDefault="00867B37" w:rsidP="003040F5">
      <w:pPr>
        <w:jc w:val="both"/>
        <w:rPr>
          <w:b/>
          <w:bCs/>
          <w:color w:val="FF0000"/>
        </w:rPr>
      </w:pPr>
      <w:r>
        <w:t xml:space="preserve">     </w:t>
      </w:r>
      <w:r w:rsidR="005B5607">
        <w:t>O</w:t>
      </w:r>
      <w:r w:rsidR="005B60D6">
        <w:t>.</w:t>
      </w:r>
      <w:r w:rsidR="0015215B">
        <w:t xml:space="preserve"> </w:t>
      </w:r>
      <w:r w:rsidR="002469A3" w:rsidRPr="00882F0F">
        <w:rPr>
          <w:b/>
          <w:bCs/>
        </w:rPr>
        <w:t xml:space="preserve">Importance Of Continuing Disclosure Agreements Addressing Status Of </w:t>
      </w:r>
      <w:r w:rsidRPr="00882F0F">
        <w:rPr>
          <w:b/>
          <w:bCs/>
        </w:rPr>
        <w:t xml:space="preserve">   </w:t>
      </w:r>
      <w:r w:rsidRPr="00882F0F">
        <w:rPr>
          <w:b/>
          <w:bCs/>
        </w:rPr>
        <w:br/>
        <w:t xml:space="preserve">            </w:t>
      </w:r>
      <w:r w:rsidR="0015215B" w:rsidRPr="00882F0F">
        <w:rPr>
          <w:b/>
          <w:bCs/>
        </w:rPr>
        <w:t xml:space="preserve"> </w:t>
      </w:r>
      <w:r w:rsidR="002469A3" w:rsidRPr="00882F0F">
        <w:rPr>
          <w:b/>
          <w:bCs/>
        </w:rPr>
        <w:t>Collateral</w:t>
      </w:r>
      <w:r w:rsidR="009A4BF4" w:rsidRPr="00882F0F">
        <w:rPr>
          <w:b/>
          <w:bCs/>
        </w:rPr>
        <w:t xml:space="preserve">/Clarifying “Material Events” Under SEC Rule 15c2-12 </w:t>
      </w:r>
      <w:r w:rsidR="005830F0" w:rsidRPr="00882F0F">
        <w:rPr>
          <w:b/>
          <w:bCs/>
        </w:rPr>
        <w:t xml:space="preserve">Respecting </w:t>
      </w:r>
      <w:r w:rsidR="0015215B">
        <w:rPr>
          <w:b/>
          <w:bCs/>
        </w:rPr>
        <w:br/>
        <w:t xml:space="preserve">             </w:t>
      </w:r>
      <w:proofErr w:type="gramStart"/>
      <w:r w:rsidR="005830F0" w:rsidRPr="00882F0F">
        <w:rPr>
          <w:b/>
          <w:bCs/>
        </w:rPr>
        <w:t>Collateral</w:t>
      </w:r>
      <w:r w:rsidR="006F5EB4" w:rsidRPr="00882F0F">
        <w:rPr>
          <w:b/>
          <w:bCs/>
        </w:rPr>
        <w:t xml:space="preserve"> </w:t>
      </w:r>
      <w:r w:rsidR="0015215B" w:rsidRPr="00882F0F">
        <w:rPr>
          <w:b/>
          <w:bCs/>
        </w:rPr>
        <w:t xml:space="preserve"> </w:t>
      </w:r>
      <w:r w:rsidR="006F5EB4" w:rsidRPr="00882F0F">
        <w:rPr>
          <w:b/>
          <w:bCs/>
          <w:color w:val="FF0000"/>
        </w:rPr>
        <w:t>GIL</w:t>
      </w:r>
      <w:proofErr w:type="gramEnd"/>
    </w:p>
    <w:p w14:paraId="53F5A6A1" w14:textId="34C4F6D5" w:rsidR="00CA0E65" w:rsidRPr="00882F0F" w:rsidRDefault="00CA0E65" w:rsidP="00CA0E65">
      <w:pPr>
        <w:jc w:val="both"/>
        <w:rPr>
          <w:b/>
          <w:bCs/>
          <w:sz w:val="28"/>
          <w:szCs w:val="28"/>
        </w:rPr>
      </w:pPr>
      <w:r>
        <w:br/>
      </w:r>
      <w:r w:rsidR="00132061" w:rsidRPr="00140CCA">
        <w:rPr>
          <w:b/>
          <w:bCs/>
          <w:sz w:val="28"/>
          <w:szCs w:val="28"/>
          <w:u w:val="single"/>
        </w:rPr>
        <w:t>RECOMMENDED</w:t>
      </w:r>
      <w:r w:rsidR="008953B2">
        <w:rPr>
          <w:b/>
          <w:bCs/>
          <w:sz w:val="28"/>
          <w:szCs w:val="28"/>
          <w:u w:val="single"/>
        </w:rPr>
        <w:t xml:space="preserve"> </w:t>
      </w:r>
      <w:r w:rsidR="005E3E98">
        <w:rPr>
          <w:b/>
          <w:bCs/>
          <w:sz w:val="28"/>
          <w:szCs w:val="28"/>
          <w:u w:val="single"/>
        </w:rPr>
        <w:t>MCP ADMINISTRATIVE RIGHTS</w:t>
      </w:r>
      <w:r w:rsidR="00245878" w:rsidRPr="00140CCA">
        <w:rPr>
          <w:b/>
          <w:bCs/>
          <w:sz w:val="28"/>
          <w:szCs w:val="28"/>
          <w:u w:val="single"/>
        </w:rPr>
        <w:t xml:space="preserve"> OF </w:t>
      </w:r>
      <w:r w:rsidR="00132061" w:rsidRPr="00140CCA">
        <w:rPr>
          <w:b/>
          <w:bCs/>
          <w:sz w:val="28"/>
          <w:szCs w:val="28"/>
          <w:u w:val="single"/>
        </w:rPr>
        <w:t>BOND TRUSTEE</w:t>
      </w:r>
      <w:r w:rsidR="00245878" w:rsidRPr="00140CCA">
        <w:rPr>
          <w:b/>
          <w:bCs/>
          <w:sz w:val="28"/>
          <w:szCs w:val="28"/>
          <w:u w:val="single"/>
        </w:rPr>
        <w:t xml:space="preserve">; </w:t>
      </w:r>
      <w:r w:rsidR="0023794E" w:rsidRPr="00140CCA">
        <w:rPr>
          <w:b/>
          <w:bCs/>
          <w:sz w:val="28"/>
          <w:szCs w:val="28"/>
          <w:u w:val="single"/>
        </w:rPr>
        <w:t>NFMA</w:t>
      </w:r>
      <w:r w:rsidR="00B70B50" w:rsidRPr="00140CCA">
        <w:rPr>
          <w:b/>
          <w:bCs/>
          <w:sz w:val="28"/>
          <w:szCs w:val="28"/>
          <w:u w:val="single"/>
        </w:rPr>
        <w:t xml:space="preserve"> RECOMMENDED </w:t>
      </w:r>
      <w:r w:rsidR="00157B9D" w:rsidRPr="00140CCA">
        <w:rPr>
          <w:b/>
          <w:bCs/>
          <w:sz w:val="28"/>
          <w:szCs w:val="28"/>
          <w:u w:val="single"/>
        </w:rPr>
        <w:t xml:space="preserve">MCP </w:t>
      </w:r>
      <w:r w:rsidR="00B70B50" w:rsidRPr="00140CCA">
        <w:rPr>
          <w:b/>
          <w:bCs/>
          <w:sz w:val="28"/>
          <w:szCs w:val="28"/>
          <w:u w:val="single"/>
        </w:rPr>
        <w:t>INDENTURE ADDENDUM</w:t>
      </w:r>
      <w:r w:rsidR="009549CE" w:rsidRPr="00882F0F">
        <w:rPr>
          <w:b/>
          <w:bCs/>
          <w:sz w:val="28"/>
          <w:szCs w:val="28"/>
        </w:rPr>
        <w:t xml:space="preserve"> </w:t>
      </w:r>
      <w:r w:rsidR="009549CE" w:rsidRPr="00882F0F">
        <w:rPr>
          <w:b/>
          <w:bCs/>
          <w:color w:val="FF0000"/>
          <w:sz w:val="28"/>
          <w:szCs w:val="28"/>
        </w:rPr>
        <w:t>GIL</w:t>
      </w:r>
    </w:p>
    <w:p w14:paraId="644C12B0" w14:textId="1A18980E" w:rsidR="000C4051" w:rsidRDefault="00293517" w:rsidP="00CA0E65">
      <w:pPr>
        <w:jc w:val="both"/>
      </w:pPr>
      <w:r>
        <w:br/>
        <w:t xml:space="preserve">     Attached to this Whitepaper in Appendix ___ is a</w:t>
      </w:r>
      <w:r w:rsidR="001C1E2C">
        <w:t xml:space="preserve"> sample</w:t>
      </w:r>
      <w:r>
        <w:t xml:space="preserve"> </w:t>
      </w:r>
      <w:r w:rsidR="004A5AC5">
        <w:t>A</w:t>
      </w:r>
      <w:r>
        <w:t xml:space="preserve">ddendum </w:t>
      </w:r>
      <w:r w:rsidR="001C1E2C">
        <w:t>to a bond indenture that contains many of the key</w:t>
      </w:r>
      <w:r w:rsidR="00DE71D0">
        <w:t xml:space="preserve"> rights for bond trustees</w:t>
      </w:r>
      <w:r w:rsidR="008953B2">
        <w:t xml:space="preserve"> regarding post-closing administration of the </w:t>
      </w:r>
      <w:proofErr w:type="gramStart"/>
      <w:r w:rsidR="008953B2">
        <w:t xml:space="preserve">MCP </w:t>
      </w:r>
      <w:r w:rsidR="001C1E2C">
        <w:t xml:space="preserve"> rec</w:t>
      </w:r>
      <w:proofErr w:type="gramEnd"/>
      <w:r w:rsidR="005E3E98">
        <w:t xml:space="preserve">  </w:t>
      </w:r>
      <w:proofErr w:type="spellStart"/>
      <w:r w:rsidR="001C1E2C">
        <w:t>ommended</w:t>
      </w:r>
      <w:proofErr w:type="spellEnd"/>
      <w:r w:rsidR="001C1E2C">
        <w:t xml:space="preserve"> by the NFMA in this Whitepaper</w:t>
      </w:r>
      <w:r w:rsidR="004A5AC5">
        <w:t>. Muni analysts should feel free to forward this sample Addendum to underwriter</w:t>
      </w:r>
      <w:r w:rsidR="00C45F5D">
        <w:t xml:space="preserve"> team</w:t>
      </w:r>
      <w:r w:rsidR="00EE272C">
        <w:t>, issuer, bond trustee and borrower</w:t>
      </w:r>
      <w:r w:rsidR="00C45F5D">
        <w:t>’s counsel and request the Addendum be added to the bond indenture.</w:t>
      </w:r>
      <w:r w:rsidR="009639D4">
        <w:t xml:space="preserve"> The sample Addendum addresses the following matters</w:t>
      </w:r>
      <w:r w:rsidR="000C4051">
        <w:t>:</w:t>
      </w:r>
    </w:p>
    <w:p w14:paraId="4B12DEB7" w14:textId="41560594" w:rsidR="00600AE9" w:rsidRPr="00140CCA" w:rsidRDefault="000C4051" w:rsidP="00140CCA">
      <w:pPr>
        <w:jc w:val="both"/>
      </w:pPr>
      <w:r>
        <w:br/>
      </w:r>
      <w:r w:rsidRPr="00140CCA">
        <w:t xml:space="preserve">       A.</w:t>
      </w:r>
      <w:r w:rsidR="00600AE9" w:rsidRPr="00140CCA">
        <w:t xml:space="preserve"> </w:t>
      </w:r>
      <w:r w:rsidR="009B6FFC" w:rsidRPr="00140CCA">
        <w:t>Annual UCC &amp; Lien Searches</w:t>
      </w:r>
      <w:r w:rsidR="00421387" w:rsidRPr="00140CCA">
        <w:t xml:space="preserve"> </w:t>
      </w:r>
      <w:proofErr w:type="gramStart"/>
      <w:r w:rsidR="00421387" w:rsidRPr="00140CCA">
        <w:t>By</w:t>
      </w:r>
      <w:proofErr w:type="gramEnd"/>
      <w:r w:rsidR="00421387" w:rsidRPr="00140CCA">
        <w:t xml:space="preserve"> Bond Trustee</w:t>
      </w:r>
      <w:r w:rsidR="00EC3869" w:rsidRPr="00140CCA">
        <w:br/>
      </w:r>
      <w:r w:rsidR="00600AE9" w:rsidRPr="00140CCA">
        <w:t xml:space="preserve">       B. </w:t>
      </w:r>
      <w:r w:rsidR="002A6947" w:rsidRPr="00140CCA">
        <w:t>Annual Equipment Collateral Verifications</w:t>
      </w:r>
      <w:r w:rsidR="00421387" w:rsidRPr="00140CCA">
        <w:t xml:space="preserve"> By Bond Trustee</w:t>
      </w:r>
      <w:r w:rsidR="00EC3869" w:rsidRPr="00140CCA">
        <w:br/>
      </w:r>
      <w:r w:rsidR="00600AE9" w:rsidRPr="00140CCA">
        <w:t xml:space="preserve">       C. </w:t>
      </w:r>
      <w:r w:rsidR="00A61F7E" w:rsidRPr="00140CCA">
        <w:t>Right To Inspect Collateral &amp; Get Physical Needs Assessment</w:t>
      </w:r>
      <w:r w:rsidR="00EC3869" w:rsidRPr="00140CCA">
        <w:br/>
      </w:r>
      <w:r w:rsidR="00600AE9" w:rsidRPr="00140CCA">
        <w:t xml:space="preserve">       D.     </w:t>
      </w:r>
      <w:r w:rsidR="00CD54A3" w:rsidRPr="00140CCA">
        <w:t>Nega</w:t>
      </w:r>
      <w:r w:rsidR="00431C3F" w:rsidRPr="00140CCA">
        <w:t>tive Pledge Covenant</w:t>
      </w:r>
    </w:p>
    <w:p w14:paraId="3B6DED7E" w14:textId="3AC8F95B" w:rsidR="0068751E" w:rsidRPr="00140CCA" w:rsidRDefault="0068751E" w:rsidP="00140CCA">
      <w:pPr>
        <w:pStyle w:val="ListParagraph"/>
        <w:ind w:left="660"/>
        <w:jc w:val="both"/>
      </w:pPr>
      <w:r w:rsidRPr="00140CCA">
        <w:br/>
      </w:r>
    </w:p>
    <w:p w14:paraId="55A28040" w14:textId="1C20E62B" w:rsidR="00C54DBA" w:rsidRPr="00140CCA" w:rsidRDefault="0068751E" w:rsidP="002D0678">
      <w:pPr>
        <w:jc w:val="both"/>
      </w:pPr>
      <w:r w:rsidRPr="00140CCA">
        <w:lastRenderedPageBreak/>
        <w:t xml:space="preserve">       E.</w:t>
      </w:r>
      <w:r w:rsidR="005E3E98" w:rsidRPr="00140CCA">
        <w:t xml:space="preserve"> </w:t>
      </w:r>
      <w:r w:rsidR="00C54DBA" w:rsidRPr="00140CCA">
        <w:t xml:space="preserve">Right </w:t>
      </w:r>
      <w:proofErr w:type="gramStart"/>
      <w:r w:rsidR="00C54DBA" w:rsidRPr="00140CCA">
        <w:t>To</w:t>
      </w:r>
      <w:proofErr w:type="gramEnd"/>
      <w:r w:rsidR="00C54DBA" w:rsidRPr="00140CCA">
        <w:t xml:space="preserve"> Get Annual Insurance Certificate</w:t>
      </w:r>
    </w:p>
    <w:p w14:paraId="678F23AF" w14:textId="70694A97" w:rsidR="00C1453C" w:rsidRPr="00140CCA" w:rsidRDefault="00C1453C" w:rsidP="002D0678">
      <w:pPr>
        <w:jc w:val="both"/>
      </w:pPr>
      <w:r w:rsidRPr="00140CCA">
        <w:t xml:space="preserve">       F. Right </w:t>
      </w:r>
      <w:proofErr w:type="gramStart"/>
      <w:r w:rsidRPr="00140CCA">
        <w:t>To</w:t>
      </w:r>
      <w:proofErr w:type="gramEnd"/>
      <w:r w:rsidRPr="00140CCA">
        <w:t xml:space="preserve"> Annual Confirmation Of Bank Depository Accounts</w:t>
      </w:r>
    </w:p>
    <w:p w14:paraId="60B50688" w14:textId="474D8DF4" w:rsidR="00C1453C" w:rsidRPr="00140CCA" w:rsidRDefault="00C1453C" w:rsidP="002D0678">
      <w:pPr>
        <w:jc w:val="both"/>
      </w:pPr>
      <w:r w:rsidRPr="00140CCA">
        <w:t xml:space="preserve">       G. </w:t>
      </w:r>
      <w:r w:rsidR="00676190" w:rsidRPr="00140CCA">
        <w:t xml:space="preserve">Right </w:t>
      </w:r>
      <w:proofErr w:type="gramStart"/>
      <w:r w:rsidR="00676190" w:rsidRPr="00140CCA">
        <w:t>To</w:t>
      </w:r>
      <w:proofErr w:type="gramEnd"/>
      <w:r w:rsidR="00676190" w:rsidRPr="00140CCA">
        <w:t xml:space="preserve"> Post Draw Certificates</w:t>
      </w:r>
      <w:r w:rsidR="00140CCA" w:rsidRPr="00140CCA">
        <w:t xml:space="preserve"> &amp; Status Of Trustee Fund Account Balances &amp; </w:t>
      </w:r>
      <w:r w:rsidR="00140CCA" w:rsidRPr="00140CCA">
        <w:br/>
        <w:t xml:space="preserve">             Activity</w:t>
      </w:r>
    </w:p>
    <w:p w14:paraId="4401ED54" w14:textId="301EFD11" w:rsidR="00140CCA" w:rsidRPr="00140CCA" w:rsidRDefault="00140CCA" w:rsidP="002D0678">
      <w:pPr>
        <w:jc w:val="both"/>
      </w:pPr>
      <w:r w:rsidRPr="00140CCA">
        <w:t xml:space="preserve">       H. [OTHERS??]</w:t>
      </w:r>
    </w:p>
    <w:p w14:paraId="6FC9572D" w14:textId="77777777" w:rsidR="00814A2F" w:rsidRPr="00140CCA" w:rsidRDefault="00480FE1" w:rsidP="00480FE1">
      <w:pPr>
        <w:jc w:val="both"/>
        <w:rPr>
          <w:b/>
          <w:bCs/>
          <w:sz w:val="28"/>
          <w:szCs w:val="28"/>
          <w:u w:val="thick"/>
        </w:rPr>
      </w:pPr>
      <w:r>
        <w:br/>
      </w:r>
      <w:r w:rsidR="00906684" w:rsidRPr="00140CCA">
        <w:rPr>
          <w:b/>
          <w:bCs/>
          <w:sz w:val="28"/>
          <w:szCs w:val="28"/>
          <w:u w:val="thick"/>
        </w:rPr>
        <w:t>CONCLUSION</w:t>
      </w:r>
      <w:r w:rsidR="00814A2F" w:rsidRPr="00140CCA">
        <w:rPr>
          <w:b/>
          <w:bCs/>
          <w:sz w:val="28"/>
          <w:szCs w:val="28"/>
          <w:u w:val="thick"/>
        </w:rPr>
        <w:t xml:space="preserve"> &amp; BENEFITS OF EVALUATING COLLATERAL PACKAGES IN MUNICIPAL FIMANCE TRANSACTIONS:</w:t>
      </w:r>
    </w:p>
    <w:p w14:paraId="3662509D" w14:textId="1BA1E6AF" w:rsidR="00C05B59" w:rsidRPr="002F2462" w:rsidRDefault="00814A2F" w:rsidP="00882F0F">
      <w:pPr>
        <w:ind w:left="720"/>
        <w:contextualSpacing/>
        <w:rPr>
          <w:kern w:val="2"/>
          <w14:ligatures w14:val="standardContextual"/>
        </w:rPr>
      </w:pPr>
      <w:r w:rsidRPr="002F2462">
        <w:rPr>
          <w:b/>
          <w:bCs/>
          <w:szCs w:val="28"/>
        </w:rPr>
        <w:br/>
      </w:r>
      <w:r w:rsidR="00C05B59" w:rsidRPr="002F2462">
        <w:rPr>
          <w:kern w:val="2"/>
          <w14:ligatures w14:val="standardContextual"/>
        </w:rPr>
        <w:t xml:space="preserve">Bondholder recovery in MFTs is highly dependent on the quality and sufficiency of the Collateral Package supporting the MFT especially in high yield MFTS. As used herein, “Collateral” includes both hard collateral (real estate/equipment) and the revenues/taxes (e.g., sales taxes) pledged to repay the debt. Collateral Package analysis is especially important for high yield MFTs as they fund riskier start-up projects like hotels, multi-family housing, mixed use retail developments, recycling/bio-gas plants, industrial projects, business parks, etc. However, it seems that many high yield MFT offering statements do not proved adequate disclosure of the nature and strength of the “pledges” and “liens” that create the Collateral Package, nor the enforcement risks involved in liquidating the Collateral Package. </w:t>
      </w:r>
      <w:r w:rsidR="00C05B59" w:rsidRPr="002F2462">
        <w:rPr>
          <w:b/>
          <w:kern w:val="2"/>
          <w14:ligatures w14:val="standardContextual"/>
        </w:rPr>
        <w:t>Consequently, NFMA analysts need to conduct a Collateral Package analysis as part of their due diligence process when looking at high yield MFTs, and understand how quickly/efficiently a Bond Trustee can realize on that Collateral Package to repay the MFT if required.</w:t>
      </w:r>
      <w:r w:rsidR="00C05B59" w:rsidRPr="002F2462">
        <w:rPr>
          <w:kern w:val="2"/>
          <w14:ligatures w14:val="standardContextual"/>
        </w:rPr>
        <w:t xml:space="preserve"> </w:t>
      </w:r>
      <w:r w:rsidR="00C05B59" w:rsidRPr="002F2462">
        <w:rPr>
          <w:kern w:val="2"/>
          <w14:ligatures w14:val="standardContextual"/>
        </w:rPr>
        <w:br/>
      </w:r>
      <w:r w:rsidR="00C05B59" w:rsidRPr="002F2462">
        <w:rPr>
          <w:kern w:val="2"/>
          <w14:ligatures w14:val="standardContextual"/>
        </w:rPr>
        <w:br/>
      </w:r>
      <w:r w:rsidR="00C05B59" w:rsidRPr="002F2462">
        <w:rPr>
          <w:b/>
          <w:kern w:val="2"/>
          <w14:ligatures w14:val="standardContextual"/>
        </w:rPr>
        <w:t>The importance and benefits of having a “fully secured" Collateral Package in HY MFTs are as follows:</w:t>
      </w:r>
      <w:r w:rsidR="00C05B59" w:rsidRPr="002F2462">
        <w:rPr>
          <w:kern w:val="2"/>
          <w14:ligatures w14:val="standardContextual"/>
        </w:rPr>
        <w:br/>
      </w:r>
      <w:r w:rsidR="00C05B59" w:rsidRPr="002F2462">
        <w:rPr>
          <w:kern w:val="2"/>
          <w14:ligatures w14:val="standardContextual"/>
        </w:rPr>
        <w:br/>
        <w:t xml:space="preserve">  1) MFTs that have a “fully secured” Collateral Package should be given a higher </w:t>
      </w:r>
      <w:r w:rsidR="00DD197B">
        <w:rPr>
          <w:kern w:val="2"/>
          <w14:ligatures w14:val="standardContextual"/>
        </w:rPr>
        <w:t xml:space="preserve">    </w:t>
      </w:r>
      <w:r w:rsidR="00DD197B">
        <w:rPr>
          <w:kern w:val="2"/>
          <w14:ligatures w14:val="standardContextual"/>
        </w:rPr>
        <w:br/>
        <w:t xml:space="preserve">     </w:t>
      </w:r>
      <w:r w:rsidR="007D5B5F">
        <w:rPr>
          <w:kern w:val="2"/>
          <w14:ligatures w14:val="standardContextual"/>
        </w:rPr>
        <w:t xml:space="preserve">  </w:t>
      </w:r>
      <w:r w:rsidR="00C05B59" w:rsidRPr="002F2462">
        <w:rPr>
          <w:kern w:val="2"/>
          <w14:ligatures w14:val="standardContextual"/>
        </w:rPr>
        <w:t xml:space="preserve">internal credit rating than those that are “under secured” given the higher probability </w:t>
      </w:r>
      <w:r w:rsidR="007D5B5F">
        <w:rPr>
          <w:kern w:val="2"/>
          <w14:ligatures w14:val="standardContextual"/>
        </w:rPr>
        <w:br/>
        <w:t xml:space="preserve">       </w:t>
      </w:r>
      <w:r w:rsidR="00C05B59" w:rsidRPr="002F2462">
        <w:rPr>
          <w:kern w:val="2"/>
          <w14:ligatures w14:val="standardContextual"/>
        </w:rPr>
        <w:t>of bondholder</w:t>
      </w:r>
      <w:r w:rsidR="007D5B5F">
        <w:rPr>
          <w:kern w:val="2"/>
          <w14:ligatures w14:val="standardContextual"/>
        </w:rPr>
        <w:t xml:space="preserve"> </w:t>
      </w:r>
      <w:r w:rsidR="00C05B59" w:rsidRPr="002F2462">
        <w:rPr>
          <w:kern w:val="2"/>
          <w14:ligatures w14:val="standardContextual"/>
        </w:rPr>
        <w:t>recovery before and after default;</w:t>
      </w:r>
      <w:r w:rsidR="00C05B59" w:rsidRPr="002F2462">
        <w:rPr>
          <w:kern w:val="2"/>
          <w14:ligatures w14:val="standardContextual"/>
        </w:rPr>
        <w:br/>
      </w:r>
      <w:r w:rsidR="00C05B59" w:rsidRPr="002F2462">
        <w:rPr>
          <w:kern w:val="2"/>
          <w14:ligatures w14:val="standardContextual"/>
        </w:rPr>
        <w:br/>
        <w:t xml:space="preserve">  2) A “fully secured” Collateral Package is needed to protect bondholders from </w:t>
      </w:r>
      <w:r w:rsidR="007D5B5F">
        <w:rPr>
          <w:kern w:val="2"/>
          <w14:ligatures w14:val="standardContextual"/>
        </w:rPr>
        <w:t xml:space="preserve">   </w:t>
      </w:r>
      <w:r w:rsidR="007D5B5F">
        <w:rPr>
          <w:kern w:val="2"/>
          <w14:ligatures w14:val="standardContextual"/>
        </w:rPr>
        <w:br/>
        <w:t xml:space="preserve">       </w:t>
      </w:r>
      <w:r w:rsidR="00C05B59" w:rsidRPr="002F2462">
        <w:rPr>
          <w:kern w:val="2"/>
          <w14:ligatures w14:val="standardContextual"/>
        </w:rPr>
        <w:t xml:space="preserve">bankruptcy “cramdown” in a Chapter 9 and 11 bankruptcy—often a problem in HY </w:t>
      </w:r>
      <w:r w:rsidR="00C93B20">
        <w:rPr>
          <w:kern w:val="2"/>
          <w14:ligatures w14:val="standardContextual"/>
        </w:rPr>
        <w:br/>
        <w:t xml:space="preserve">       </w:t>
      </w:r>
      <w:r w:rsidR="00C05B59" w:rsidRPr="002F2462">
        <w:rPr>
          <w:kern w:val="2"/>
          <w14:ligatures w14:val="standardContextual"/>
        </w:rPr>
        <w:t>MFTs;</w:t>
      </w:r>
      <w:r w:rsidR="00C05B59" w:rsidRPr="002F2462">
        <w:rPr>
          <w:kern w:val="2"/>
          <w14:ligatures w14:val="standardContextual"/>
        </w:rPr>
        <w:br/>
      </w:r>
      <w:r w:rsidR="00C05B59" w:rsidRPr="002F2462">
        <w:rPr>
          <w:kern w:val="2"/>
          <w14:ligatures w14:val="standardContextual"/>
        </w:rPr>
        <w:br/>
        <w:t xml:space="preserve">  3) HY MFTS bond restructurings that have a “fully secured” Collateral Package allows </w:t>
      </w:r>
      <w:r w:rsidR="00C05B59" w:rsidRPr="002F2462">
        <w:rPr>
          <w:kern w:val="2"/>
          <w14:ligatures w14:val="standardContextual"/>
        </w:rPr>
        <w:br/>
        <w:t xml:space="preserve">       bondholders to negotiate from a position of strength viz-a-viz the obligor and other </w:t>
      </w:r>
      <w:r w:rsidR="00C05B59" w:rsidRPr="002F2462">
        <w:rPr>
          <w:kern w:val="2"/>
          <w14:ligatures w14:val="standardContextual"/>
        </w:rPr>
        <w:br/>
        <w:t xml:space="preserve">       competing creditors, and obtain better restructuring outcomes; </w:t>
      </w:r>
      <w:r w:rsidR="00C05B59" w:rsidRPr="002F2462">
        <w:rPr>
          <w:kern w:val="2"/>
          <w14:ligatures w14:val="standardContextual"/>
        </w:rPr>
        <w:br/>
      </w:r>
      <w:r w:rsidR="00C05B59" w:rsidRPr="002F2462">
        <w:rPr>
          <w:kern w:val="2"/>
          <w14:ligatures w14:val="standardContextual"/>
        </w:rPr>
        <w:br/>
        <w:t xml:space="preserve">  4) Having a “fully secured” Collateral Package with the Bond Trustee having all the </w:t>
      </w:r>
      <w:r w:rsidR="00C93B20">
        <w:rPr>
          <w:kern w:val="2"/>
          <w14:ligatures w14:val="standardContextual"/>
        </w:rPr>
        <w:t xml:space="preserve">   </w:t>
      </w:r>
      <w:r w:rsidR="00C93B20">
        <w:rPr>
          <w:kern w:val="2"/>
          <w14:ligatures w14:val="standardContextual"/>
        </w:rPr>
        <w:br/>
        <w:t xml:space="preserve">       </w:t>
      </w:r>
      <w:r w:rsidR="00C05B59" w:rsidRPr="002F2462">
        <w:rPr>
          <w:kern w:val="2"/>
          <w14:ligatures w14:val="standardContextual"/>
        </w:rPr>
        <w:t>needed</w:t>
      </w:r>
      <w:r w:rsidR="00C93B20">
        <w:rPr>
          <w:kern w:val="2"/>
          <w14:ligatures w14:val="standardContextual"/>
        </w:rPr>
        <w:t xml:space="preserve"> </w:t>
      </w:r>
      <w:r w:rsidR="00C05B59" w:rsidRPr="002F2462">
        <w:rPr>
          <w:kern w:val="2"/>
          <w14:ligatures w14:val="standardContextual"/>
        </w:rPr>
        <w:t xml:space="preserve">rights/remedies to liquidate the collateral/collect the pledged revenues should </w:t>
      </w:r>
      <w:r w:rsidR="00C93B20">
        <w:rPr>
          <w:kern w:val="2"/>
          <w14:ligatures w14:val="standardContextual"/>
        </w:rPr>
        <w:br/>
        <w:t xml:space="preserve">       </w:t>
      </w:r>
      <w:r w:rsidR="00C05B59" w:rsidRPr="002F2462">
        <w:rPr>
          <w:kern w:val="2"/>
          <w14:ligatures w14:val="standardContextual"/>
        </w:rPr>
        <w:t>minimize</w:t>
      </w:r>
      <w:r w:rsidR="00C93B20">
        <w:rPr>
          <w:kern w:val="2"/>
          <w14:ligatures w14:val="standardContextual"/>
        </w:rPr>
        <w:t xml:space="preserve"> </w:t>
      </w:r>
      <w:r w:rsidR="00C05B59" w:rsidRPr="002F2462">
        <w:rPr>
          <w:kern w:val="2"/>
          <w14:ligatures w14:val="standardContextual"/>
        </w:rPr>
        <w:t xml:space="preserve">situations where bondholders take a loss—very common in high yield </w:t>
      </w:r>
      <w:r w:rsidR="00C93B20">
        <w:rPr>
          <w:kern w:val="2"/>
          <w14:ligatures w14:val="standardContextual"/>
        </w:rPr>
        <w:br/>
        <w:t xml:space="preserve">       </w:t>
      </w:r>
      <w:r w:rsidR="00C05B59" w:rsidRPr="002F2462">
        <w:rPr>
          <w:kern w:val="2"/>
          <w14:ligatures w14:val="standardContextual"/>
        </w:rPr>
        <w:t xml:space="preserve">MFTs; and </w:t>
      </w:r>
    </w:p>
    <w:p w14:paraId="74BB676E" w14:textId="2D1B7DC0" w:rsidR="00C05B59" w:rsidRPr="00882F0F" w:rsidRDefault="00C05B59" w:rsidP="00C05B59">
      <w:pPr>
        <w:spacing w:after="160" w:line="259" w:lineRule="auto"/>
        <w:ind w:left="720"/>
        <w:contextualSpacing/>
        <w:rPr>
          <w:rFonts w:asciiTheme="minorHAnsi" w:hAnsiTheme="minorHAnsi"/>
          <w:b/>
          <w:bCs/>
          <w:kern w:val="2"/>
          <w:sz w:val="28"/>
          <w:szCs w:val="28"/>
          <w14:ligatures w14:val="standardContextual"/>
        </w:rPr>
      </w:pPr>
      <w:r w:rsidRPr="002F2462">
        <w:rPr>
          <w:b/>
          <w:kern w:val="2"/>
          <w14:ligatures w14:val="standardContextual"/>
        </w:rPr>
        <w:br/>
        <w:t xml:space="preserve">  </w:t>
      </w:r>
      <w:r w:rsidRPr="002F2462">
        <w:rPr>
          <w:kern w:val="2"/>
          <w14:ligatures w14:val="standardContextual"/>
        </w:rPr>
        <w:t xml:space="preserve">5) Having a “Fully Secured” Collateral Package Makes It Easier/Cheaper </w:t>
      </w:r>
      <w:proofErr w:type="gramStart"/>
      <w:r w:rsidRPr="002F2462">
        <w:rPr>
          <w:kern w:val="2"/>
          <w14:ligatures w14:val="standardContextual"/>
        </w:rPr>
        <w:t>To</w:t>
      </w:r>
      <w:proofErr w:type="gramEnd"/>
      <w:r w:rsidRPr="002F2462">
        <w:rPr>
          <w:kern w:val="2"/>
          <w14:ligatures w14:val="standardContextual"/>
        </w:rPr>
        <w:t xml:space="preserve"> Get </w:t>
      </w:r>
      <w:r w:rsidR="00C93B20">
        <w:rPr>
          <w:kern w:val="2"/>
          <w14:ligatures w14:val="standardContextual"/>
        </w:rPr>
        <w:br/>
        <w:t xml:space="preserve">      </w:t>
      </w:r>
      <w:r w:rsidRPr="002F2462">
        <w:rPr>
          <w:kern w:val="2"/>
          <w14:ligatures w14:val="standardContextual"/>
        </w:rPr>
        <w:t>Municipal Bond Insurance In Secondary Market.</w:t>
      </w:r>
      <w:r w:rsidRPr="002F2462">
        <w:rPr>
          <w:kern w:val="2"/>
          <w14:ligatures w14:val="standardContextual"/>
        </w:rPr>
        <w:br/>
      </w:r>
    </w:p>
    <w:p w14:paraId="5210F21C" w14:textId="2FC99F4C" w:rsidR="00C54B6D" w:rsidRPr="00882F0F" w:rsidRDefault="00C54B6D" w:rsidP="00480FE1">
      <w:pPr>
        <w:jc w:val="both"/>
        <w:rPr>
          <w:b/>
          <w:bCs/>
          <w:sz w:val="28"/>
          <w:szCs w:val="28"/>
        </w:rPr>
      </w:pPr>
      <w:r w:rsidRPr="00882F0F">
        <w:rPr>
          <w:b/>
          <w:bCs/>
          <w:sz w:val="28"/>
          <w:szCs w:val="28"/>
        </w:rPr>
        <w:t>WHITEPAPER CONTRIBUTORS:</w:t>
      </w:r>
      <w:r w:rsidR="0000513D">
        <w:rPr>
          <w:b/>
          <w:bCs/>
          <w:sz w:val="28"/>
          <w:szCs w:val="28"/>
        </w:rPr>
        <w:t xml:space="preserve"> {INSERT}</w:t>
      </w:r>
    </w:p>
    <w:p w14:paraId="7BB36549" w14:textId="77777777" w:rsidR="00906684" w:rsidRDefault="00906684" w:rsidP="00480FE1">
      <w:pPr>
        <w:jc w:val="both"/>
      </w:pPr>
    </w:p>
    <w:p w14:paraId="04891C3B" w14:textId="25B06223" w:rsidR="00906684" w:rsidRPr="00882F0F" w:rsidRDefault="00906684" w:rsidP="00480FE1">
      <w:pPr>
        <w:jc w:val="both"/>
        <w:rPr>
          <w:b/>
          <w:bCs/>
          <w:sz w:val="28"/>
          <w:szCs w:val="28"/>
        </w:rPr>
      </w:pPr>
      <w:r w:rsidRPr="00882F0F">
        <w:rPr>
          <w:b/>
          <w:bCs/>
          <w:sz w:val="28"/>
          <w:szCs w:val="28"/>
        </w:rPr>
        <w:t>APPENDICES:</w:t>
      </w:r>
    </w:p>
    <w:p w14:paraId="5A98EC1E" w14:textId="569E80C3" w:rsidR="00C20F40" w:rsidRPr="000A38DA" w:rsidRDefault="00906684" w:rsidP="00C20F40">
      <w:pPr>
        <w:jc w:val="both"/>
        <w:rPr>
          <w:color w:val="FF0000"/>
        </w:rPr>
      </w:pPr>
      <w:r>
        <w:br/>
        <w:t xml:space="preserve">      </w:t>
      </w:r>
      <w:r w:rsidR="00F226AE">
        <w:t xml:space="preserve">      </w:t>
      </w:r>
      <w:r>
        <w:t xml:space="preserve">A. </w:t>
      </w:r>
      <w:r w:rsidR="00E054D3">
        <w:t xml:space="preserve">Common Problems </w:t>
      </w:r>
      <w:proofErr w:type="gramStart"/>
      <w:r w:rsidR="00E054D3">
        <w:t>With</w:t>
      </w:r>
      <w:proofErr w:type="gramEnd"/>
      <w:r w:rsidR="00E054D3">
        <w:t xml:space="preserve"> Collateral Packages In Muni Worl</w:t>
      </w:r>
      <w:r w:rsidR="004271E0">
        <w:t>d</w:t>
      </w:r>
      <w:r w:rsidR="009549CE">
        <w:t xml:space="preserve"> </w:t>
      </w:r>
      <w:r w:rsidR="009549CE" w:rsidRPr="000A38DA">
        <w:rPr>
          <w:color w:val="FF0000"/>
        </w:rPr>
        <w:t>EVERYONE</w:t>
      </w:r>
    </w:p>
    <w:p w14:paraId="7B9E6087" w14:textId="59999AFB" w:rsidR="00770295" w:rsidRPr="000A38DA" w:rsidRDefault="00C20F40" w:rsidP="00770295">
      <w:pPr>
        <w:jc w:val="both"/>
        <w:rPr>
          <w:color w:val="FF0000"/>
        </w:rPr>
      </w:pPr>
      <w:r>
        <w:br/>
        <w:t xml:space="preserve">            B, </w:t>
      </w:r>
      <w:r w:rsidR="000548A9">
        <w:t xml:space="preserve">Analyst Checklist/Tips </w:t>
      </w:r>
      <w:proofErr w:type="gramStart"/>
      <w:r w:rsidR="000548A9">
        <w:t>For</w:t>
      </w:r>
      <w:proofErr w:type="gramEnd"/>
      <w:r w:rsidR="000548A9">
        <w:t xml:space="preserve"> Evaluating Collateral Packages</w:t>
      </w:r>
      <w:r w:rsidR="009549CE">
        <w:t xml:space="preserve"> </w:t>
      </w:r>
      <w:r w:rsidR="009549CE" w:rsidRPr="000A38DA">
        <w:rPr>
          <w:color w:val="FF0000"/>
        </w:rPr>
        <w:t>GIL</w:t>
      </w:r>
    </w:p>
    <w:p w14:paraId="6E5E7DD0" w14:textId="3C34115F" w:rsidR="006C37F3" w:rsidRPr="000A38DA" w:rsidRDefault="00770295" w:rsidP="00770295">
      <w:pPr>
        <w:jc w:val="both"/>
        <w:rPr>
          <w:color w:val="FF0000"/>
        </w:rPr>
      </w:pPr>
      <w:r>
        <w:br/>
        <w:t xml:space="preserve">            C</w:t>
      </w:r>
      <w:r w:rsidR="00B00DB6">
        <w:t>.</w:t>
      </w:r>
      <w:r>
        <w:t xml:space="preserve"> </w:t>
      </w:r>
      <w:r w:rsidR="007E4907">
        <w:t xml:space="preserve">Sample Additions </w:t>
      </w:r>
      <w:proofErr w:type="gramStart"/>
      <w:r w:rsidR="007E4907">
        <w:t>To</w:t>
      </w:r>
      <w:proofErr w:type="gramEnd"/>
      <w:r w:rsidR="007E4907">
        <w:t xml:space="preserve"> Continuing Disclosure Agreements Respecting Collateral </w:t>
      </w:r>
      <w:r>
        <w:br/>
        <w:t xml:space="preserve">                  </w:t>
      </w:r>
      <w:r w:rsidR="007E4907">
        <w:t>Packages</w:t>
      </w:r>
      <w:r w:rsidR="006C37F3">
        <w:t xml:space="preserve"> </w:t>
      </w:r>
      <w:r w:rsidR="006C37F3" w:rsidRPr="000A38DA">
        <w:rPr>
          <w:color w:val="FF0000"/>
        </w:rPr>
        <w:t>GIL</w:t>
      </w:r>
    </w:p>
    <w:p w14:paraId="1D7691BA" w14:textId="191A6337" w:rsidR="00C34AA2" w:rsidRPr="000A38DA" w:rsidRDefault="009549CE" w:rsidP="00770295">
      <w:pPr>
        <w:jc w:val="both"/>
        <w:rPr>
          <w:color w:val="FF0000"/>
        </w:rPr>
      </w:pPr>
      <w:r w:rsidRPr="000A38DA">
        <w:rPr>
          <w:color w:val="FF0000"/>
        </w:rPr>
        <w:br/>
      </w:r>
      <w:r w:rsidR="00306775">
        <w:t xml:space="preserve">      </w:t>
      </w:r>
      <w:r w:rsidR="00770295">
        <w:t xml:space="preserve">      D. </w:t>
      </w:r>
      <w:r w:rsidR="00306775">
        <w:t xml:space="preserve"> </w:t>
      </w:r>
      <w:bookmarkStart w:id="3" w:name="_Hlk187137722"/>
      <w:r w:rsidR="00306775">
        <w:t xml:space="preserve">Role Of Artificial </w:t>
      </w:r>
      <w:r w:rsidR="00044767">
        <w:t>Intelligence</w:t>
      </w:r>
      <w:r w:rsidR="00306775">
        <w:t xml:space="preserve"> </w:t>
      </w:r>
      <w:proofErr w:type="gramStart"/>
      <w:r w:rsidR="00306775">
        <w:t>In</w:t>
      </w:r>
      <w:proofErr w:type="gramEnd"/>
      <w:r w:rsidR="00306775">
        <w:t xml:space="preserve"> Evaluating Collateral Packages</w:t>
      </w:r>
      <w:r w:rsidR="006C37F3">
        <w:t xml:space="preserve"> </w:t>
      </w:r>
      <w:r w:rsidR="006C37F3" w:rsidRPr="000A38DA">
        <w:rPr>
          <w:color w:val="FF0000"/>
        </w:rPr>
        <w:t>BARIDHI</w:t>
      </w:r>
    </w:p>
    <w:p w14:paraId="4A03A6CE" w14:textId="024C2A15" w:rsidR="00012AF2" w:rsidRPr="000A38DA" w:rsidRDefault="00770295" w:rsidP="00406509">
      <w:pPr>
        <w:jc w:val="both"/>
        <w:rPr>
          <w:color w:val="FF0000"/>
        </w:rPr>
      </w:pPr>
      <w:r>
        <w:br/>
      </w:r>
      <w:bookmarkEnd w:id="3"/>
      <w:r>
        <w:t xml:space="preserve">            E. </w:t>
      </w:r>
      <w:r w:rsidR="00044767">
        <w:t>Sample Tri-Party Agreement</w:t>
      </w:r>
      <w:r w:rsidR="00D647A2">
        <w:t xml:space="preserve">/Collateral Assignment </w:t>
      </w:r>
      <w:proofErr w:type="gramStart"/>
      <w:r w:rsidR="00D647A2">
        <w:t>Of</w:t>
      </w:r>
      <w:proofErr w:type="gramEnd"/>
      <w:r w:rsidR="00D647A2">
        <w:t xml:space="preserve"> Contracts Between</w:t>
      </w:r>
      <w:r w:rsidR="00C34AA2">
        <w:t xml:space="preserve"> </w:t>
      </w:r>
      <w:r w:rsidR="00D647A2">
        <w:t xml:space="preserve">Bond </w:t>
      </w:r>
      <w:r w:rsidR="00C34AA2">
        <w:br/>
        <w:t xml:space="preserve">                 </w:t>
      </w:r>
      <w:r w:rsidR="00D647A2">
        <w:t>Trustee, Issuer, Borrower</w:t>
      </w:r>
      <w:r w:rsidR="00B73883">
        <w:t>/Obligor &amp; Counterpar</w:t>
      </w:r>
      <w:r w:rsidR="00C34AA2">
        <w:t>ty</w:t>
      </w:r>
      <w:r w:rsidR="00012AF2">
        <w:t xml:space="preserve"> </w:t>
      </w:r>
      <w:r w:rsidR="00012AF2" w:rsidRPr="000A38DA">
        <w:rPr>
          <w:color w:val="FF0000"/>
        </w:rPr>
        <w:t>KIM</w:t>
      </w:r>
    </w:p>
    <w:p w14:paraId="3112C299" w14:textId="348B2D79" w:rsidR="006E4A7E" w:rsidRDefault="00C34AA2" w:rsidP="00406509">
      <w:pPr>
        <w:jc w:val="both"/>
      </w:pPr>
      <w:r w:rsidRPr="000A38DA">
        <w:rPr>
          <w:color w:val="FF0000"/>
        </w:rPr>
        <w:br/>
      </w:r>
      <w:r w:rsidR="00406509">
        <w:t xml:space="preserve">            </w:t>
      </w:r>
      <w:r>
        <w:t xml:space="preserve">F. </w:t>
      </w:r>
      <w:bookmarkStart w:id="4" w:name="_Hlk187138813"/>
      <w:r w:rsidR="005877C8">
        <w:t xml:space="preserve">Sample </w:t>
      </w:r>
      <w:r w:rsidR="0023516F">
        <w:t>Collateral Perfection</w:t>
      </w:r>
      <w:r w:rsidR="00AD0DA1">
        <w:t xml:space="preserve">, </w:t>
      </w:r>
      <w:r w:rsidR="0023516F">
        <w:t>Priority</w:t>
      </w:r>
      <w:r w:rsidR="00D71FF5">
        <w:t xml:space="preserve"> </w:t>
      </w:r>
      <w:r w:rsidR="00AD0DA1">
        <w:t xml:space="preserve">&amp; Enforceability </w:t>
      </w:r>
      <w:r w:rsidR="00D71FF5">
        <w:t>Legal Opinion</w:t>
      </w:r>
      <w:r w:rsidR="00AD0DA1">
        <w:t xml:space="preserve"> </w:t>
      </w:r>
      <w:proofErr w:type="gramStart"/>
      <w:r w:rsidR="00AD0DA1">
        <w:t>To</w:t>
      </w:r>
      <w:proofErr w:type="gramEnd"/>
      <w:r w:rsidR="00AD0DA1">
        <w:t xml:space="preserve"> Bond Trustee</w:t>
      </w:r>
      <w:r w:rsidR="00012AF2">
        <w:t xml:space="preserve"> </w:t>
      </w:r>
      <w:r w:rsidR="00012AF2">
        <w:br/>
        <w:t xml:space="preserve">                </w:t>
      </w:r>
      <w:r w:rsidR="00012AF2" w:rsidRPr="000A38DA">
        <w:rPr>
          <w:color w:val="FF0000"/>
        </w:rPr>
        <w:t>KIM</w:t>
      </w:r>
      <w:r w:rsidR="00012AF2" w:rsidRPr="000A38DA">
        <w:rPr>
          <w:color w:val="FF0000"/>
        </w:rPr>
        <w:br/>
      </w:r>
      <w:bookmarkEnd w:id="4"/>
      <w:r w:rsidR="00406509">
        <w:br/>
        <w:t xml:space="preserve">            G.</w:t>
      </w:r>
      <w:r w:rsidR="00775210">
        <w:t xml:space="preserve"> </w:t>
      </w:r>
      <w:r w:rsidR="0000513D">
        <w:t xml:space="preserve">Atty Rick Weber NABL </w:t>
      </w:r>
      <w:r w:rsidR="00374A03">
        <w:t>piece on the words pledge</w:t>
      </w:r>
      <w:r w:rsidR="00775210">
        <w:t>/</w:t>
      </w:r>
      <w:r w:rsidR="00374A03">
        <w:t>lien.</w:t>
      </w:r>
    </w:p>
    <w:p w14:paraId="5BDAE9C7" w14:textId="77777777" w:rsidR="006E4A7E" w:rsidRDefault="006E4A7E" w:rsidP="006E4A7E">
      <w:pPr>
        <w:jc w:val="both"/>
      </w:pPr>
    </w:p>
    <w:p w14:paraId="2D6DC749" w14:textId="5EA4E8DE" w:rsidR="006E4A7E" w:rsidRPr="00882F0F" w:rsidRDefault="006E4A7E" w:rsidP="006E4A7E">
      <w:pPr>
        <w:jc w:val="both"/>
        <w:rPr>
          <w:b/>
          <w:bCs/>
          <w:sz w:val="28"/>
          <w:szCs w:val="28"/>
        </w:rPr>
      </w:pPr>
      <w:r w:rsidRPr="00882F0F">
        <w:rPr>
          <w:b/>
          <w:bCs/>
          <w:sz w:val="28"/>
          <w:szCs w:val="28"/>
        </w:rPr>
        <w:t>REFERENCES</w:t>
      </w:r>
    </w:p>
    <w:p w14:paraId="11E4449A" w14:textId="77777777" w:rsidR="006E4A7E" w:rsidRDefault="006E4A7E" w:rsidP="006E4A7E">
      <w:pPr>
        <w:jc w:val="both"/>
      </w:pPr>
    </w:p>
    <w:p w14:paraId="2367BA1F" w14:textId="4F008C57" w:rsidR="009A21D2" w:rsidRDefault="0060028E" w:rsidP="00CF73C2">
      <w:pPr>
        <w:pStyle w:val="ListParagraph"/>
        <w:numPr>
          <w:ilvl w:val="0"/>
          <w:numId w:val="43"/>
        </w:numPr>
        <w:jc w:val="both"/>
      </w:pPr>
      <w:r>
        <w:t>[</w:t>
      </w:r>
      <w:r w:rsidR="00770CF6">
        <w:t xml:space="preserve">Reference To </w:t>
      </w:r>
      <w:proofErr w:type="spellStart"/>
      <w:r w:rsidR="006E4A7E">
        <w:t>Spoito</w:t>
      </w:r>
      <w:proofErr w:type="spellEnd"/>
      <w:r w:rsidR="006E4A7E">
        <w:t xml:space="preserve"> Bankruptcy Materials</w:t>
      </w:r>
      <w:r>
        <w:t>]</w:t>
      </w:r>
    </w:p>
    <w:p w14:paraId="10D834BD" w14:textId="6314D087" w:rsidR="00233148" w:rsidRDefault="009A21D2" w:rsidP="002F2462">
      <w:pPr>
        <w:jc w:val="both"/>
      </w:pPr>
      <w:r>
        <w:br/>
        <w:t xml:space="preserve"> </w:t>
      </w:r>
      <w:r w:rsidR="005F5193">
        <w:t xml:space="preserve"> </w:t>
      </w:r>
      <w:r>
        <w:t xml:space="preserve">  </w:t>
      </w:r>
      <w:r w:rsidR="005F5193">
        <w:t xml:space="preserve"> </w:t>
      </w:r>
      <w:r>
        <w:t xml:space="preserve">B. </w:t>
      </w:r>
      <w:r w:rsidR="0060028E">
        <w:t>[</w:t>
      </w:r>
      <w:r w:rsidR="00770CF6">
        <w:t xml:space="preserve">reference </w:t>
      </w:r>
      <w:proofErr w:type="gramStart"/>
      <w:r w:rsidR="00770CF6">
        <w:t>To</w:t>
      </w:r>
      <w:proofErr w:type="gramEnd"/>
      <w:r w:rsidR="00CF73C2">
        <w:t xml:space="preserve"> </w:t>
      </w:r>
      <w:r w:rsidR="0060028E">
        <w:t xml:space="preserve">2017 </w:t>
      </w:r>
      <w:r w:rsidR="00CF73C2">
        <w:t>NFMA Whitepaper On GO Bonds/Special Revenues In Bankruptcy</w:t>
      </w:r>
      <w:r w:rsidR="005F5193">
        <w:t>]</w:t>
      </w:r>
      <w:r>
        <w:br/>
      </w:r>
    </w:p>
    <w:p w14:paraId="4A6BCED2" w14:textId="3090AC9A" w:rsidR="00E77FF9" w:rsidRPr="00406509" w:rsidRDefault="00E77FF9" w:rsidP="002F2462">
      <w:pPr>
        <w:pStyle w:val="ListParagraph"/>
        <w:numPr>
          <w:ilvl w:val="0"/>
          <w:numId w:val="39"/>
        </w:numPr>
        <w:jc w:val="both"/>
      </w:pPr>
      <w:r>
        <w:t>[</w:t>
      </w:r>
      <w:r w:rsidR="00770CF6">
        <w:t>Other References</w:t>
      </w:r>
      <w:r>
        <w:t>??}</w:t>
      </w:r>
    </w:p>
    <w:p w14:paraId="38C6FFE2" w14:textId="77777777" w:rsidR="00557F84" w:rsidRDefault="00557F84" w:rsidP="00735C5F">
      <w:pPr>
        <w:ind w:firstLine="720"/>
      </w:pPr>
    </w:p>
    <w:p w14:paraId="3C4A1F05" w14:textId="0E78296F" w:rsidR="007F5B31" w:rsidRDefault="007F5B31" w:rsidP="00DC38F0">
      <w:pPr>
        <w:pStyle w:val="ListParagraph"/>
        <w:ind w:left="1440"/>
        <w:jc w:val="both"/>
        <w:rPr>
          <w:i/>
          <w:iCs/>
        </w:rPr>
      </w:pPr>
    </w:p>
    <w:p w14:paraId="7C3A551B" w14:textId="77777777" w:rsidR="006347F8" w:rsidRDefault="006347F8" w:rsidP="00DC38F0">
      <w:pPr>
        <w:pStyle w:val="ListParagraph"/>
        <w:ind w:left="1440"/>
        <w:jc w:val="both"/>
        <w:rPr>
          <w:i/>
          <w:iCs/>
        </w:rPr>
      </w:pPr>
    </w:p>
    <w:p w14:paraId="4CA9F81D" w14:textId="77777777" w:rsidR="006347F8" w:rsidRDefault="006347F8" w:rsidP="00DC38F0">
      <w:pPr>
        <w:pStyle w:val="ListParagraph"/>
        <w:ind w:left="1440"/>
        <w:jc w:val="both"/>
        <w:rPr>
          <w:i/>
          <w:iCs/>
        </w:rPr>
      </w:pPr>
    </w:p>
    <w:p w14:paraId="10255723" w14:textId="77777777" w:rsidR="006347F8" w:rsidRDefault="006347F8" w:rsidP="00DC38F0">
      <w:pPr>
        <w:pStyle w:val="ListParagraph"/>
        <w:ind w:left="1440"/>
        <w:jc w:val="both"/>
        <w:rPr>
          <w:i/>
          <w:iCs/>
        </w:rPr>
      </w:pPr>
    </w:p>
    <w:p w14:paraId="1C29CCA0" w14:textId="77777777" w:rsidR="006347F8" w:rsidRDefault="006347F8" w:rsidP="00DC38F0">
      <w:pPr>
        <w:pStyle w:val="ListParagraph"/>
        <w:ind w:left="1440"/>
        <w:jc w:val="both"/>
        <w:rPr>
          <w:i/>
          <w:iCs/>
        </w:rPr>
      </w:pPr>
    </w:p>
    <w:p w14:paraId="1265069D" w14:textId="77777777" w:rsidR="006347F8" w:rsidRDefault="006347F8" w:rsidP="00DC38F0">
      <w:pPr>
        <w:pStyle w:val="ListParagraph"/>
        <w:ind w:left="1440"/>
        <w:jc w:val="both"/>
        <w:rPr>
          <w:i/>
          <w:iCs/>
        </w:rPr>
      </w:pPr>
    </w:p>
    <w:p w14:paraId="5816D357" w14:textId="77777777" w:rsidR="006347F8" w:rsidRDefault="006347F8" w:rsidP="00DC38F0">
      <w:pPr>
        <w:pStyle w:val="ListParagraph"/>
        <w:ind w:left="1440"/>
        <w:jc w:val="both"/>
        <w:rPr>
          <w:i/>
          <w:iCs/>
        </w:rPr>
      </w:pPr>
    </w:p>
    <w:p w14:paraId="763B613F" w14:textId="77777777" w:rsidR="006347F8" w:rsidRDefault="006347F8" w:rsidP="00DC38F0">
      <w:pPr>
        <w:pStyle w:val="ListParagraph"/>
        <w:ind w:left="1440"/>
        <w:jc w:val="both"/>
        <w:rPr>
          <w:i/>
          <w:iCs/>
        </w:rPr>
      </w:pPr>
    </w:p>
    <w:p w14:paraId="6CB5178C" w14:textId="77777777" w:rsidR="006347F8" w:rsidRDefault="006347F8" w:rsidP="00DC38F0">
      <w:pPr>
        <w:pStyle w:val="ListParagraph"/>
        <w:ind w:left="1440"/>
        <w:jc w:val="both"/>
        <w:rPr>
          <w:i/>
          <w:iCs/>
        </w:rPr>
      </w:pPr>
    </w:p>
    <w:p w14:paraId="6CE3BBF3" w14:textId="77777777" w:rsidR="006347F8" w:rsidRDefault="006347F8" w:rsidP="00DC38F0">
      <w:pPr>
        <w:pStyle w:val="ListParagraph"/>
        <w:ind w:left="1440"/>
        <w:jc w:val="both"/>
        <w:rPr>
          <w:i/>
          <w:iCs/>
        </w:rPr>
      </w:pPr>
    </w:p>
    <w:p w14:paraId="70922C7E" w14:textId="77777777" w:rsidR="006347F8" w:rsidRDefault="006347F8" w:rsidP="00DC38F0">
      <w:pPr>
        <w:pStyle w:val="ListParagraph"/>
        <w:ind w:left="1440"/>
        <w:jc w:val="both"/>
        <w:rPr>
          <w:i/>
          <w:iCs/>
        </w:rPr>
      </w:pPr>
    </w:p>
    <w:p w14:paraId="3A68011A" w14:textId="77777777" w:rsidR="006347F8" w:rsidRDefault="006347F8" w:rsidP="00DC38F0">
      <w:pPr>
        <w:pStyle w:val="ListParagraph"/>
        <w:ind w:left="1440"/>
        <w:jc w:val="both"/>
        <w:rPr>
          <w:i/>
          <w:iCs/>
        </w:rPr>
      </w:pPr>
    </w:p>
    <w:p w14:paraId="42955869" w14:textId="77777777" w:rsidR="006347F8" w:rsidRDefault="006347F8" w:rsidP="00DC38F0">
      <w:pPr>
        <w:pStyle w:val="ListParagraph"/>
        <w:ind w:left="1440"/>
        <w:jc w:val="both"/>
        <w:rPr>
          <w:i/>
          <w:iCs/>
        </w:rPr>
      </w:pPr>
    </w:p>
    <w:p w14:paraId="49A9132B" w14:textId="77777777" w:rsidR="006347F8" w:rsidRDefault="006347F8" w:rsidP="00DC38F0">
      <w:pPr>
        <w:pStyle w:val="ListParagraph"/>
        <w:ind w:left="1440"/>
        <w:jc w:val="both"/>
        <w:rPr>
          <w:i/>
          <w:iCs/>
        </w:rPr>
      </w:pPr>
    </w:p>
    <w:p w14:paraId="4D80792F" w14:textId="393A5674" w:rsidR="003A2922" w:rsidRPr="002F2462" w:rsidRDefault="00735169" w:rsidP="003A2922">
      <w:pPr>
        <w:jc w:val="both"/>
        <w:rPr>
          <w:b/>
          <w:bCs/>
          <w:color w:val="FF0000"/>
          <w:sz w:val="28"/>
          <w:szCs w:val="28"/>
        </w:rPr>
      </w:pPr>
      <w:r w:rsidRPr="002F2462">
        <w:rPr>
          <w:b/>
          <w:bCs/>
          <w:i/>
          <w:iCs/>
          <w:sz w:val="28"/>
          <w:szCs w:val="28"/>
        </w:rPr>
        <w:t xml:space="preserve">                  </w:t>
      </w:r>
      <w:r w:rsidRPr="002F2462">
        <w:rPr>
          <w:b/>
          <w:bCs/>
          <w:i/>
          <w:iCs/>
          <w:color w:val="FF0000"/>
          <w:sz w:val="28"/>
          <w:szCs w:val="28"/>
        </w:rPr>
        <w:t xml:space="preserve">APPENDIX </w:t>
      </w:r>
      <w:r w:rsidR="00176A2B" w:rsidRPr="002F2462">
        <w:rPr>
          <w:b/>
          <w:bCs/>
          <w:i/>
          <w:iCs/>
          <w:color w:val="FF0000"/>
          <w:sz w:val="28"/>
          <w:szCs w:val="28"/>
        </w:rPr>
        <w:t>A</w:t>
      </w:r>
      <w:r w:rsidR="005F5193" w:rsidRPr="002F2462">
        <w:rPr>
          <w:b/>
          <w:bCs/>
          <w:i/>
          <w:iCs/>
          <w:color w:val="FF0000"/>
          <w:sz w:val="28"/>
          <w:szCs w:val="28"/>
        </w:rPr>
        <w:t>:</w:t>
      </w:r>
      <w:r w:rsidR="003A2922" w:rsidRPr="002F2462">
        <w:rPr>
          <w:b/>
          <w:bCs/>
          <w:sz w:val="28"/>
          <w:szCs w:val="28"/>
        </w:rPr>
        <w:t xml:space="preserve"> Common Problems With Collateral Packages In</w:t>
      </w:r>
      <w:r w:rsidR="005F5193">
        <w:rPr>
          <w:b/>
          <w:bCs/>
          <w:sz w:val="28"/>
          <w:szCs w:val="28"/>
        </w:rPr>
        <w:br/>
        <w:t xml:space="preserve">                                                </w:t>
      </w:r>
      <w:r w:rsidR="003A2922" w:rsidRPr="002F2462">
        <w:rPr>
          <w:b/>
          <w:bCs/>
          <w:sz w:val="28"/>
          <w:szCs w:val="28"/>
        </w:rPr>
        <w:t xml:space="preserve"> Muni</w:t>
      </w:r>
      <w:r w:rsidR="002655ED">
        <w:rPr>
          <w:b/>
          <w:bCs/>
          <w:sz w:val="28"/>
          <w:szCs w:val="28"/>
        </w:rPr>
        <w:t xml:space="preserve"> </w:t>
      </w:r>
      <w:proofErr w:type="gramStart"/>
      <w:r w:rsidR="003A2922" w:rsidRPr="002F2462">
        <w:rPr>
          <w:b/>
          <w:bCs/>
          <w:sz w:val="28"/>
          <w:szCs w:val="28"/>
        </w:rPr>
        <w:t xml:space="preserve">World </w:t>
      </w:r>
      <w:r w:rsidR="005F5193" w:rsidRPr="002F2462">
        <w:rPr>
          <w:b/>
          <w:bCs/>
          <w:sz w:val="28"/>
          <w:szCs w:val="28"/>
        </w:rPr>
        <w:t xml:space="preserve"> </w:t>
      </w:r>
      <w:r w:rsidR="003A2922" w:rsidRPr="002F2462">
        <w:rPr>
          <w:b/>
          <w:bCs/>
          <w:color w:val="FF0000"/>
          <w:sz w:val="28"/>
          <w:szCs w:val="28"/>
        </w:rPr>
        <w:t>EVERYONE</w:t>
      </w:r>
      <w:proofErr w:type="gramEnd"/>
    </w:p>
    <w:p w14:paraId="535A266E" w14:textId="54B5CDC6" w:rsidR="006347F8" w:rsidRDefault="003A2922" w:rsidP="003A2922">
      <w:pPr>
        <w:pStyle w:val="ListParagraph"/>
        <w:ind w:left="1440"/>
        <w:jc w:val="both"/>
        <w:rPr>
          <w:i/>
          <w:iCs/>
          <w:color w:val="FF0000"/>
        </w:rPr>
      </w:pPr>
      <w:r>
        <w:br/>
      </w:r>
    </w:p>
    <w:p w14:paraId="1CBB86DD" w14:textId="77777777" w:rsidR="00176A2B" w:rsidRDefault="00176A2B" w:rsidP="00DC38F0">
      <w:pPr>
        <w:pStyle w:val="ListParagraph"/>
        <w:ind w:left="1440"/>
        <w:jc w:val="both"/>
        <w:rPr>
          <w:i/>
          <w:iCs/>
          <w:color w:val="FF0000"/>
        </w:rPr>
      </w:pPr>
    </w:p>
    <w:p w14:paraId="63C9004E" w14:textId="77777777" w:rsidR="00176A2B" w:rsidRDefault="00176A2B" w:rsidP="00DC38F0">
      <w:pPr>
        <w:pStyle w:val="ListParagraph"/>
        <w:ind w:left="1440"/>
        <w:jc w:val="both"/>
        <w:rPr>
          <w:i/>
          <w:iCs/>
          <w:color w:val="FF0000"/>
        </w:rPr>
      </w:pPr>
    </w:p>
    <w:p w14:paraId="1FA101A2" w14:textId="77777777" w:rsidR="00176A2B" w:rsidRDefault="00176A2B" w:rsidP="00DC38F0">
      <w:pPr>
        <w:pStyle w:val="ListParagraph"/>
        <w:ind w:left="1440"/>
        <w:jc w:val="both"/>
        <w:rPr>
          <w:i/>
          <w:iCs/>
          <w:color w:val="FF0000"/>
        </w:rPr>
      </w:pPr>
    </w:p>
    <w:p w14:paraId="64FEC028" w14:textId="77777777" w:rsidR="00176A2B" w:rsidRDefault="00176A2B" w:rsidP="00DC38F0">
      <w:pPr>
        <w:pStyle w:val="ListParagraph"/>
        <w:ind w:left="1440"/>
        <w:jc w:val="both"/>
        <w:rPr>
          <w:i/>
          <w:iCs/>
          <w:color w:val="FF0000"/>
        </w:rPr>
      </w:pPr>
    </w:p>
    <w:p w14:paraId="4B36BD09" w14:textId="77777777" w:rsidR="00176A2B" w:rsidRDefault="00176A2B" w:rsidP="00DC38F0">
      <w:pPr>
        <w:pStyle w:val="ListParagraph"/>
        <w:ind w:left="1440"/>
        <w:jc w:val="both"/>
        <w:rPr>
          <w:i/>
          <w:iCs/>
          <w:color w:val="FF0000"/>
        </w:rPr>
      </w:pPr>
    </w:p>
    <w:p w14:paraId="3CF3CF29" w14:textId="77777777" w:rsidR="00176A2B" w:rsidRDefault="00176A2B" w:rsidP="00DC38F0">
      <w:pPr>
        <w:pStyle w:val="ListParagraph"/>
        <w:ind w:left="1440"/>
        <w:jc w:val="both"/>
        <w:rPr>
          <w:i/>
          <w:iCs/>
          <w:color w:val="FF0000"/>
        </w:rPr>
      </w:pPr>
    </w:p>
    <w:p w14:paraId="1E21887C" w14:textId="77777777" w:rsidR="00176A2B" w:rsidRDefault="00176A2B" w:rsidP="00DC38F0">
      <w:pPr>
        <w:pStyle w:val="ListParagraph"/>
        <w:ind w:left="1440"/>
        <w:jc w:val="both"/>
        <w:rPr>
          <w:i/>
          <w:iCs/>
          <w:color w:val="FF0000"/>
        </w:rPr>
      </w:pPr>
    </w:p>
    <w:p w14:paraId="6D3C08FD" w14:textId="77777777" w:rsidR="00176A2B" w:rsidRDefault="00176A2B" w:rsidP="00DC38F0">
      <w:pPr>
        <w:pStyle w:val="ListParagraph"/>
        <w:ind w:left="1440"/>
        <w:jc w:val="both"/>
        <w:rPr>
          <w:i/>
          <w:iCs/>
          <w:color w:val="FF0000"/>
        </w:rPr>
      </w:pPr>
    </w:p>
    <w:p w14:paraId="3F4C8EA1" w14:textId="77777777" w:rsidR="00176A2B" w:rsidRDefault="00176A2B" w:rsidP="00DC38F0">
      <w:pPr>
        <w:pStyle w:val="ListParagraph"/>
        <w:ind w:left="1440"/>
        <w:jc w:val="both"/>
        <w:rPr>
          <w:i/>
          <w:iCs/>
          <w:color w:val="FF0000"/>
        </w:rPr>
      </w:pPr>
    </w:p>
    <w:p w14:paraId="0DE9C7C9" w14:textId="77777777" w:rsidR="00176A2B" w:rsidRDefault="00176A2B" w:rsidP="00DC38F0">
      <w:pPr>
        <w:pStyle w:val="ListParagraph"/>
        <w:ind w:left="1440"/>
        <w:jc w:val="both"/>
        <w:rPr>
          <w:i/>
          <w:iCs/>
          <w:color w:val="FF0000"/>
        </w:rPr>
      </w:pPr>
    </w:p>
    <w:p w14:paraId="48CC247C" w14:textId="77777777" w:rsidR="00176A2B" w:rsidRDefault="00176A2B" w:rsidP="00DC38F0">
      <w:pPr>
        <w:pStyle w:val="ListParagraph"/>
        <w:ind w:left="1440"/>
        <w:jc w:val="both"/>
        <w:rPr>
          <w:i/>
          <w:iCs/>
          <w:color w:val="FF0000"/>
        </w:rPr>
      </w:pPr>
    </w:p>
    <w:p w14:paraId="4448B9B1" w14:textId="77777777" w:rsidR="00176A2B" w:rsidRDefault="00176A2B" w:rsidP="00DC38F0">
      <w:pPr>
        <w:pStyle w:val="ListParagraph"/>
        <w:ind w:left="1440"/>
        <w:jc w:val="both"/>
        <w:rPr>
          <w:i/>
          <w:iCs/>
          <w:color w:val="FF0000"/>
        </w:rPr>
      </w:pPr>
    </w:p>
    <w:p w14:paraId="75226F0D" w14:textId="77777777" w:rsidR="00176A2B" w:rsidRDefault="00176A2B" w:rsidP="00DC38F0">
      <w:pPr>
        <w:pStyle w:val="ListParagraph"/>
        <w:ind w:left="1440"/>
        <w:jc w:val="both"/>
        <w:rPr>
          <w:i/>
          <w:iCs/>
          <w:color w:val="FF0000"/>
        </w:rPr>
      </w:pPr>
    </w:p>
    <w:p w14:paraId="2252A07F" w14:textId="77777777" w:rsidR="00176A2B" w:rsidRDefault="00176A2B" w:rsidP="00DC38F0">
      <w:pPr>
        <w:pStyle w:val="ListParagraph"/>
        <w:ind w:left="1440"/>
        <w:jc w:val="both"/>
        <w:rPr>
          <w:i/>
          <w:iCs/>
          <w:color w:val="FF0000"/>
        </w:rPr>
      </w:pPr>
    </w:p>
    <w:p w14:paraId="0E5F3983" w14:textId="77777777" w:rsidR="00176A2B" w:rsidRDefault="00176A2B" w:rsidP="00DC38F0">
      <w:pPr>
        <w:pStyle w:val="ListParagraph"/>
        <w:ind w:left="1440"/>
        <w:jc w:val="both"/>
        <w:rPr>
          <w:i/>
          <w:iCs/>
          <w:color w:val="FF0000"/>
        </w:rPr>
      </w:pPr>
    </w:p>
    <w:p w14:paraId="547DDE8F" w14:textId="77777777" w:rsidR="00176A2B" w:rsidRDefault="00176A2B" w:rsidP="00DC38F0">
      <w:pPr>
        <w:pStyle w:val="ListParagraph"/>
        <w:ind w:left="1440"/>
        <w:jc w:val="both"/>
        <w:rPr>
          <w:i/>
          <w:iCs/>
          <w:color w:val="FF0000"/>
        </w:rPr>
      </w:pPr>
    </w:p>
    <w:p w14:paraId="0A3E6811" w14:textId="77777777" w:rsidR="00176A2B" w:rsidRDefault="00176A2B" w:rsidP="00DC38F0">
      <w:pPr>
        <w:pStyle w:val="ListParagraph"/>
        <w:ind w:left="1440"/>
        <w:jc w:val="both"/>
        <w:rPr>
          <w:i/>
          <w:iCs/>
          <w:color w:val="FF0000"/>
        </w:rPr>
      </w:pPr>
    </w:p>
    <w:p w14:paraId="25AA6BEA" w14:textId="77777777" w:rsidR="00176A2B" w:rsidRDefault="00176A2B" w:rsidP="00DC38F0">
      <w:pPr>
        <w:pStyle w:val="ListParagraph"/>
        <w:ind w:left="1440"/>
        <w:jc w:val="both"/>
        <w:rPr>
          <w:i/>
          <w:iCs/>
          <w:color w:val="FF0000"/>
        </w:rPr>
      </w:pPr>
    </w:p>
    <w:p w14:paraId="57B479BD" w14:textId="77777777" w:rsidR="00176A2B" w:rsidRDefault="00176A2B" w:rsidP="00DC38F0">
      <w:pPr>
        <w:pStyle w:val="ListParagraph"/>
        <w:ind w:left="1440"/>
        <w:jc w:val="both"/>
        <w:rPr>
          <w:i/>
          <w:iCs/>
          <w:color w:val="FF0000"/>
        </w:rPr>
      </w:pPr>
    </w:p>
    <w:p w14:paraId="76D179C4" w14:textId="77777777" w:rsidR="00176A2B" w:rsidRDefault="00176A2B" w:rsidP="00DC38F0">
      <w:pPr>
        <w:pStyle w:val="ListParagraph"/>
        <w:ind w:left="1440"/>
        <w:jc w:val="both"/>
        <w:rPr>
          <w:i/>
          <w:iCs/>
          <w:color w:val="FF0000"/>
        </w:rPr>
      </w:pPr>
    </w:p>
    <w:p w14:paraId="1930A3DA" w14:textId="77777777" w:rsidR="00176A2B" w:rsidRDefault="00176A2B" w:rsidP="00DC38F0">
      <w:pPr>
        <w:pStyle w:val="ListParagraph"/>
        <w:ind w:left="1440"/>
        <w:jc w:val="both"/>
        <w:rPr>
          <w:i/>
          <w:iCs/>
          <w:color w:val="FF0000"/>
        </w:rPr>
      </w:pPr>
    </w:p>
    <w:p w14:paraId="0BF4AE30" w14:textId="77777777" w:rsidR="00176A2B" w:rsidRDefault="00176A2B" w:rsidP="00DC38F0">
      <w:pPr>
        <w:pStyle w:val="ListParagraph"/>
        <w:ind w:left="1440"/>
        <w:jc w:val="both"/>
        <w:rPr>
          <w:i/>
          <w:iCs/>
          <w:color w:val="FF0000"/>
        </w:rPr>
      </w:pPr>
    </w:p>
    <w:p w14:paraId="6785CC7C" w14:textId="77777777" w:rsidR="00176A2B" w:rsidRDefault="00176A2B" w:rsidP="00DC38F0">
      <w:pPr>
        <w:pStyle w:val="ListParagraph"/>
        <w:ind w:left="1440"/>
        <w:jc w:val="both"/>
        <w:rPr>
          <w:i/>
          <w:iCs/>
          <w:color w:val="FF0000"/>
        </w:rPr>
      </w:pPr>
    </w:p>
    <w:p w14:paraId="0C2B21EC" w14:textId="77777777" w:rsidR="00176A2B" w:rsidRDefault="00176A2B" w:rsidP="00DC38F0">
      <w:pPr>
        <w:pStyle w:val="ListParagraph"/>
        <w:ind w:left="1440"/>
        <w:jc w:val="both"/>
        <w:rPr>
          <w:i/>
          <w:iCs/>
          <w:color w:val="FF0000"/>
        </w:rPr>
      </w:pPr>
    </w:p>
    <w:p w14:paraId="3297815C" w14:textId="77777777" w:rsidR="00176A2B" w:rsidRDefault="00176A2B" w:rsidP="00DC38F0">
      <w:pPr>
        <w:pStyle w:val="ListParagraph"/>
        <w:ind w:left="1440"/>
        <w:jc w:val="both"/>
        <w:rPr>
          <w:i/>
          <w:iCs/>
          <w:color w:val="FF0000"/>
        </w:rPr>
      </w:pPr>
    </w:p>
    <w:p w14:paraId="193B00F9" w14:textId="77777777" w:rsidR="00176A2B" w:rsidRDefault="00176A2B" w:rsidP="00DC38F0">
      <w:pPr>
        <w:pStyle w:val="ListParagraph"/>
        <w:ind w:left="1440"/>
        <w:jc w:val="both"/>
        <w:rPr>
          <w:i/>
          <w:iCs/>
          <w:color w:val="FF0000"/>
        </w:rPr>
      </w:pPr>
    </w:p>
    <w:p w14:paraId="7DDF09E0" w14:textId="77777777" w:rsidR="00176A2B" w:rsidRDefault="00176A2B" w:rsidP="00DC38F0">
      <w:pPr>
        <w:pStyle w:val="ListParagraph"/>
        <w:ind w:left="1440"/>
        <w:jc w:val="both"/>
        <w:rPr>
          <w:i/>
          <w:iCs/>
          <w:color w:val="FF0000"/>
        </w:rPr>
      </w:pPr>
    </w:p>
    <w:p w14:paraId="53CA4368" w14:textId="77777777" w:rsidR="00176A2B" w:rsidRDefault="00176A2B" w:rsidP="00DC38F0">
      <w:pPr>
        <w:pStyle w:val="ListParagraph"/>
        <w:ind w:left="1440"/>
        <w:jc w:val="both"/>
        <w:rPr>
          <w:i/>
          <w:iCs/>
          <w:color w:val="FF0000"/>
        </w:rPr>
      </w:pPr>
    </w:p>
    <w:p w14:paraId="2B8E06BD" w14:textId="77777777" w:rsidR="00176A2B" w:rsidRDefault="00176A2B" w:rsidP="00DC38F0">
      <w:pPr>
        <w:pStyle w:val="ListParagraph"/>
        <w:ind w:left="1440"/>
        <w:jc w:val="both"/>
        <w:rPr>
          <w:i/>
          <w:iCs/>
          <w:color w:val="FF0000"/>
        </w:rPr>
      </w:pPr>
    </w:p>
    <w:p w14:paraId="0C82CDAD" w14:textId="77777777" w:rsidR="00176A2B" w:rsidRDefault="00176A2B" w:rsidP="00DC38F0">
      <w:pPr>
        <w:pStyle w:val="ListParagraph"/>
        <w:ind w:left="1440"/>
        <w:jc w:val="both"/>
        <w:rPr>
          <w:i/>
          <w:iCs/>
          <w:color w:val="FF0000"/>
        </w:rPr>
      </w:pPr>
    </w:p>
    <w:p w14:paraId="4C922658" w14:textId="77777777" w:rsidR="00176A2B" w:rsidRDefault="00176A2B" w:rsidP="00DC38F0">
      <w:pPr>
        <w:pStyle w:val="ListParagraph"/>
        <w:ind w:left="1440"/>
        <w:jc w:val="both"/>
        <w:rPr>
          <w:i/>
          <w:iCs/>
          <w:color w:val="FF0000"/>
        </w:rPr>
      </w:pPr>
    </w:p>
    <w:p w14:paraId="1202E59A" w14:textId="77777777" w:rsidR="00176A2B" w:rsidRDefault="00176A2B" w:rsidP="00DC38F0">
      <w:pPr>
        <w:pStyle w:val="ListParagraph"/>
        <w:ind w:left="1440"/>
        <w:jc w:val="both"/>
        <w:rPr>
          <w:i/>
          <w:iCs/>
          <w:color w:val="FF0000"/>
        </w:rPr>
      </w:pPr>
    </w:p>
    <w:p w14:paraId="70AC05F7" w14:textId="77777777" w:rsidR="00176A2B" w:rsidRDefault="00176A2B" w:rsidP="00DC38F0">
      <w:pPr>
        <w:pStyle w:val="ListParagraph"/>
        <w:ind w:left="1440"/>
        <w:jc w:val="both"/>
        <w:rPr>
          <w:i/>
          <w:iCs/>
          <w:color w:val="FF0000"/>
        </w:rPr>
      </w:pPr>
    </w:p>
    <w:p w14:paraId="0878293F" w14:textId="77777777" w:rsidR="00176A2B" w:rsidRDefault="00176A2B" w:rsidP="00DC38F0">
      <w:pPr>
        <w:pStyle w:val="ListParagraph"/>
        <w:ind w:left="1440"/>
        <w:jc w:val="both"/>
        <w:rPr>
          <w:i/>
          <w:iCs/>
          <w:color w:val="FF0000"/>
        </w:rPr>
      </w:pPr>
    </w:p>
    <w:p w14:paraId="17FA065C" w14:textId="77777777" w:rsidR="00176A2B" w:rsidRDefault="00176A2B" w:rsidP="00DC38F0">
      <w:pPr>
        <w:pStyle w:val="ListParagraph"/>
        <w:ind w:left="1440"/>
        <w:jc w:val="both"/>
        <w:rPr>
          <w:i/>
          <w:iCs/>
          <w:color w:val="FF0000"/>
        </w:rPr>
      </w:pPr>
    </w:p>
    <w:p w14:paraId="20D09FF9" w14:textId="77777777" w:rsidR="00176A2B" w:rsidRDefault="00176A2B" w:rsidP="00DC38F0">
      <w:pPr>
        <w:pStyle w:val="ListParagraph"/>
        <w:ind w:left="1440"/>
        <w:jc w:val="both"/>
        <w:rPr>
          <w:i/>
          <w:iCs/>
          <w:color w:val="FF0000"/>
        </w:rPr>
      </w:pPr>
    </w:p>
    <w:p w14:paraId="66CBCFA0" w14:textId="77777777" w:rsidR="00176A2B" w:rsidRDefault="00176A2B" w:rsidP="00DC38F0">
      <w:pPr>
        <w:pStyle w:val="ListParagraph"/>
        <w:ind w:left="1440"/>
        <w:jc w:val="both"/>
        <w:rPr>
          <w:i/>
          <w:iCs/>
          <w:color w:val="FF0000"/>
        </w:rPr>
      </w:pPr>
    </w:p>
    <w:p w14:paraId="6E62D7AC" w14:textId="77777777" w:rsidR="00176A2B" w:rsidRDefault="00176A2B" w:rsidP="00DC38F0">
      <w:pPr>
        <w:pStyle w:val="ListParagraph"/>
        <w:ind w:left="1440"/>
        <w:jc w:val="both"/>
        <w:rPr>
          <w:i/>
          <w:iCs/>
          <w:color w:val="FF0000"/>
        </w:rPr>
      </w:pPr>
    </w:p>
    <w:p w14:paraId="695108CA" w14:textId="77777777" w:rsidR="00176A2B" w:rsidRDefault="00176A2B" w:rsidP="00DC38F0">
      <w:pPr>
        <w:pStyle w:val="ListParagraph"/>
        <w:ind w:left="1440"/>
        <w:jc w:val="both"/>
        <w:rPr>
          <w:i/>
          <w:iCs/>
          <w:color w:val="FF0000"/>
        </w:rPr>
      </w:pPr>
    </w:p>
    <w:p w14:paraId="35C8B2D5" w14:textId="77777777" w:rsidR="00176A2B" w:rsidRDefault="00176A2B" w:rsidP="00DC38F0">
      <w:pPr>
        <w:pStyle w:val="ListParagraph"/>
        <w:ind w:left="1440"/>
        <w:jc w:val="both"/>
        <w:rPr>
          <w:i/>
          <w:iCs/>
          <w:color w:val="FF0000"/>
        </w:rPr>
      </w:pPr>
    </w:p>
    <w:p w14:paraId="07B4612C" w14:textId="77777777" w:rsidR="00176A2B" w:rsidRDefault="00176A2B" w:rsidP="00DC38F0">
      <w:pPr>
        <w:pStyle w:val="ListParagraph"/>
        <w:ind w:left="1440"/>
        <w:jc w:val="both"/>
        <w:rPr>
          <w:i/>
          <w:iCs/>
          <w:color w:val="FF0000"/>
        </w:rPr>
      </w:pPr>
    </w:p>
    <w:p w14:paraId="3AB4BB14" w14:textId="77777777" w:rsidR="00176A2B" w:rsidRDefault="00176A2B" w:rsidP="00DC38F0">
      <w:pPr>
        <w:pStyle w:val="ListParagraph"/>
        <w:ind w:left="1440"/>
        <w:jc w:val="both"/>
        <w:rPr>
          <w:i/>
          <w:iCs/>
          <w:color w:val="FF0000"/>
        </w:rPr>
      </w:pPr>
    </w:p>
    <w:p w14:paraId="08F7CC2E" w14:textId="77777777" w:rsidR="00176A2B" w:rsidRDefault="00176A2B" w:rsidP="00DC38F0">
      <w:pPr>
        <w:pStyle w:val="ListParagraph"/>
        <w:ind w:left="1440"/>
        <w:jc w:val="both"/>
        <w:rPr>
          <w:i/>
          <w:iCs/>
          <w:color w:val="FF0000"/>
        </w:rPr>
      </w:pPr>
    </w:p>
    <w:p w14:paraId="3A1792AA" w14:textId="77777777" w:rsidR="00176A2B" w:rsidRDefault="00176A2B" w:rsidP="00DC38F0">
      <w:pPr>
        <w:pStyle w:val="ListParagraph"/>
        <w:ind w:left="1440"/>
        <w:jc w:val="both"/>
        <w:rPr>
          <w:i/>
          <w:iCs/>
          <w:color w:val="FF0000"/>
        </w:rPr>
      </w:pPr>
    </w:p>
    <w:p w14:paraId="4CE7675A" w14:textId="4E52412B" w:rsidR="003A2922" w:rsidRPr="00911BEF" w:rsidRDefault="002655ED" w:rsidP="003A2922">
      <w:pPr>
        <w:jc w:val="both"/>
        <w:rPr>
          <w:b/>
          <w:bCs/>
          <w:color w:val="FF0000"/>
          <w:sz w:val="28"/>
          <w:szCs w:val="28"/>
        </w:rPr>
      </w:pPr>
      <w:r>
        <w:rPr>
          <w:b/>
          <w:bCs/>
          <w:i/>
          <w:iCs/>
          <w:color w:val="FF0000"/>
          <w:sz w:val="28"/>
          <w:szCs w:val="28"/>
        </w:rPr>
        <w:t xml:space="preserve">          </w:t>
      </w:r>
      <w:r w:rsidR="00176A2B" w:rsidRPr="00911BEF">
        <w:rPr>
          <w:b/>
          <w:bCs/>
          <w:i/>
          <w:iCs/>
          <w:color w:val="FF0000"/>
          <w:sz w:val="28"/>
          <w:szCs w:val="28"/>
        </w:rPr>
        <w:t>APPENDIX B</w:t>
      </w:r>
      <w:r w:rsidR="003A2922" w:rsidRPr="00911BEF">
        <w:rPr>
          <w:b/>
          <w:bCs/>
          <w:sz w:val="28"/>
          <w:szCs w:val="28"/>
        </w:rPr>
        <w:t xml:space="preserve"> Analyst Checklist/Tips </w:t>
      </w:r>
      <w:proofErr w:type="gramStart"/>
      <w:r w:rsidR="003A2922" w:rsidRPr="00911BEF">
        <w:rPr>
          <w:b/>
          <w:bCs/>
          <w:sz w:val="28"/>
          <w:szCs w:val="28"/>
        </w:rPr>
        <w:t>For</w:t>
      </w:r>
      <w:proofErr w:type="gramEnd"/>
      <w:r w:rsidR="003A2922" w:rsidRPr="00911BEF">
        <w:rPr>
          <w:b/>
          <w:bCs/>
          <w:sz w:val="28"/>
          <w:szCs w:val="28"/>
        </w:rPr>
        <w:t xml:space="preserve"> Evaluating Collateral Packages </w:t>
      </w:r>
      <w:r w:rsidR="000E4791">
        <w:rPr>
          <w:b/>
          <w:bCs/>
          <w:sz w:val="28"/>
          <w:szCs w:val="28"/>
        </w:rPr>
        <w:br/>
        <w:t xml:space="preserve">                                           </w:t>
      </w:r>
      <w:r w:rsidR="003A2922" w:rsidRPr="00911BEF">
        <w:rPr>
          <w:b/>
          <w:bCs/>
          <w:color w:val="FF0000"/>
          <w:sz w:val="28"/>
          <w:szCs w:val="28"/>
        </w:rPr>
        <w:t>GIL</w:t>
      </w:r>
    </w:p>
    <w:p w14:paraId="3C899FDD" w14:textId="6474C13C" w:rsidR="00176A2B" w:rsidRDefault="003A2922" w:rsidP="003A2922">
      <w:pPr>
        <w:pStyle w:val="ListParagraph"/>
        <w:ind w:left="1440"/>
        <w:jc w:val="both"/>
        <w:rPr>
          <w:i/>
          <w:iCs/>
          <w:color w:val="FF0000"/>
        </w:rPr>
      </w:pPr>
      <w:r w:rsidRPr="00911BEF">
        <w:rPr>
          <w:b/>
          <w:bCs/>
          <w:sz w:val="28"/>
          <w:szCs w:val="28"/>
        </w:rPr>
        <w:br/>
      </w:r>
    </w:p>
    <w:p w14:paraId="1B2F3BA4" w14:textId="77777777" w:rsidR="00176A2B" w:rsidRDefault="00176A2B" w:rsidP="00DC38F0">
      <w:pPr>
        <w:pStyle w:val="ListParagraph"/>
        <w:ind w:left="1440"/>
        <w:jc w:val="both"/>
        <w:rPr>
          <w:i/>
          <w:iCs/>
          <w:color w:val="FF0000"/>
        </w:rPr>
      </w:pPr>
    </w:p>
    <w:p w14:paraId="203216CE" w14:textId="77777777" w:rsidR="00176A2B" w:rsidRDefault="00176A2B" w:rsidP="00DC38F0">
      <w:pPr>
        <w:pStyle w:val="ListParagraph"/>
        <w:ind w:left="1440"/>
        <w:jc w:val="both"/>
        <w:rPr>
          <w:i/>
          <w:iCs/>
          <w:color w:val="FF0000"/>
        </w:rPr>
      </w:pPr>
    </w:p>
    <w:p w14:paraId="3D282A0F" w14:textId="77777777" w:rsidR="00176A2B" w:rsidRDefault="00176A2B" w:rsidP="00DC38F0">
      <w:pPr>
        <w:pStyle w:val="ListParagraph"/>
        <w:ind w:left="1440"/>
        <w:jc w:val="both"/>
        <w:rPr>
          <w:i/>
          <w:iCs/>
          <w:color w:val="FF0000"/>
        </w:rPr>
      </w:pPr>
    </w:p>
    <w:p w14:paraId="4410060E" w14:textId="77777777" w:rsidR="00176A2B" w:rsidRDefault="00176A2B" w:rsidP="00DC38F0">
      <w:pPr>
        <w:pStyle w:val="ListParagraph"/>
        <w:ind w:left="1440"/>
        <w:jc w:val="both"/>
        <w:rPr>
          <w:i/>
          <w:iCs/>
          <w:color w:val="FF0000"/>
        </w:rPr>
      </w:pPr>
    </w:p>
    <w:p w14:paraId="39C106F8" w14:textId="77777777" w:rsidR="00176A2B" w:rsidRDefault="00176A2B" w:rsidP="00DC38F0">
      <w:pPr>
        <w:pStyle w:val="ListParagraph"/>
        <w:ind w:left="1440"/>
        <w:jc w:val="both"/>
        <w:rPr>
          <w:i/>
          <w:iCs/>
          <w:color w:val="FF0000"/>
        </w:rPr>
      </w:pPr>
    </w:p>
    <w:p w14:paraId="4510C646" w14:textId="77777777" w:rsidR="00176A2B" w:rsidRDefault="00176A2B" w:rsidP="00DC38F0">
      <w:pPr>
        <w:pStyle w:val="ListParagraph"/>
        <w:ind w:left="1440"/>
        <w:jc w:val="both"/>
        <w:rPr>
          <w:i/>
          <w:iCs/>
          <w:color w:val="FF0000"/>
        </w:rPr>
      </w:pPr>
    </w:p>
    <w:p w14:paraId="05612DB9" w14:textId="77777777" w:rsidR="00176A2B" w:rsidRDefault="00176A2B" w:rsidP="00DC38F0">
      <w:pPr>
        <w:pStyle w:val="ListParagraph"/>
        <w:ind w:left="1440"/>
        <w:jc w:val="both"/>
        <w:rPr>
          <w:i/>
          <w:iCs/>
          <w:color w:val="FF0000"/>
        </w:rPr>
      </w:pPr>
    </w:p>
    <w:p w14:paraId="4C0ED1C0" w14:textId="77777777" w:rsidR="00176A2B" w:rsidRDefault="00176A2B" w:rsidP="00DC38F0">
      <w:pPr>
        <w:pStyle w:val="ListParagraph"/>
        <w:ind w:left="1440"/>
        <w:jc w:val="both"/>
        <w:rPr>
          <w:i/>
          <w:iCs/>
          <w:color w:val="FF0000"/>
        </w:rPr>
      </w:pPr>
    </w:p>
    <w:p w14:paraId="62646B73" w14:textId="77777777" w:rsidR="00176A2B" w:rsidRDefault="00176A2B" w:rsidP="00DC38F0">
      <w:pPr>
        <w:pStyle w:val="ListParagraph"/>
        <w:ind w:left="1440"/>
        <w:jc w:val="both"/>
        <w:rPr>
          <w:i/>
          <w:iCs/>
          <w:color w:val="FF0000"/>
        </w:rPr>
      </w:pPr>
    </w:p>
    <w:p w14:paraId="3B1A5EEF" w14:textId="77777777" w:rsidR="00176A2B" w:rsidRDefault="00176A2B" w:rsidP="00DC38F0">
      <w:pPr>
        <w:pStyle w:val="ListParagraph"/>
        <w:ind w:left="1440"/>
        <w:jc w:val="both"/>
        <w:rPr>
          <w:i/>
          <w:iCs/>
          <w:color w:val="FF0000"/>
        </w:rPr>
      </w:pPr>
    </w:p>
    <w:p w14:paraId="33F1F08E" w14:textId="77777777" w:rsidR="00176A2B" w:rsidRDefault="00176A2B" w:rsidP="00DC38F0">
      <w:pPr>
        <w:pStyle w:val="ListParagraph"/>
        <w:ind w:left="1440"/>
        <w:jc w:val="both"/>
        <w:rPr>
          <w:i/>
          <w:iCs/>
          <w:color w:val="FF0000"/>
        </w:rPr>
      </w:pPr>
    </w:p>
    <w:p w14:paraId="20693BDC" w14:textId="77777777" w:rsidR="00176A2B" w:rsidRDefault="00176A2B" w:rsidP="00DC38F0">
      <w:pPr>
        <w:pStyle w:val="ListParagraph"/>
        <w:ind w:left="1440"/>
        <w:jc w:val="both"/>
        <w:rPr>
          <w:i/>
          <w:iCs/>
          <w:color w:val="FF0000"/>
        </w:rPr>
      </w:pPr>
    </w:p>
    <w:p w14:paraId="5CAD0D5C" w14:textId="77777777" w:rsidR="00176A2B" w:rsidRDefault="00176A2B" w:rsidP="00DC38F0">
      <w:pPr>
        <w:pStyle w:val="ListParagraph"/>
        <w:ind w:left="1440"/>
        <w:jc w:val="both"/>
        <w:rPr>
          <w:i/>
          <w:iCs/>
          <w:color w:val="FF0000"/>
        </w:rPr>
      </w:pPr>
    </w:p>
    <w:p w14:paraId="3D5AC8C9" w14:textId="77777777" w:rsidR="00176A2B" w:rsidRDefault="00176A2B" w:rsidP="00DC38F0">
      <w:pPr>
        <w:pStyle w:val="ListParagraph"/>
        <w:ind w:left="1440"/>
        <w:jc w:val="both"/>
        <w:rPr>
          <w:i/>
          <w:iCs/>
          <w:color w:val="FF0000"/>
        </w:rPr>
      </w:pPr>
    </w:p>
    <w:p w14:paraId="0E61CCB7" w14:textId="77777777" w:rsidR="00176A2B" w:rsidRDefault="00176A2B" w:rsidP="00DC38F0">
      <w:pPr>
        <w:pStyle w:val="ListParagraph"/>
        <w:ind w:left="1440"/>
        <w:jc w:val="both"/>
        <w:rPr>
          <w:i/>
          <w:iCs/>
          <w:color w:val="FF0000"/>
        </w:rPr>
      </w:pPr>
    </w:p>
    <w:p w14:paraId="525EB655" w14:textId="77777777" w:rsidR="00176A2B" w:rsidRDefault="00176A2B" w:rsidP="00DC38F0">
      <w:pPr>
        <w:pStyle w:val="ListParagraph"/>
        <w:ind w:left="1440"/>
        <w:jc w:val="both"/>
        <w:rPr>
          <w:i/>
          <w:iCs/>
          <w:color w:val="FF0000"/>
        </w:rPr>
      </w:pPr>
    </w:p>
    <w:p w14:paraId="1ECC3AB5" w14:textId="77777777" w:rsidR="00176A2B" w:rsidRDefault="00176A2B" w:rsidP="00DC38F0">
      <w:pPr>
        <w:pStyle w:val="ListParagraph"/>
        <w:ind w:left="1440"/>
        <w:jc w:val="both"/>
        <w:rPr>
          <w:i/>
          <w:iCs/>
          <w:color w:val="FF0000"/>
        </w:rPr>
      </w:pPr>
    </w:p>
    <w:p w14:paraId="0774EE70" w14:textId="77777777" w:rsidR="00176A2B" w:rsidRDefault="00176A2B" w:rsidP="00DC38F0">
      <w:pPr>
        <w:pStyle w:val="ListParagraph"/>
        <w:ind w:left="1440"/>
        <w:jc w:val="both"/>
        <w:rPr>
          <w:i/>
          <w:iCs/>
          <w:color w:val="FF0000"/>
        </w:rPr>
      </w:pPr>
    </w:p>
    <w:p w14:paraId="4C23C73D" w14:textId="77777777" w:rsidR="00176A2B" w:rsidRDefault="00176A2B" w:rsidP="00DC38F0">
      <w:pPr>
        <w:pStyle w:val="ListParagraph"/>
        <w:ind w:left="1440"/>
        <w:jc w:val="both"/>
        <w:rPr>
          <w:i/>
          <w:iCs/>
          <w:color w:val="FF0000"/>
        </w:rPr>
      </w:pPr>
    </w:p>
    <w:p w14:paraId="7211FF03" w14:textId="77777777" w:rsidR="00176A2B" w:rsidRDefault="00176A2B" w:rsidP="00DC38F0">
      <w:pPr>
        <w:pStyle w:val="ListParagraph"/>
        <w:ind w:left="1440"/>
        <w:jc w:val="both"/>
        <w:rPr>
          <w:i/>
          <w:iCs/>
          <w:color w:val="FF0000"/>
        </w:rPr>
      </w:pPr>
    </w:p>
    <w:p w14:paraId="51D7D982" w14:textId="77777777" w:rsidR="00176A2B" w:rsidRDefault="00176A2B" w:rsidP="00DC38F0">
      <w:pPr>
        <w:pStyle w:val="ListParagraph"/>
        <w:ind w:left="1440"/>
        <w:jc w:val="both"/>
        <w:rPr>
          <w:i/>
          <w:iCs/>
          <w:color w:val="FF0000"/>
        </w:rPr>
      </w:pPr>
    </w:p>
    <w:p w14:paraId="6E269708" w14:textId="77777777" w:rsidR="00176A2B" w:rsidRDefault="00176A2B" w:rsidP="00DC38F0">
      <w:pPr>
        <w:pStyle w:val="ListParagraph"/>
        <w:ind w:left="1440"/>
        <w:jc w:val="both"/>
        <w:rPr>
          <w:i/>
          <w:iCs/>
          <w:color w:val="FF0000"/>
        </w:rPr>
      </w:pPr>
    </w:p>
    <w:p w14:paraId="5F9683C5" w14:textId="77777777" w:rsidR="00176A2B" w:rsidRDefault="00176A2B" w:rsidP="00DC38F0">
      <w:pPr>
        <w:pStyle w:val="ListParagraph"/>
        <w:ind w:left="1440"/>
        <w:jc w:val="both"/>
        <w:rPr>
          <w:i/>
          <w:iCs/>
          <w:color w:val="FF0000"/>
        </w:rPr>
      </w:pPr>
    </w:p>
    <w:p w14:paraId="3E6B0532" w14:textId="77777777" w:rsidR="00176A2B" w:rsidRDefault="00176A2B" w:rsidP="00DC38F0">
      <w:pPr>
        <w:pStyle w:val="ListParagraph"/>
        <w:ind w:left="1440"/>
        <w:jc w:val="both"/>
        <w:rPr>
          <w:i/>
          <w:iCs/>
          <w:color w:val="FF0000"/>
        </w:rPr>
      </w:pPr>
    </w:p>
    <w:p w14:paraId="39BC22C7" w14:textId="77777777" w:rsidR="00176A2B" w:rsidRDefault="00176A2B" w:rsidP="00DC38F0">
      <w:pPr>
        <w:pStyle w:val="ListParagraph"/>
        <w:ind w:left="1440"/>
        <w:jc w:val="both"/>
        <w:rPr>
          <w:i/>
          <w:iCs/>
          <w:color w:val="FF0000"/>
        </w:rPr>
      </w:pPr>
    </w:p>
    <w:p w14:paraId="1A847D4E" w14:textId="77777777" w:rsidR="00176A2B" w:rsidRDefault="00176A2B" w:rsidP="00DC38F0">
      <w:pPr>
        <w:pStyle w:val="ListParagraph"/>
        <w:ind w:left="1440"/>
        <w:jc w:val="both"/>
        <w:rPr>
          <w:i/>
          <w:iCs/>
          <w:color w:val="FF0000"/>
        </w:rPr>
      </w:pPr>
    </w:p>
    <w:p w14:paraId="5FA133CA" w14:textId="77777777" w:rsidR="00176A2B" w:rsidRDefault="00176A2B" w:rsidP="00DC38F0">
      <w:pPr>
        <w:pStyle w:val="ListParagraph"/>
        <w:ind w:left="1440"/>
        <w:jc w:val="both"/>
        <w:rPr>
          <w:i/>
          <w:iCs/>
          <w:color w:val="FF0000"/>
        </w:rPr>
      </w:pPr>
    </w:p>
    <w:p w14:paraId="4B1E6CAB" w14:textId="77777777" w:rsidR="00176A2B" w:rsidRDefault="00176A2B" w:rsidP="00DC38F0">
      <w:pPr>
        <w:pStyle w:val="ListParagraph"/>
        <w:ind w:left="1440"/>
        <w:jc w:val="both"/>
        <w:rPr>
          <w:i/>
          <w:iCs/>
          <w:color w:val="FF0000"/>
        </w:rPr>
      </w:pPr>
    </w:p>
    <w:p w14:paraId="347E6F29" w14:textId="77777777" w:rsidR="00176A2B" w:rsidRDefault="00176A2B" w:rsidP="00DC38F0">
      <w:pPr>
        <w:pStyle w:val="ListParagraph"/>
        <w:ind w:left="1440"/>
        <w:jc w:val="both"/>
        <w:rPr>
          <w:i/>
          <w:iCs/>
          <w:color w:val="FF0000"/>
        </w:rPr>
      </w:pPr>
    </w:p>
    <w:p w14:paraId="0C2A6B80" w14:textId="77777777" w:rsidR="00176A2B" w:rsidRDefault="00176A2B" w:rsidP="00DC38F0">
      <w:pPr>
        <w:pStyle w:val="ListParagraph"/>
        <w:ind w:left="1440"/>
        <w:jc w:val="both"/>
        <w:rPr>
          <w:i/>
          <w:iCs/>
          <w:color w:val="FF0000"/>
        </w:rPr>
      </w:pPr>
    </w:p>
    <w:p w14:paraId="32A9620E" w14:textId="77777777" w:rsidR="00176A2B" w:rsidRDefault="00176A2B" w:rsidP="00DC38F0">
      <w:pPr>
        <w:pStyle w:val="ListParagraph"/>
        <w:ind w:left="1440"/>
        <w:jc w:val="both"/>
        <w:rPr>
          <w:i/>
          <w:iCs/>
          <w:color w:val="FF0000"/>
        </w:rPr>
      </w:pPr>
    </w:p>
    <w:p w14:paraId="0294A4CE" w14:textId="77777777" w:rsidR="00176A2B" w:rsidRDefault="00176A2B" w:rsidP="00DC38F0">
      <w:pPr>
        <w:pStyle w:val="ListParagraph"/>
        <w:ind w:left="1440"/>
        <w:jc w:val="both"/>
        <w:rPr>
          <w:i/>
          <w:iCs/>
          <w:color w:val="FF0000"/>
        </w:rPr>
      </w:pPr>
    </w:p>
    <w:p w14:paraId="5006B06E" w14:textId="77777777" w:rsidR="00176A2B" w:rsidRDefault="00176A2B" w:rsidP="00DC38F0">
      <w:pPr>
        <w:pStyle w:val="ListParagraph"/>
        <w:ind w:left="1440"/>
        <w:jc w:val="both"/>
        <w:rPr>
          <w:i/>
          <w:iCs/>
          <w:color w:val="FF0000"/>
        </w:rPr>
      </w:pPr>
    </w:p>
    <w:p w14:paraId="7C2B7F0E" w14:textId="77777777" w:rsidR="00176A2B" w:rsidRDefault="00176A2B" w:rsidP="00DC38F0">
      <w:pPr>
        <w:pStyle w:val="ListParagraph"/>
        <w:ind w:left="1440"/>
        <w:jc w:val="both"/>
        <w:rPr>
          <w:i/>
          <w:iCs/>
          <w:color w:val="FF0000"/>
        </w:rPr>
      </w:pPr>
    </w:p>
    <w:p w14:paraId="1628B31E" w14:textId="77777777" w:rsidR="00176A2B" w:rsidRDefault="00176A2B" w:rsidP="00DC38F0">
      <w:pPr>
        <w:pStyle w:val="ListParagraph"/>
        <w:ind w:left="1440"/>
        <w:jc w:val="both"/>
        <w:rPr>
          <w:i/>
          <w:iCs/>
          <w:color w:val="FF0000"/>
        </w:rPr>
      </w:pPr>
    </w:p>
    <w:p w14:paraId="6F213E2A" w14:textId="77777777" w:rsidR="00176A2B" w:rsidRDefault="00176A2B" w:rsidP="00DC38F0">
      <w:pPr>
        <w:pStyle w:val="ListParagraph"/>
        <w:ind w:left="1440"/>
        <w:jc w:val="both"/>
        <w:rPr>
          <w:i/>
          <w:iCs/>
          <w:color w:val="FF0000"/>
        </w:rPr>
      </w:pPr>
    </w:p>
    <w:p w14:paraId="033F5588" w14:textId="77777777" w:rsidR="00176A2B" w:rsidRDefault="00176A2B" w:rsidP="00DC38F0">
      <w:pPr>
        <w:pStyle w:val="ListParagraph"/>
        <w:ind w:left="1440"/>
        <w:jc w:val="both"/>
        <w:rPr>
          <w:i/>
          <w:iCs/>
          <w:color w:val="FF0000"/>
        </w:rPr>
      </w:pPr>
    </w:p>
    <w:p w14:paraId="53BFB6C5" w14:textId="77777777" w:rsidR="00176A2B" w:rsidRDefault="00176A2B" w:rsidP="00DC38F0">
      <w:pPr>
        <w:pStyle w:val="ListParagraph"/>
        <w:ind w:left="1440"/>
        <w:jc w:val="both"/>
        <w:rPr>
          <w:i/>
          <w:iCs/>
          <w:color w:val="FF0000"/>
        </w:rPr>
      </w:pPr>
    </w:p>
    <w:p w14:paraId="176A5DBF" w14:textId="77777777" w:rsidR="00176A2B" w:rsidRDefault="00176A2B" w:rsidP="00DC38F0">
      <w:pPr>
        <w:pStyle w:val="ListParagraph"/>
        <w:ind w:left="1440"/>
        <w:jc w:val="both"/>
        <w:rPr>
          <w:i/>
          <w:iCs/>
          <w:color w:val="FF0000"/>
        </w:rPr>
      </w:pPr>
    </w:p>
    <w:p w14:paraId="57E9CC9B" w14:textId="77777777" w:rsidR="00176A2B" w:rsidRDefault="00176A2B" w:rsidP="00DC38F0">
      <w:pPr>
        <w:pStyle w:val="ListParagraph"/>
        <w:ind w:left="1440"/>
        <w:jc w:val="both"/>
        <w:rPr>
          <w:i/>
          <w:iCs/>
          <w:color w:val="FF0000"/>
        </w:rPr>
      </w:pPr>
    </w:p>
    <w:p w14:paraId="3A54A47F" w14:textId="77777777" w:rsidR="00176A2B" w:rsidRDefault="00176A2B" w:rsidP="00DC38F0">
      <w:pPr>
        <w:pStyle w:val="ListParagraph"/>
        <w:ind w:left="1440"/>
        <w:jc w:val="both"/>
        <w:rPr>
          <w:i/>
          <w:iCs/>
          <w:color w:val="FF0000"/>
        </w:rPr>
      </w:pPr>
    </w:p>
    <w:p w14:paraId="41DCA680" w14:textId="77777777" w:rsidR="00176A2B" w:rsidRDefault="00176A2B" w:rsidP="00DC38F0">
      <w:pPr>
        <w:pStyle w:val="ListParagraph"/>
        <w:ind w:left="1440"/>
        <w:jc w:val="both"/>
        <w:rPr>
          <w:i/>
          <w:iCs/>
          <w:color w:val="FF0000"/>
        </w:rPr>
      </w:pPr>
    </w:p>
    <w:p w14:paraId="7730EBAE" w14:textId="77777777" w:rsidR="00176A2B" w:rsidRDefault="00176A2B" w:rsidP="00DC38F0">
      <w:pPr>
        <w:pStyle w:val="ListParagraph"/>
        <w:ind w:left="1440"/>
        <w:jc w:val="both"/>
        <w:rPr>
          <w:i/>
          <w:iCs/>
          <w:color w:val="FF0000"/>
        </w:rPr>
      </w:pPr>
    </w:p>
    <w:p w14:paraId="1CA51B26" w14:textId="77777777" w:rsidR="00176A2B" w:rsidRDefault="00176A2B" w:rsidP="00DC38F0">
      <w:pPr>
        <w:pStyle w:val="ListParagraph"/>
        <w:ind w:left="1440"/>
        <w:jc w:val="both"/>
        <w:rPr>
          <w:i/>
          <w:iCs/>
          <w:color w:val="FF0000"/>
        </w:rPr>
      </w:pPr>
    </w:p>
    <w:p w14:paraId="5A3948AB" w14:textId="60C49C28" w:rsidR="00831A20" w:rsidRPr="00911BEF" w:rsidRDefault="00176A2B" w:rsidP="00831A20">
      <w:pPr>
        <w:jc w:val="both"/>
        <w:rPr>
          <w:b/>
          <w:bCs/>
          <w:color w:val="FF0000"/>
          <w:sz w:val="28"/>
          <w:szCs w:val="28"/>
        </w:rPr>
      </w:pPr>
      <w:r w:rsidRPr="00911BEF">
        <w:rPr>
          <w:b/>
          <w:bCs/>
          <w:i/>
          <w:iCs/>
          <w:color w:val="FF0000"/>
          <w:sz w:val="28"/>
          <w:szCs w:val="28"/>
        </w:rPr>
        <w:t>APPENDIX C</w:t>
      </w:r>
      <w:r w:rsidR="00831A20" w:rsidRPr="00911BEF">
        <w:rPr>
          <w:b/>
          <w:bCs/>
          <w:sz w:val="28"/>
          <w:szCs w:val="28"/>
        </w:rPr>
        <w:t xml:space="preserve"> Sample Additions </w:t>
      </w:r>
      <w:proofErr w:type="gramStart"/>
      <w:r w:rsidR="00831A20" w:rsidRPr="00911BEF">
        <w:rPr>
          <w:b/>
          <w:bCs/>
          <w:sz w:val="28"/>
          <w:szCs w:val="28"/>
        </w:rPr>
        <w:t>To</w:t>
      </w:r>
      <w:proofErr w:type="gramEnd"/>
      <w:r w:rsidR="00831A20" w:rsidRPr="00911BEF">
        <w:rPr>
          <w:b/>
          <w:bCs/>
          <w:sz w:val="28"/>
          <w:szCs w:val="28"/>
        </w:rPr>
        <w:t xml:space="preserve"> Continuing Disclosure Agreements </w:t>
      </w:r>
      <w:r w:rsidR="000E4791">
        <w:rPr>
          <w:b/>
          <w:bCs/>
          <w:sz w:val="28"/>
          <w:szCs w:val="28"/>
        </w:rPr>
        <w:br/>
        <w:t xml:space="preserve">                  </w:t>
      </w:r>
      <w:r w:rsidR="00831A20" w:rsidRPr="00911BEF">
        <w:rPr>
          <w:b/>
          <w:bCs/>
          <w:sz w:val="28"/>
          <w:szCs w:val="28"/>
        </w:rPr>
        <w:t>Respecting</w:t>
      </w:r>
      <w:r w:rsidR="00911BEF">
        <w:rPr>
          <w:b/>
          <w:bCs/>
          <w:sz w:val="28"/>
          <w:szCs w:val="28"/>
        </w:rPr>
        <w:t xml:space="preserve"> </w:t>
      </w:r>
      <w:r w:rsidR="00831A20" w:rsidRPr="00911BEF">
        <w:rPr>
          <w:b/>
          <w:bCs/>
          <w:sz w:val="28"/>
          <w:szCs w:val="28"/>
        </w:rPr>
        <w:t xml:space="preserve">Collateral Packages </w:t>
      </w:r>
      <w:r w:rsidR="00831A20" w:rsidRPr="00911BEF">
        <w:rPr>
          <w:b/>
          <w:bCs/>
          <w:color w:val="FF0000"/>
          <w:sz w:val="28"/>
          <w:szCs w:val="28"/>
        </w:rPr>
        <w:t>GIL</w:t>
      </w:r>
    </w:p>
    <w:p w14:paraId="1E6164F8" w14:textId="62A5A6B7" w:rsidR="00176A2B" w:rsidRPr="00911BEF" w:rsidRDefault="00176A2B" w:rsidP="00DC38F0">
      <w:pPr>
        <w:pStyle w:val="ListParagraph"/>
        <w:ind w:left="1440"/>
        <w:jc w:val="both"/>
        <w:rPr>
          <w:b/>
          <w:bCs/>
          <w:i/>
          <w:iCs/>
          <w:color w:val="FF0000"/>
          <w:sz w:val="28"/>
          <w:szCs w:val="28"/>
        </w:rPr>
      </w:pPr>
    </w:p>
    <w:p w14:paraId="0A87E806" w14:textId="77777777" w:rsidR="00176A2B" w:rsidRDefault="00176A2B" w:rsidP="00DC38F0">
      <w:pPr>
        <w:pStyle w:val="ListParagraph"/>
        <w:ind w:left="1440"/>
        <w:jc w:val="both"/>
        <w:rPr>
          <w:i/>
          <w:iCs/>
          <w:color w:val="FF0000"/>
        </w:rPr>
      </w:pPr>
    </w:p>
    <w:p w14:paraId="46E09725" w14:textId="77777777" w:rsidR="00176A2B" w:rsidRDefault="00176A2B" w:rsidP="00DC38F0">
      <w:pPr>
        <w:pStyle w:val="ListParagraph"/>
        <w:ind w:left="1440"/>
        <w:jc w:val="both"/>
        <w:rPr>
          <w:i/>
          <w:iCs/>
          <w:color w:val="FF0000"/>
        </w:rPr>
      </w:pPr>
    </w:p>
    <w:p w14:paraId="65F5C704" w14:textId="77777777" w:rsidR="00176A2B" w:rsidRDefault="00176A2B" w:rsidP="00DC38F0">
      <w:pPr>
        <w:pStyle w:val="ListParagraph"/>
        <w:ind w:left="1440"/>
        <w:jc w:val="both"/>
        <w:rPr>
          <w:i/>
          <w:iCs/>
          <w:color w:val="FF0000"/>
        </w:rPr>
      </w:pPr>
    </w:p>
    <w:p w14:paraId="780D9987" w14:textId="77777777" w:rsidR="00176A2B" w:rsidRDefault="00176A2B" w:rsidP="00DC38F0">
      <w:pPr>
        <w:pStyle w:val="ListParagraph"/>
        <w:ind w:left="1440"/>
        <w:jc w:val="both"/>
        <w:rPr>
          <w:i/>
          <w:iCs/>
          <w:color w:val="FF0000"/>
        </w:rPr>
      </w:pPr>
    </w:p>
    <w:p w14:paraId="0D38B864" w14:textId="77777777" w:rsidR="00176A2B" w:rsidRDefault="00176A2B" w:rsidP="00DC38F0">
      <w:pPr>
        <w:pStyle w:val="ListParagraph"/>
        <w:ind w:left="1440"/>
        <w:jc w:val="both"/>
        <w:rPr>
          <w:i/>
          <w:iCs/>
          <w:color w:val="FF0000"/>
        </w:rPr>
      </w:pPr>
    </w:p>
    <w:p w14:paraId="48AAF764" w14:textId="77777777" w:rsidR="00176A2B" w:rsidRDefault="00176A2B" w:rsidP="00DC38F0">
      <w:pPr>
        <w:pStyle w:val="ListParagraph"/>
        <w:ind w:left="1440"/>
        <w:jc w:val="both"/>
        <w:rPr>
          <w:i/>
          <w:iCs/>
          <w:color w:val="FF0000"/>
        </w:rPr>
      </w:pPr>
    </w:p>
    <w:p w14:paraId="6873CF9D" w14:textId="77777777" w:rsidR="00176A2B" w:rsidRDefault="00176A2B" w:rsidP="00DC38F0">
      <w:pPr>
        <w:pStyle w:val="ListParagraph"/>
        <w:ind w:left="1440"/>
        <w:jc w:val="both"/>
        <w:rPr>
          <w:i/>
          <w:iCs/>
          <w:color w:val="FF0000"/>
        </w:rPr>
      </w:pPr>
    </w:p>
    <w:p w14:paraId="7D8B3E34" w14:textId="77777777" w:rsidR="00176A2B" w:rsidRDefault="00176A2B" w:rsidP="00DC38F0">
      <w:pPr>
        <w:pStyle w:val="ListParagraph"/>
        <w:ind w:left="1440"/>
        <w:jc w:val="both"/>
        <w:rPr>
          <w:i/>
          <w:iCs/>
          <w:color w:val="FF0000"/>
        </w:rPr>
      </w:pPr>
    </w:p>
    <w:p w14:paraId="0F578A60" w14:textId="77777777" w:rsidR="00176A2B" w:rsidRDefault="00176A2B" w:rsidP="00DC38F0">
      <w:pPr>
        <w:pStyle w:val="ListParagraph"/>
        <w:ind w:left="1440"/>
        <w:jc w:val="both"/>
        <w:rPr>
          <w:i/>
          <w:iCs/>
          <w:color w:val="FF0000"/>
        </w:rPr>
      </w:pPr>
    </w:p>
    <w:p w14:paraId="5F9CA8C8" w14:textId="77777777" w:rsidR="00176A2B" w:rsidRDefault="00176A2B" w:rsidP="00DC38F0">
      <w:pPr>
        <w:pStyle w:val="ListParagraph"/>
        <w:ind w:left="1440"/>
        <w:jc w:val="both"/>
        <w:rPr>
          <w:i/>
          <w:iCs/>
          <w:color w:val="FF0000"/>
        </w:rPr>
      </w:pPr>
    </w:p>
    <w:p w14:paraId="57637442" w14:textId="77777777" w:rsidR="00176A2B" w:rsidRDefault="00176A2B" w:rsidP="00DC38F0">
      <w:pPr>
        <w:pStyle w:val="ListParagraph"/>
        <w:ind w:left="1440"/>
        <w:jc w:val="both"/>
        <w:rPr>
          <w:i/>
          <w:iCs/>
          <w:color w:val="FF0000"/>
        </w:rPr>
      </w:pPr>
    </w:p>
    <w:p w14:paraId="41108499" w14:textId="77777777" w:rsidR="00176A2B" w:rsidRDefault="00176A2B" w:rsidP="00DC38F0">
      <w:pPr>
        <w:pStyle w:val="ListParagraph"/>
        <w:ind w:left="1440"/>
        <w:jc w:val="both"/>
        <w:rPr>
          <w:i/>
          <w:iCs/>
          <w:color w:val="FF0000"/>
        </w:rPr>
      </w:pPr>
    </w:p>
    <w:p w14:paraId="32B1129A" w14:textId="77777777" w:rsidR="00176A2B" w:rsidRDefault="00176A2B" w:rsidP="00DC38F0">
      <w:pPr>
        <w:pStyle w:val="ListParagraph"/>
        <w:ind w:left="1440"/>
        <w:jc w:val="both"/>
        <w:rPr>
          <w:i/>
          <w:iCs/>
          <w:color w:val="FF0000"/>
        </w:rPr>
      </w:pPr>
    </w:p>
    <w:p w14:paraId="2769F3A3" w14:textId="77777777" w:rsidR="00176A2B" w:rsidRDefault="00176A2B" w:rsidP="00DC38F0">
      <w:pPr>
        <w:pStyle w:val="ListParagraph"/>
        <w:ind w:left="1440"/>
        <w:jc w:val="both"/>
        <w:rPr>
          <w:i/>
          <w:iCs/>
          <w:color w:val="FF0000"/>
        </w:rPr>
      </w:pPr>
    </w:p>
    <w:p w14:paraId="0AB5BA22" w14:textId="77777777" w:rsidR="00176A2B" w:rsidRDefault="00176A2B" w:rsidP="00DC38F0">
      <w:pPr>
        <w:pStyle w:val="ListParagraph"/>
        <w:ind w:left="1440"/>
        <w:jc w:val="both"/>
        <w:rPr>
          <w:i/>
          <w:iCs/>
          <w:color w:val="FF0000"/>
        </w:rPr>
      </w:pPr>
    </w:p>
    <w:p w14:paraId="6B8CA906" w14:textId="77777777" w:rsidR="00176A2B" w:rsidRDefault="00176A2B" w:rsidP="00DC38F0">
      <w:pPr>
        <w:pStyle w:val="ListParagraph"/>
        <w:ind w:left="1440"/>
        <w:jc w:val="both"/>
        <w:rPr>
          <w:i/>
          <w:iCs/>
          <w:color w:val="FF0000"/>
        </w:rPr>
      </w:pPr>
    </w:p>
    <w:p w14:paraId="651C92FC" w14:textId="77777777" w:rsidR="00176A2B" w:rsidRDefault="00176A2B" w:rsidP="00DC38F0">
      <w:pPr>
        <w:pStyle w:val="ListParagraph"/>
        <w:ind w:left="1440"/>
        <w:jc w:val="both"/>
        <w:rPr>
          <w:i/>
          <w:iCs/>
          <w:color w:val="FF0000"/>
        </w:rPr>
      </w:pPr>
    </w:p>
    <w:p w14:paraId="2B365EB7" w14:textId="77777777" w:rsidR="00176A2B" w:rsidRDefault="00176A2B" w:rsidP="00DC38F0">
      <w:pPr>
        <w:pStyle w:val="ListParagraph"/>
        <w:ind w:left="1440"/>
        <w:jc w:val="both"/>
        <w:rPr>
          <w:i/>
          <w:iCs/>
          <w:color w:val="FF0000"/>
        </w:rPr>
      </w:pPr>
    </w:p>
    <w:p w14:paraId="72878E0F" w14:textId="77777777" w:rsidR="00176A2B" w:rsidRDefault="00176A2B" w:rsidP="00DC38F0">
      <w:pPr>
        <w:pStyle w:val="ListParagraph"/>
        <w:ind w:left="1440"/>
        <w:jc w:val="both"/>
        <w:rPr>
          <w:i/>
          <w:iCs/>
          <w:color w:val="FF0000"/>
        </w:rPr>
      </w:pPr>
    </w:p>
    <w:p w14:paraId="63565CC6" w14:textId="77777777" w:rsidR="00176A2B" w:rsidRDefault="00176A2B" w:rsidP="00DC38F0">
      <w:pPr>
        <w:pStyle w:val="ListParagraph"/>
        <w:ind w:left="1440"/>
        <w:jc w:val="both"/>
        <w:rPr>
          <w:i/>
          <w:iCs/>
          <w:color w:val="FF0000"/>
        </w:rPr>
      </w:pPr>
    </w:p>
    <w:p w14:paraId="5A456ABD" w14:textId="77777777" w:rsidR="00176A2B" w:rsidRDefault="00176A2B" w:rsidP="00DC38F0">
      <w:pPr>
        <w:pStyle w:val="ListParagraph"/>
        <w:ind w:left="1440"/>
        <w:jc w:val="both"/>
        <w:rPr>
          <w:i/>
          <w:iCs/>
          <w:color w:val="FF0000"/>
        </w:rPr>
      </w:pPr>
    </w:p>
    <w:p w14:paraId="7E250CA3" w14:textId="77777777" w:rsidR="00176A2B" w:rsidRDefault="00176A2B" w:rsidP="00DC38F0">
      <w:pPr>
        <w:pStyle w:val="ListParagraph"/>
        <w:ind w:left="1440"/>
        <w:jc w:val="both"/>
        <w:rPr>
          <w:i/>
          <w:iCs/>
          <w:color w:val="FF0000"/>
        </w:rPr>
      </w:pPr>
    </w:p>
    <w:p w14:paraId="7C837374" w14:textId="77777777" w:rsidR="00176A2B" w:rsidRDefault="00176A2B" w:rsidP="00DC38F0">
      <w:pPr>
        <w:pStyle w:val="ListParagraph"/>
        <w:ind w:left="1440"/>
        <w:jc w:val="both"/>
        <w:rPr>
          <w:i/>
          <w:iCs/>
          <w:color w:val="FF0000"/>
        </w:rPr>
      </w:pPr>
    </w:p>
    <w:p w14:paraId="6D077EE4" w14:textId="77777777" w:rsidR="00176A2B" w:rsidRDefault="00176A2B" w:rsidP="00DC38F0">
      <w:pPr>
        <w:pStyle w:val="ListParagraph"/>
        <w:ind w:left="1440"/>
        <w:jc w:val="both"/>
        <w:rPr>
          <w:i/>
          <w:iCs/>
          <w:color w:val="FF0000"/>
        </w:rPr>
      </w:pPr>
    </w:p>
    <w:p w14:paraId="11C12D3A" w14:textId="77777777" w:rsidR="00176A2B" w:rsidRDefault="00176A2B" w:rsidP="00DC38F0">
      <w:pPr>
        <w:pStyle w:val="ListParagraph"/>
        <w:ind w:left="1440"/>
        <w:jc w:val="both"/>
        <w:rPr>
          <w:i/>
          <w:iCs/>
          <w:color w:val="FF0000"/>
        </w:rPr>
      </w:pPr>
    </w:p>
    <w:p w14:paraId="344E99FE" w14:textId="77777777" w:rsidR="00176A2B" w:rsidRDefault="00176A2B" w:rsidP="00DC38F0">
      <w:pPr>
        <w:pStyle w:val="ListParagraph"/>
        <w:ind w:left="1440"/>
        <w:jc w:val="both"/>
        <w:rPr>
          <w:i/>
          <w:iCs/>
          <w:color w:val="FF0000"/>
        </w:rPr>
      </w:pPr>
    </w:p>
    <w:p w14:paraId="4841942F" w14:textId="77777777" w:rsidR="00176A2B" w:rsidRDefault="00176A2B" w:rsidP="00DC38F0">
      <w:pPr>
        <w:pStyle w:val="ListParagraph"/>
        <w:ind w:left="1440"/>
        <w:jc w:val="both"/>
        <w:rPr>
          <w:i/>
          <w:iCs/>
          <w:color w:val="FF0000"/>
        </w:rPr>
      </w:pPr>
    </w:p>
    <w:p w14:paraId="4114224C" w14:textId="77777777" w:rsidR="00176A2B" w:rsidRDefault="00176A2B" w:rsidP="00DC38F0">
      <w:pPr>
        <w:pStyle w:val="ListParagraph"/>
        <w:ind w:left="1440"/>
        <w:jc w:val="both"/>
        <w:rPr>
          <w:i/>
          <w:iCs/>
          <w:color w:val="FF0000"/>
        </w:rPr>
      </w:pPr>
    </w:p>
    <w:p w14:paraId="53D78246" w14:textId="77777777" w:rsidR="00176A2B" w:rsidRDefault="00176A2B" w:rsidP="00DC38F0">
      <w:pPr>
        <w:pStyle w:val="ListParagraph"/>
        <w:ind w:left="1440"/>
        <w:jc w:val="both"/>
        <w:rPr>
          <w:i/>
          <w:iCs/>
          <w:color w:val="FF0000"/>
        </w:rPr>
      </w:pPr>
    </w:p>
    <w:p w14:paraId="0275989F" w14:textId="77777777" w:rsidR="00176A2B" w:rsidRDefault="00176A2B" w:rsidP="00DC38F0">
      <w:pPr>
        <w:pStyle w:val="ListParagraph"/>
        <w:ind w:left="1440"/>
        <w:jc w:val="both"/>
        <w:rPr>
          <w:i/>
          <w:iCs/>
          <w:color w:val="FF0000"/>
        </w:rPr>
      </w:pPr>
    </w:p>
    <w:p w14:paraId="6AC9FA49" w14:textId="77777777" w:rsidR="00176A2B" w:rsidRDefault="00176A2B" w:rsidP="00DC38F0">
      <w:pPr>
        <w:pStyle w:val="ListParagraph"/>
        <w:ind w:left="1440"/>
        <w:jc w:val="both"/>
        <w:rPr>
          <w:i/>
          <w:iCs/>
          <w:color w:val="FF0000"/>
        </w:rPr>
      </w:pPr>
    </w:p>
    <w:p w14:paraId="0DE255C1" w14:textId="77777777" w:rsidR="00176A2B" w:rsidRDefault="00176A2B" w:rsidP="00DC38F0">
      <w:pPr>
        <w:pStyle w:val="ListParagraph"/>
        <w:ind w:left="1440"/>
        <w:jc w:val="both"/>
        <w:rPr>
          <w:i/>
          <w:iCs/>
          <w:color w:val="FF0000"/>
        </w:rPr>
      </w:pPr>
    </w:p>
    <w:p w14:paraId="1E55ACE8" w14:textId="77777777" w:rsidR="00176A2B" w:rsidRDefault="00176A2B" w:rsidP="00DC38F0">
      <w:pPr>
        <w:pStyle w:val="ListParagraph"/>
        <w:ind w:left="1440"/>
        <w:jc w:val="both"/>
        <w:rPr>
          <w:i/>
          <w:iCs/>
          <w:color w:val="FF0000"/>
        </w:rPr>
      </w:pPr>
    </w:p>
    <w:p w14:paraId="4F7982B1" w14:textId="77777777" w:rsidR="00176A2B" w:rsidRDefault="00176A2B" w:rsidP="00DC38F0">
      <w:pPr>
        <w:pStyle w:val="ListParagraph"/>
        <w:ind w:left="1440"/>
        <w:jc w:val="both"/>
        <w:rPr>
          <w:i/>
          <w:iCs/>
          <w:color w:val="FF0000"/>
        </w:rPr>
      </w:pPr>
    </w:p>
    <w:p w14:paraId="3F71A964" w14:textId="77777777" w:rsidR="00176A2B" w:rsidRDefault="00176A2B" w:rsidP="00DC38F0">
      <w:pPr>
        <w:pStyle w:val="ListParagraph"/>
        <w:ind w:left="1440"/>
        <w:jc w:val="both"/>
        <w:rPr>
          <w:i/>
          <w:iCs/>
          <w:color w:val="FF0000"/>
        </w:rPr>
      </w:pPr>
    </w:p>
    <w:p w14:paraId="1D9D4A0E" w14:textId="77777777" w:rsidR="00176A2B" w:rsidRDefault="00176A2B" w:rsidP="00DC38F0">
      <w:pPr>
        <w:pStyle w:val="ListParagraph"/>
        <w:ind w:left="1440"/>
        <w:jc w:val="both"/>
        <w:rPr>
          <w:i/>
          <w:iCs/>
          <w:color w:val="FF0000"/>
        </w:rPr>
      </w:pPr>
    </w:p>
    <w:p w14:paraId="43190724" w14:textId="77777777" w:rsidR="00176A2B" w:rsidRDefault="00176A2B" w:rsidP="00DC38F0">
      <w:pPr>
        <w:pStyle w:val="ListParagraph"/>
        <w:ind w:left="1440"/>
        <w:jc w:val="both"/>
        <w:rPr>
          <w:i/>
          <w:iCs/>
          <w:color w:val="FF0000"/>
        </w:rPr>
      </w:pPr>
    </w:p>
    <w:p w14:paraId="132C474C" w14:textId="77777777" w:rsidR="00176A2B" w:rsidRDefault="00176A2B" w:rsidP="00DC38F0">
      <w:pPr>
        <w:pStyle w:val="ListParagraph"/>
        <w:ind w:left="1440"/>
        <w:jc w:val="both"/>
        <w:rPr>
          <w:i/>
          <w:iCs/>
          <w:color w:val="FF0000"/>
        </w:rPr>
      </w:pPr>
    </w:p>
    <w:p w14:paraId="444BCB0A" w14:textId="77777777" w:rsidR="00176A2B" w:rsidRDefault="00176A2B" w:rsidP="00DC38F0">
      <w:pPr>
        <w:pStyle w:val="ListParagraph"/>
        <w:ind w:left="1440"/>
        <w:jc w:val="both"/>
        <w:rPr>
          <w:i/>
          <w:iCs/>
          <w:color w:val="FF0000"/>
        </w:rPr>
      </w:pPr>
    </w:p>
    <w:p w14:paraId="2A3F3A54" w14:textId="77777777" w:rsidR="00176A2B" w:rsidRDefault="00176A2B" w:rsidP="00DC38F0">
      <w:pPr>
        <w:pStyle w:val="ListParagraph"/>
        <w:ind w:left="1440"/>
        <w:jc w:val="both"/>
        <w:rPr>
          <w:i/>
          <w:iCs/>
          <w:color w:val="FF0000"/>
        </w:rPr>
      </w:pPr>
    </w:p>
    <w:p w14:paraId="1CC1FDF2" w14:textId="77777777" w:rsidR="00176A2B" w:rsidRDefault="00176A2B" w:rsidP="00DC38F0">
      <w:pPr>
        <w:pStyle w:val="ListParagraph"/>
        <w:ind w:left="1440"/>
        <w:jc w:val="both"/>
        <w:rPr>
          <w:i/>
          <w:iCs/>
          <w:color w:val="FF0000"/>
        </w:rPr>
      </w:pPr>
    </w:p>
    <w:p w14:paraId="306BC40B" w14:textId="77777777" w:rsidR="00176A2B" w:rsidRDefault="00176A2B" w:rsidP="00DC38F0">
      <w:pPr>
        <w:pStyle w:val="ListParagraph"/>
        <w:ind w:left="1440"/>
        <w:jc w:val="both"/>
        <w:rPr>
          <w:i/>
          <w:iCs/>
          <w:color w:val="FF0000"/>
        </w:rPr>
      </w:pPr>
    </w:p>
    <w:p w14:paraId="13E8DC33" w14:textId="77777777" w:rsidR="00176A2B" w:rsidRDefault="00176A2B" w:rsidP="00DC38F0">
      <w:pPr>
        <w:pStyle w:val="ListParagraph"/>
        <w:ind w:left="1440"/>
        <w:jc w:val="both"/>
        <w:rPr>
          <w:i/>
          <w:iCs/>
          <w:color w:val="FF0000"/>
        </w:rPr>
      </w:pPr>
    </w:p>
    <w:p w14:paraId="24AC57F0" w14:textId="77777777" w:rsidR="00176A2B" w:rsidRDefault="00176A2B" w:rsidP="00DC38F0">
      <w:pPr>
        <w:pStyle w:val="ListParagraph"/>
        <w:ind w:left="1440"/>
        <w:jc w:val="both"/>
        <w:rPr>
          <w:i/>
          <w:iCs/>
          <w:color w:val="FF0000"/>
        </w:rPr>
      </w:pPr>
    </w:p>
    <w:p w14:paraId="11E1B9D9" w14:textId="7687A9C8" w:rsidR="00831A20" w:rsidRPr="00493AC1" w:rsidRDefault="00176A2B" w:rsidP="00831A20">
      <w:pPr>
        <w:jc w:val="both"/>
        <w:rPr>
          <w:b/>
          <w:bCs/>
          <w:color w:val="FF0000"/>
          <w:sz w:val="28"/>
          <w:szCs w:val="28"/>
        </w:rPr>
      </w:pPr>
      <w:r w:rsidRPr="00493AC1">
        <w:rPr>
          <w:b/>
          <w:bCs/>
          <w:i/>
          <w:iCs/>
          <w:color w:val="FF0000"/>
          <w:sz w:val="28"/>
          <w:szCs w:val="28"/>
        </w:rPr>
        <w:t>APPENDIX D</w:t>
      </w:r>
      <w:r w:rsidR="00831A20" w:rsidRPr="00493AC1">
        <w:rPr>
          <w:b/>
          <w:bCs/>
          <w:sz w:val="28"/>
          <w:szCs w:val="28"/>
        </w:rPr>
        <w:t xml:space="preserve"> Role Of Artificial Intelligence </w:t>
      </w:r>
      <w:proofErr w:type="gramStart"/>
      <w:r w:rsidR="00831A20" w:rsidRPr="00493AC1">
        <w:rPr>
          <w:b/>
          <w:bCs/>
          <w:sz w:val="28"/>
          <w:szCs w:val="28"/>
        </w:rPr>
        <w:t>In</w:t>
      </w:r>
      <w:proofErr w:type="gramEnd"/>
      <w:r w:rsidR="00831A20" w:rsidRPr="00493AC1">
        <w:rPr>
          <w:b/>
          <w:bCs/>
          <w:sz w:val="28"/>
          <w:szCs w:val="28"/>
        </w:rPr>
        <w:t xml:space="preserve"> Evaluating Collateral Packages </w:t>
      </w:r>
      <w:r w:rsidR="00FF5AEC">
        <w:rPr>
          <w:b/>
          <w:bCs/>
          <w:sz w:val="28"/>
          <w:szCs w:val="28"/>
        </w:rPr>
        <w:br/>
        <w:t xml:space="preserve">                                          </w:t>
      </w:r>
      <w:r w:rsidR="00831A20" w:rsidRPr="00493AC1">
        <w:rPr>
          <w:b/>
          <w:bCs/>
          <w:color w:val="FF0000"/>
          <w:sz w:val="28"/>
          <w:szCs w:val="28"/>
        </w:rPr>
        <w:t>BARIDHI</w:t>
      </w:r>
    </w:p>
    <w:p w14:paraId="369966B5" w14:textId="77777777" w:rsidR="0039525A" w:rsidRDefault="0039525A" w:rsidP="0039525A">
      <w:pPr>
        <w:pStyle w:val="NormalWeb"/>
        <w:rPr>
          <w:color w:val="000000"/>
          <w:sz w:val="27"/>
          <w:szCs w:val="27"/>
        </w:rPr>
      </w:pPr>
      <w:r>
        <w:rPr>
          <w:color w:val="000000"/>
          <w:sz w:val="27"/>
          <w:szCs w:val="27"/>
        </w:rPr>
        <w:t xml:space="preserve">Artificial intelligence (AI) tools are software applications that use AI algorithms to perform specific tasks and solve problems. These tools can be used in a variety of </w:t>
      </w:r>
      <w:r>
        <w:rPr>
          <w:color w:val="000000"/>
          <w:sz w:val="27"/>
          <w:szCs w:val="27"/>
        </w:rPr>
        <w:lastRenderedPageBreak/>
        <w:t>manners to automate tasks, analyze data, and improve decision-making. While elementary examples include natural language toolkit (NLTK) applications, OpenAI’s ChatGPT is one of the most widely used tools in recent times. More recently, different corporations and providers have promulgated their proprietary versions of such tools and applications.</w:t>
      </w:r>
    </w:p>
    <w:p w14:paraId="3605FE87" w14:textId="77777777" w:rsidR="0039525A" w:rsidRDefault="0039525A" w:rsidP="0039525A">
      <w:pPr>
        <w:pStyle w:val="NormalWeb"/>
        <w:rPr>
          <w:color w:val="000000"/>
          <w:sz w:val="27"/>
          <w:szCs w:val="27"/>
        </w:rPr>
      </w:pPr>
      <w:r>
        <w:rPr>
          <w:color w:val="000000"/>
          <w:sz w:val="27"/>
          <w:szCs w:val="27"/>
        </w:rPr>
        <w:t>1. Understanding the Transaction Structure: Natural Language Processing (NLP) tools can parse the Preliminary Official Statements (POS) to extract and summarize key details like bond structure, pledged revenues, and repayment sources. Ideally, a POS that is prepared in a known template would be best suitable for this task. However, computer-vision enabled applications of AI tools may be trained to learn different formats of the POS. AI-powered contract analysis tools can automatically extract and analyze the bond indenture's terms, highlighting key clauses and requirements related to collateral. This could include summarizing security provisions and flagging unusual/non-standard provisions. For example, highlighting factual discrepancies or incongruities between terms of the lien or pledge across contractual documents.</w:t>
      </w:r>
    </w:p>
    <w:p w14:paraId="1F02538B" w14:textId="77777777" w:rsidR="0039525A" w:rsidRDefault="0039525A" w:rsidP="0039525A">
      <w:pPr>
        <w:pStyle w:val="NormalWeb"/>
        <w:rPr>
          <w:color w:val="000000"/>
          <w:sz w:val="27"/>
          <w:szCs w:val="27"/>
        </w:rPr>
      </w:pPr>
      <w:r>
        <w:rPr>
          <w:color w:val="000000"/>
          <w:sz w:val="27"/>
          <w:szCs w:val="27"/>
        </w:rPr>
        <w:t>2. Understanding and evaluating the collateral: AI can classify different types of collateral (e.g., UCC liens, statutory pledges) for efficient review. Related NLP techniques can be leveraged to identify and isolate the pledged collateral as cash, securities, or real estate. AI-powered data visualization tools can create interactive dashboards to visualize the concentration of the collateral, highlighting potential risks. Creating a knowledge graph using AI tools to visualize the relationships between different entities in the collateral structure could help analysts in identifying potential risks and inconsistencies.</w:t>
      </w:r>
    </w:p>
    <w:p w14:paraId="374BAE73" w14:textId="77777777" w:rsidR="0039525A" w:rsidRDefault="0039525A" w:rsidP="0039525A">
      <w:pPr>
        <w:pStyle w:val="NormalWeb"/>
        <w:rPr>
          <w:color w:val="000000"/>
          <w:sz w:val="27"/>
          <w:szCs w:val="27"/>
        </w:rPr>
      </w:pPr>
      <w:r>
        <w:rPr>
          <w:color w:val="000000"/>
          <w:sz w:val="27"/>
          <w:szCs w:val="27"/>
        </w:rPr>
        <w:t>&lt;&lt;to add: an example of an interactive dashboard and a knowledge graph &gt;&gt;</w:t>
      </w:r>
    </w:p>
    <w:p w14:paraId="6D703908" w14:textId="77777777" w:rsidR="0039525A" w:rsidRDefault="0039525A" w:rsidP="0039525A">
      <w:pPr>
        <w:pStyle w:val="NormalWeb"/>
        <w:rPr>
          <w:color w:val="000000"/>
          <w:sz w:val="27"/>
          <w:szCs w:val="27"/>
        </w:rPr>
      </w:pPr>
      <w:r>
        <w:rPr>
          <w:color w:val="000000"/>
          <w:sz w:val="27"/>
          <w:szCs w:val="27"/>
        </w:rPr>
        <w:t>The tools could also be set up to provide preliminary estimates of collateral valuation by extracting initial features from the text of the underlying collateral. For example, in estimating the value of an equipment or a real estate parcel.</w:t>
      </w:r>
    </w:p>
    <w:p w14:paraId="0548DE26" w14:textId="77777777" w:rsidR="0039525A" w:rsidRDefault="0039525A" w:rsidP="0039525A">
      <w:pPr>
        <w:pStyle w:val="NormalWeb"/>
        <w:rPr>
          <w:color w:val="000000"/>
          <w:sz w:val="27"/>
          <w:szCs w:val="27"/>
        </w:rPr>
      </w:pPr>
      <w:r>
        <w:rPr>
          <w:color w:val="000000"/>
          <w:sz w:val="27"/>
          <w:szCs w:val="27"/>
        </w:rPr>
        <w:t>3. Legal and Credit Review: AI tools can compare legal descriptions in bond documents to flag missing or contradictory clauses. For example, identifying inconsistencies between the indenture and POS regarding collateral descriptions. Automated parsing of documents can help track covenant compliance, monitor reserve fund requirements, and draft compliance reports. Credit risk assessment tools can analyze the creditworthiness of the issuer or obligor, providing a credit score and risk assessment. Overall, AI tools can analyze legal contracts to identify potential loopholes, ambiguities, and risks.</w:t>
      </w:r>
    </w:p>
    <w:p w14:paraId="577EFD31" w14:textId="77777777" w:rsidR="0039525A" w:rsidRDefault="0039525A" w:rsidP="0039525A">
      <w:pPr>
        <w:pStyle w:val="NormalWeb"/>
        <w:rPr>
          <w:color w:val="000000"/>
          <w:sz w:val="27"/>
          <w:szCs w:val="27"/>
        </w:rPr>
      </w:pPr>
      <w:r>
        <w:rPr>
          <w:color w:val="000000"/>
          <w:sz w:val="27"/>
          <w:szCs w:val="27"/>
        </w:rPr>
        <w:t xml:space="preserve">4. Quantitative Analysis, Financial Modeling and Projections: AI can help analysts in the initial stages of creating a report by assisting with data aggregation, financial trend </w:t>
      </w:r>
      <w:r>
        <w:rPr>
          <w:color w:val="000000"/>
          <w:sz w:val="27"/>
          <w:szCs w:val="27"/>
        </w:rPr>
        <w:lastRenderedPageBreak/>
        <w:t>analysis, or even sentiment analysis of relevant news and market conditions. AI tools can help the analyst identify patterns or outliers in the data quickly, which can be used to support conclusions about the new-issue transaction. Analysts may leverage tools to run simulations, test different scenarios, and generate forecasts based on historical data. AI-assisted models can help project future performance under various assumptions (e.g., revenue growth, expenditures, interest rates).</w:t>
      </w:r>
    </w:p>
    <w:p w14:paraId="3DC43324" w14:textId="77777777" w:rsidR="0039525A" w:rsidRDefault="0039525A" w:rsidP="0039525A">
      <w:pPr>
        <w:pStyle w:val="NormalWeb"/>
        <w:rPr>
          <w:color w:val="000000"/>
          <w:sz w:val="27"/>
          <w:szCs w:val="27"/>
        </w:rPr>
      </w:pPr>
      <w:r>
        <w:rPr>
          <w:color w:val="000000"/>
          <w:sz w:val="27"/>
          <w:szCs w:val="27"/>
        </w:rPr>
        <w:t>5. Consistency Checking: AI could also perform a consistency check across multiple documents (POS, bond documents, UCC filings) to ensure that the descriptions of collateral align. For example, if one document mentions a mortgage over certain property and another document refers to the same property but as "collateral", the AI tool could alert the analyst to investigate potential inconsistencies between the documents. It could also compare collateral descriptions in the POS with the bond trustee's rights and remedies to verify whether they are in alignment or if there are conflicts.</w:t>
      </w:r>
    </w:p>
    <w:p w14:paraId="2AEACCF6" w14:textId="77777777" w:rsidR="0039525A" w:rsidRDefault="0039525A" w:rsidP="0039525A">
      <w:pPr>
        <w:pStyle w:val="NormalWeb"/>
        <w:rPr>
          <w:color w:val="000000"/>
          <w:sz w:val="27"/>
          <w:szCs w:val="27"/>
        </w:rPr>
      </w:pPr>
      <w:r>
        <w:rPr>
          <w:color w:val="000000"/>
          <w:sz w:val="27"/>
          <w:szCs w:val="27"/>
        </w:rPr>
        <w:t xml:space="preserve">6. Risk Identification: If a collateral package with certain characteristics (like ambiguous pledge definitions or lack of UCC filing) has historically led to greater loss in bondholder recovery, AI can flag these features in new POS documents. Specifically, these tools could be trained on data belonging to a specific state (for </w:t>
      </w:r>
      <w:proofErr w:type="spellStart"/>
      <w:r>
        <w:rPr>
          <w:color w:val="000000"/>
          <w:sz w:val="27"/>
          <w:szCs w:val="27"/>
        </w:rPr>
        <w:t>eg.</w:t>
      </w:r>
      <w:proofErr w:type="spellEnd"/>
      <w:r>
        <w:rPr>
          <w:color w:val="000000"/>
          <w:sz w:val="27"/>
          <w:szCs w:val="27"/>
        </w:rPr>
        <w:t xml:space="preserve"> distinguish FL vs OR).</w:t>
      </w:r>
    </w:p>
    <w:p w14:paraId="0CC5CDE4" w14:textId="77777777" w:rsidR="0039525A" w:rsidRDefault="0039525A" w:rsidP="0039525A">
      <w:pPr>
        <w:pStyle w:val="NormalWeb"/>
        <w:rPr>
          <w:color w:val="000000"/>
          <w:sz w:val="27"/>
          <w:szCs w:val="27"/>
        </w:rPr>
      </w:pPr>
      <w:proofErr w:type="spellStart"/>
      <w:proofErr w:type="gramStart"/>
      <w:r>
        <w:rPr>
          <w:color w:val="000000"/>
          <w:sz w:val="27"/>
          <w:szCs w:val="27"/>
        </w:rPr>
        <w:t>a.Predictive</w:t>
      </w:r>
      <w:proofErr w:type="spellEnd"/>
      <w:proofErr w:type="gramEnd"/>
      <w:r>
        <w:rPr>
          <w:color w:val="000000"/>
          <w:sz w:val="27"/>
          <w:szCs w:val="27"/>
        </w:rPr>
        <w:t xml:space="preserve"> Modeling: AI can be used to develop predictive models to forecast credit risk, prepayment risk, market trends, and other relevant factors.</w:t>
      </w:r>
    </w:p>
    <w:p w14:paraId="1B78531C" w14:textId="77777777" w:rsidR="0039525A" w:rsidRDefault="0039525A" w:rsidP="0039525A">
      <w:pPr>
        <w:pStyle w:val="NormalWeb"/>
        <w:rPr>
          <w:color w:val="000000"/>
          <w:sz w:val="27"/>
          <w:szCs w:val="27"/>
        </w:rPr>
      </w:pPr>
      <w:proofErr w:type="spellStart"/>
      <w:proofErr w:type="gramStart"/>
      <w:r>
        <w:rPr>
          <w:color w:val="000000"/>
          <w:sz w:val="27"/>
          <w:szCs w:val="27"/>
        </w:rPr>
        <w:t>b.Sentiment</w:t>
      </w:r>
      <w:proofErr w:type="spellEnd"/>
      <w:proofErr w:type="gramEnd"/>
      <w:r>
        <w:rPr>
          <w:color w:val="000000"/>
          <w:sz w:val="27"/>
          <w:szCs w:val="27"/>
        </w:rPr>
        <w:t xml:space="preserve"> Analysis: AI can analyze news articles, social media, and other textual data to gauge market sentiment and identify potential risks.</w:t>
      </w:r>
    </w:p>
    <w:p w14:paraId="7219243F" w14:textId="77777777" w:rsidR="0039525A" w:rsidRDefault="0039525A" w:rsidP="0039525A">
      <w:pPr>
        <w:pStyle w:val="NormalWeb"/>
        <w:rPr>
          <w:color w:val="000000"/>
          <w:sz w:val="27"/>
          <w:szCs w:val="27"/>
        </w:rPr>
      </w:pPr>
      <w:r>
        <w:rPr>
          <w:color w:val="000000"/>
          <w:sz w:val="27"/>
          <w:szCs w:val="27"/>
        </w:rPr>
        <w:t>c. Ongoing monitoring: AI tools can monitor for updates to collateral conditions or compliance and send alerts for material changes. These may include tracking legislative changes and summarizing court rulings.</w:t>
      </w:r>
    </w:p>
    <w:p w14:paraId="4990853D" w14:textId="77777777" w:rsidR="0039525A" w:rsidRDefault="0039525A" w:rsidP="0039525A">
      <w:pPr>
        <w:pStyle w:val="NormalWeb"/>
        <w:rPr>
          <w:color w:val="000000"/>
          <w:sz w:val="27"/>
          <w:szCs w:val="27"/>
        </w:rPr>
      </w:pPr>
      <w:r>
        <w:rPr>
          <w:color w:val="000000"/>
          <w:sz w:val="27"/>
          <w:szCs w:val="27"/>
        </w:rPr>
        <w:t>d. Sensitivity testing and Scenario Analysis: Analysts may automate Monte Carlo simulations to examine sensitivity of financial projections to key variables. AI tools can be used to generate economic scenarios of stress. These could help predict default probabilities under market/economic stress.</w:t>
      </w:r>
    </w:p>
    <w:p w14:paraId="485454D8" w14:textId="77777777" w:rsidR="0039525A" w:rsidRDefault="0039525A" w:rsidP="0039525A">
      <w:pPr>
        <w:pStyle w:val="NormalWeb"/>
        <w:rPr>
          <w:color w:val="000000"/>
          <w:sz w:val="27"/>
          <w:szCs w:val="27"/>
        </w:rPr>
      </w:pPr>
      <w:r>
        <w:rPr>
          <w:color w:val="000000"/>
          <w:sz w:val="27"/>
          <w:szCs w:val="27"/>
        </w:rPr>
        <w:t>e. Natural disaster risk modeling: AI tools may be augmented to help analysts evaluate increases/decreases in loss risk from natural disasters like floods/storms/drought/wildfires in particular states. This could enhance the geo-mapping of risk factors with an eye for damage and recovery analysis.</w:t>
      </w:r>
    </w:p>
    <w:p w14:paraId="6647BA95" w14:textId="77777777" w:rsidR="0039525A" w:rsidRDefault="0039525A" w:rsidP="0039525A">
      <w:pPr>
        <w:pStyle w:val="NormalWeb"/>
        <w:rPr>
          <w:color w:val="000000"/>
          <w:sz w:val="27"/>
          <w:szCs w:val="27"/>
        </w:rPr>
      </w:pPr>
      <w:r>
        <w:rPr>
          <w:color w:val="000000"/>
          <w:sz w:val="27"/>
          <w:szCs w:val="27"/>
        </w:rPr>
        <w:t>AI-Related Disclosures in Research Reports:</w:t>
      </w:r>
    </w:p>
    <w:p w14:paraId="68CDD758" w14:textId="77777777" w:rsidR="0039525A" w:rsidRDefault="0039525A" w:rsidP="0039525A">
      <w:pPr>
        <w:pStyle w:val="NormalWeb"/>
        <w:rPr>
          <w:color w:val="000000"/>
          <w:sz w:val="27"/>
          <w:szCs w:val="27"/>
        </w:rPr>
      </w:pPr>
      <w:r>
        <w:rPr>
          <w:color w:val="000000"/>
          <w:sz w:val="27"/>
          <w:szCs w:val="27"/>
        </w:rPr>
        <w:lastRenderedPageBreak/>
        <w:t>If an analyst uses AI tools (such as ChatGPT, proprietary AI models, or NLP tools) to help write portions of the research report, it is crucial to disclose this usage. While the core analysis and judgment will remain the analyst's responsibility, AI tools can assist in drafting</w:t>
      </w:r>
    </w:p>
    <w:p w14:paraId="3BCB366B" w14:textId="77777777" w:rsidR="0039525A" w:rsidRDefault="0039525A" w:rsidP="0039525A">
      <w:pPr>
        <w:pStyle w:val="NormalWeb"/>
        <w:rPr>
          <w:color w:val="000000"/>
          <w:sz w:val="27"/>
          <w:szCs w:val="27"/>
        </w:rPr>
      </w:pPr>
      <w:r>
        <w:rPr>
          <w:color w:val="000000"/>
          <w:sz w:val="27"/>
          <w:szCs w:val="27"/>
        </w:rPr>
        <w:t>sections related to factual data aggregation, financial modeling, or even summarizing large datasets. There are several reasons why analysts/firms should look to provide disclosures:</w:t>
      </w:r>
    </w:p>
    <w:p w14:paraId="7DF36C7A" w14:textId="77777777" w:rsidR="0039525A" w:rsidRDefault="0039525A" w:rsidP="0039525A">
      <w:pPr>
        <w:pStyle w:val="NormalWeb"/>
        <w:rPr>
          <w:color w:val="000000"/>
          <w:sz w:val="27"/>
          <w:szCs w:val="27"/>
        </w:rPr>
      </w:pPr>
      <w:r>
        <w:rPr>
          <w:color w:val="000000"/>
          <w:sz w:val="27"/>
          <w:szCs w:val="27"/>
        </w:rPr>
        <w:t>· Build Trust: Ensuring that the buy-side analyst understands the level of AI involvement helps them assess the objectivity and reliability of the information presented.</w:t>
      </w:r>
    </w:p>
    <w:p w14:paraId="7E957AB4" w14:textId="77777777" w:rsidR="0039525A" w:rsidRDefault="0039525A" w:rsidP="0039525A">
      <w:pPr>
        <w:pStyle w:val="NormalWeb"/>
        <w:rPr>
          <w:color w:val="000000"/>
          <w:sz w:val="27"/>
          <w:szCs w:val="27"/>
        </w:rPr>
      </w:pPr>
      <w:r>
        <w:rPr>
          <w:color w:val="000000"/>
          <w:sz w:val="27"/>
          <w:szCs w:val="27"/>
        </w:rPr>
        <w:t>· Clarify Responsibility: The analyst should clearly state that while AI tools are used for specific tasks (like data aggregation or summarizing), the final interpretations and recommendations remain the analyst's responsibility.</w:t>
      </w:r>
    </w:p>
    <w:p w14:paraId="47914B4B" w14:textId="77777777" w:rsidR="0039525A" w:rsidRDefault="0039525A" w:rsidP="0039525A">
      <w:pPr>
        <w:pStyle w:val="NormalWeb"/>
        <w:rPr>
          <w:color w:val="000000"/>
          <w:sz w:val="27"/>
          <w:szCs w:val="27"/>
        </w:rPr>
      </w:pPr>
      <w:r>
        <w:rPr>
          <w:color w:val="000000"/>
          <w:sz w:val="27"/>
          <w:szCs w:val="27"/>
        </w:rPr>
        <w:t>· Align with Ethical Standards: As AI becomes more embedded in financial analysis, the ethical responsibility to disclose the use of AI helps foster best practices in the industry, specifically around accuracy, fairness, and transparency.</w:t>
      </w:r>
    </w:p>
    <w:p w14:paraId="2C02587C" w14:textId="77777777" w:rsidR="0039525A" w:rsidRDefault="0039525A" w:rsidP="0039525A">
      <w:pPr>
        <w:pStyle w:val="NormalWeb"/>
        <w:rPr>
          <w:color w:val="000000"/>
          <w:sz w:val="27"/>
          <w:szCs w:val="27"/>
        </w:rPr>
      </w:pPr>
      <w:r>
        <w:rPr>
          <w:color w:val="000000"/>
          <w:sz w:val="27"/>
          <w:szCs w:val="27"/>
        </w:rPr>
        <w:t>· Limitations of AI: Acknowledge the limitations of AI, such as its potential for bias, error, and sometimes hallucination.</w:t>
      </w:r>
    </w:p>
    <w:p w14:paraId="71095786" w14:textId="77777777" w:rsidR="0039525A" w:rsidRDefault="0039525A" w:rsidP="0039525A">
      <w:pPr>
        <w:pStyle w:val="NormalWeb"/>
        <w:rPr>
          <w:color w:val="000000"/>
          <w:sz w:val="27"/>
          <w:szCs w:val="27"/>
        </w:rPr>
      </w:pPr>
      <w:r>
        <w:rPr>
          <w:color w:val="000000"/>
          <w:sz w:val="27"/>
          <w:szCs w:val="27"/>
        </w:rPr>
        <w:t>· Human Oversight: Emphasize the role of human analysts in reviewing and interpreting AI-generated insights.</w:t>
      </w:r>
    </w:p>
    <w:p w14:paraId="0E6F9EA7" w14:textId="77777777" w:rsidR="0039525A" w:rsidRDefault="0039525A" w:rsidP="0039525A">
      <w:pPr>
        <w:pStyle w:val="NormalWeb"/>
        <w:rPr>
          <w:color w:val="000000"/>
          <w:sz w:val="27"/>
          <w:szCs w:val="27"/>
        </w:rPr>
      </w:pPr>
      <w:r>
        <w:rPr>
          <w:color w:val="000000"/>
          <w:sz w:val="27"/>
          <w:szCs w:val="27"/>
        </w:rPr>
        <w:t>· Transparency: Clearly communicate the methodology used in AI-powered analysis, including the data sources and algorithms employed.</w:t>
      </w:r>
    </w:p>
    <w:p w14:paraId="6B262097" w14:textId="77777777" w:rsidR="0039525A" w:rsidRDefault="0039525A" w:rsidP="0039525A">
      <w:pPr>
        <w:pStyle w:val="NormalWeb"/>
        <w:rPr>
          <w:color w:val="000000"/>
          <w:sz w:val="27"/>
          <w:szCs w:val="27"/>
        </w:rPr>
      </w:pPr>
      <w:r>
        <w:rPr>
          <w:color w:val="000000"/>
          <w:sz w:val="27"/>
          <w:szCs w:val="27"/>
        </w:rPr>
        <w:t>· Accountability: Ensure that there is adequate oversight and accountability for AI-driven analysis. Further, the onus lies on the researcher to explain the underlying</w:t>
      </w:r>
    </w:p>
    <w:p w14:paraId="6E2F8DFD" w14:textId="77777777" w:rsidR="00176A2B" w:rsidRDefault="00176A2B" w:rsidP="00DC38F0">
      <w:pPr>
        <w:pStyle w:val="ListParagraph"/>
        <w:ind w:left="1440"/>
        <w:jc w:val="both"/>
        <w:rPr>
          <w:i/>
          <w:iCs/>
          <w:color w:val="FF0000"/>
        </w:rPr>
      </w:pPr>
    </w:p>
    <w:p w14:paraId="1E51B3DB" w14:textId="77777777" w:rsidR="00176A2B" w:rsidRDefault="00176A2B" w:rsidP="00DC38F0">
      <w:pPr>
        <w:pStyle w:val="ListParagraph"/>
        <w:ind w:left="1440"/>
        <w:jc w:val="both"/>
        <w:rPr>
          <w:i/>
          <w:iCs/>
          <w:color w:val="FF0000"/>
        </w:rPr>
      </w:pPr>
    </w:p>
    <w:p w14:paraId="6DF0B41A" w14:textId="77777777" w:rsidR="00176A2B" w:rsidRDefault="00176A2B" w:rsidP="00DC38F0">
      <w:pPr>
        <w:pStyle w:val="ListParagraph"/>
        <w:ind w:left="1440"/>
        <w:jc w:val="both"/>
        <w:rPr>
          <w:i/>
          <w:iCs/>
          <w:color w:val="FF0000"/>
        </w:rPr>
      </w:pPr>
    </w:p>
    <w:p w14:paraId="313A7C21" w14:textId="77777777" w:rsidR="00176A2B" w:rsidRDefault="00176A2B" w:rsidP="00DC38F0">
      <w:pPr>
        <w:pStyle w:val="ListParagraph"/>
        <w:ind w:left="1440"/>
        <w:jc w:val="both"/>
        <w:rPr>
          <w:i/>
          <w:iCs/>
          <w:color w:val="FF0000"/>
        </w:rPr>
      </w:pPr>
    </w:p>
    <w:p w14:paraId="074AE8DA" w14:textId="399AB304" w:rsidR="00D60451" w:rsidRPr="00493AC1" w:rsidRDefault="00176A2B" w:rsidP="00D60451">
      <w:pPr>
        <w:jc w:val="both"/>
        <w:rPr>
          <w:b/>
          <w:bCs/>
          <w:sz w:val="28"/>
          <w:szCs w:val="28"/>
        </w:rPr>
      </w:pPr>
      <w:r w:rsidRPr="00493AC1">
        <w:rPr>
          <w:b/>
          <w:bCs/>
          <w:i/>
          <w:iCs/>
          <w:color w:val="FF0000"/>
          <w:sz w:val="28"/>
          <w:szCs w:val="28"/>
        </w:rPr>
        <w:t>APPENDIX E</w:t>
      </w:r>
      <w:r w:rsidR="00D60451" w:rsidRPr="00493AC1">
        <w:rPr>
          <w:b/>
          <w:bCs/>
          <w:sz w:val="28"/>
          <w:szCs w:val="28"/>
        </w:rPr>
        <w:t xml:space="preserve"> Sample Tri-Party Agreement/Collateral Assignment Of </w:t>
      </w:r>
      <w:r w:rsidR="00EA3310">
        <w:rPr>
          <w:b/>
          <w:bCs/>
          <w:sz w:val="28"/>
          <w:szCs w:val="28"/>
        </w:rPr>
        <w:t xml:space="preserve"> </w:t>
      </w:r>
      <w:r w:rsidR="00EA3310">
        <w:rPr>
          <w:b/>
          <w:bCs/>
          <w:sz w:val="28"/>
          <w:szCs w:val="28"/>
        </w:rPr>
        <w:br/>
        <w:t xml:space="preserve">                                </w:t>
      </w:r>
      <w:r w:rsidR="00D60451" w:rsidRPr="00493AC1">
        <w:rPr>
          <w:b/>
          <w:bCs/>
          <w:sz w:val="28"/>
          <w:szCs w:val="28"/>
        </w:rPr>
        <w:t xml:space="preserve">Contracts Between Bond Trustee, Issuer, Borrower/Obligor </w:t>
      </w:r>
      <w:r w:rsidR="00EA3310">
        <w:rPr>
          <w:b/>
          <w:bCs/>
          <w:sz w:val="28"/>
          <w:szCs w:val="28"/>
        </w:rPr>
        <w:br/>
        <w:t xml:space="preserve">                                </w:t>
      </w:r>
      <w:r w:rsidR="00D60451" w:rsidRPr="00493AC1">
        <w:rPr>
          <w:b/>
          <w:bCs/>
          <w:sz w:val="28"/>
          <w:szCs w:val="28"/>
        </w:rPr>
        <w:t xml:space="preserve">&amp; Counterparty </w:t>
      </w:r>
      <w:r w:rsidR="00D60451" w:rsidRPr="00493AC1">
        <w:rPr>
          <w:b/>
          <w:bCs/>
          <w:color w:val="FF0000"/>
          <w:sz w:val="28"/>
          <w:szCs w:val="28"/>
        </w:rPr>
        <w:t>KIM</w:t>
      </w:r>
    </w:p>
    <w:p w14:paraId="2D4D21D4" w14:textId="5FD39968" w:rsidR="00176A2B" w:rsidRDefault="00D60451" w:rsidP="00D60451">
      <w:pPr>
        <w:pStyle w:val="ListParagraph"/>
        <w:ind w:left="1440"/>
        <w:jc w:val="both"/>
        <w:rPr>
          <w:i/>
          <w:iCs/>
          <w:color w:val="FF0000"/>
        </w:rPr>
      </w:pPr>
      <w:r w:rsidRPr="00493AC1">
        <w:rPr>
          <w:b/>
          <w:bCs/>
          <w:color w:val="FF0000"/>
          <w:sz w:val="28"/>
          <w:szCs w:val="28"/>
        </w:rPr>
        <w:br/>
      </w:r>
    </w:p>
    <w:p w14:paraId="587E75F0" w14:textId="77777777" w:rsidR="00176A2B" w:rsidRDefault="00176A2B" w:rsidP="00DC38F0">
      <w:pPr>
        <w:pStyle w:val="ListParagraph"/>
        <w:ind w:left="1440"/>
        <w:jc w:val="both"/>
        <w:rPr>
          <w:i/>
          <w:iCs/>
          <w:color w:val="FF0000"/>
        </w:rPr>
      </w:pPr>
    </w:p>
    <w:p w14:paraId="648926FA" w14:textId="77777777" w:rsidR="00176A2B" w:rsidRDefault="00176A2B" w:rsidP="00DC38F0">
      <w:pPr>
        <w:pStyle w:val="ListParagraph"/>
        <w:ind w:left="1440"/>
        <w:jc w:val="both"/>
        <w:rPr>
          <w:i/>
          <w:iCs/>
          <w:color w:val="FF0000"/>
        </w:rPr>
      </w:pPr>
    </w:p>
    <w:p w14:paraId="40E79E99" w14:textId="77777777" w:rsidR="00176A2B" w:rsidRDefault="00176A2B" w:rsidP="00DC38F0">
      <w:pPr>
        <w:pStyle w:val="ListParagraph"/>
        <w:ind w:left="1440"/>
        <w:jc w:val="both"/>
        <w:rPr>
          <w:i/>
          <w:iCs/>
          <w:color w:val="FF0000"/>
        </w:rPr>
      </w:pPr>
    </w:p>
    <w:p w14:paraId="7E656282" w14:textId="77777777" w:rsidR="00176A2B" w:rsidRDefault="00176A2B" w:rsidP="00DC38F0">
      <w:pPr>
        <w:pStyle w:val="ListParagraph"/>
        <w:ind w:left="1440"/>
        <w:jc w:val="both"/>
        <w:rPr>
          <w:i/>
          <w:iCs/>
          <w:color w:val="FF0000"/>
        </w:rPr>
      </w:pPr>
    </w:p>
    <w:p w14:paraId="1611293A" w14:textId="77777777" w:rsidR="00176A2B" w:rsidRDefault="00176A2B" w:rsidP="00DC38F0">
      <w:pPr>
        <w:pStyle w:val="ListParagraph"/>
        <w:ind w:left="1440"/>
        <w:jc w:val="both"/>
        <w:rPr>
          <w:i/>
          <w:iCs/>
          <w:color w:val="FF0000"/>
        </w:rPr>
      </w:pPr>
    </w:p>
    <w:p w14:paraId="0ED440C1" w14:textId="77777777" w:rsidR="00176A2B" w:rsidRDefault="00176A2B" w:rsidP="00DC38F0">
      <w:pPr>
        <w:pStyle w:val="ListParagraph"/>
        <w:ind w:left="1440"/>
        <w:jc w:val="both"/>
        <w:rPr>
          <w:i/>
          <w:iCs/>
          <w:color w:val="FF0000"/>
        </w:rPr>
      </w:pPr>
    </w:p>
    <w:p w14:paraId="34B2B0FD" w14:textId="77777777" w:rsidR="00176A2B" w:rsidRDefault="00176A2B" w:rsidP="00DC38F0">
      <w:pPr>
        <w:pStyle w:val="ListParagraph"/>
        <w:ind w:left="1440"/>
        <w:jc w:val="both"/>
        <w:rPr>
          <w:i/>
          <w:iCs/>
          <w:color w:val="FF0000"/>
        </w:rPr>
      </w:pPr>
    </w:p>
    <w:p w14:paraId="631BF0F6" w14:textId="77777777" w:rsidR="00176A2B" w:rsidRDefault="00176A2B" w:rsidP="00DC38F0">
      <w:pPr>
        <w:pStyle w:val="ListParagraph"/>
        <w:ind w:left="1440"/>
        <w:jc w:val="both"/>
        <w:rPr>
          <w:i/>
          <w:iCs/>
          <w:color w:val="FF0000"/>
        </w:rPr>
      </w:pPr>
    </w:p>
    <w:p w14:paraId="19B49186" w14:textId="77777777" w:rsidR="00176A2B" w:rsidRDefault="00176A2B" w:rsidP="00DC38F0">
      <w:pPr>
        <w:pStyle w:val="ListParagraph"/>
        <w:ind w:left="1440"/>
        <w:jc w:val="both"/>
        <w:rPr>
          <w:i/>
          <w:iCs/>
          <w:color w:val="FF0000"/>
        </w:rPr>
      </w:pPr>
    </w:p>
    <w:p w14:paraId="64ED1131" w14:textId="77777777" w:rsidR="00176A2B" w:rsidRDefault="00176A2B" w:rsidP="00DC38F0">
      <w:pPr>
        <w:pStyle w:val="ListParagraph"/>
        <w:ind w:left="1440"/>
        <w:jc w:val="both"/>
        <w:rPr>
          <w:i/>
          <w:iCs/>
          <w:color w:val="FF0000"/>
        </w:rPr>
      </w:pPr>
    </w:p>
    <w:p w14:paraId="7304CC7A" w14:textId="77777777" w:rsidR="00176A2B" w:rsidRDefault="00176A2B" w:rsidP="00DC38F0">
      <w:pPr>
        <w:pStyle w:val="ListParagraph"/>
        <w:ind w:left="1440"/>
        <w:jc w:val="both"/>
        <w:rPr>
          <w:i/>
          <w:iCs/>
          <w:color w:val="FF0000"/>
        </w:rPr>
      </w:pPr>
    </w:p>
    <w:p w14:paraId="560AA5AA" w14:textId="77777777" w:rsidR="00176A2B" w:rsidRDefault="00176A2B" w:rsidP="00DC38F0">
      <w:pPr>
        <w:pStyle w:val="ListParagraph"/>
        <w:ind w:left="1440"/>
        <w:jc w:val="both"/>
        <w:rPr>
          <w:i/>
          <w:iCs/>
          <w:color w:val="FF0000"/>
        </w:rPr>
      </w:pPr>
    </w:p>
    <w:p w14:paraId="6FEC0BB4" w14:textId="77777777" w:rsidR="00176A2B" w:rsidRDefault="00176A2B" w:rsidP="00DC38F0">
      <w:pPr>
        <w:pStyle w:val="ListParagraph"/>
        <w:ind w:left="1440"/>
        <w:jc w:val="both"/>
        <w:rPr>
          <w:i/>
          <w:iCs/>
          <w:color w:val="FF0000"/>
        </w:rPr>
      </w:pPr>
    </w:p>
    <w:p w14:paraId="1B67696D" w14:textId="77777777" w:rsidR="00176A2B" w:rsidRDefault="00176A2B" w:rsidP="00DC38F0">
      <w:pPr>
        <w:pStyle w:val="ListParagraph"/>
        <w:ind w:left="1440"/>
        <w:jc w:val="both"/>
        <w:rPr>
          <w:i/>
          <w:iCs/>
          <w:color w:val="FF0000"/>
        </w:rPr>
      </w:pPr>
    </w:p>
    <w:p w14:paraId="74C60700" w14:textId="77777777" w:rsidR="00176A2B" w:rsidRDefault="00176A2B" w:rsidP="00DC38F0">
      <w:pPr>
        <w:pStyle w:val="ListParagraph"/>
        <w:ind w:left="1440"/>
        <w:jc w:val="both"/>
        <w:rPr>
          <w:i/>
          <w:iCs/>
          <w:color w:val="FF0000"/>
        </w:rPr>
      </w:pPr>
    </w:p>
    <w:p w14:paraId="3FB4623D" w14:textId="77777777" w:rsidR="00176A2B" w:rsidRDefault="00176A2B" w:rsidP="00DC38F0">
      <w:pPr>
        <w:pStyle w:val="ListParagraph"/>
        <w:ind w:left="1440"/>
        <w:jc w:val="both"/>
        <w:rPr>
          <w:i/>
          <w:iCs/>
          <w:color w:val="FF0000"/>
        </w:rPr>
      </w:pPr>
    </w:p>
    <w:p w14:paraId="345CC154" w14:textId="77777777" w:rsidR="00176A2B" w:rsidRDefault="00176A2B" w:rsidP="00DC38F0">
      <w:pPr>
        <w:pStyle w:val="ListParagraph"/>
        <w:ind w:left="1440"/>
        <w:jc w:val="both"/>
        <w:rPr>
          <w:i/>
          <w:iCs/>
          <w:color w:val="FF0000"/>
        </w:rPr>
      </w:pPr>
    </w:p>
    <w:p w14:paraId="2BCD72CF" w14:textId="77777777" w:rsidR="00176A2B" w:rsidRDefault="00176A2B" w:rsidP="00DC38F0">
      <w:pPr>
        <w:pStyle w:val="ListParagraph"/>
        <w:ind w:left="1440"/>
        <w:jc w:val="both"/>
        <w:rPr>
          <w:i/>
          <w:iCs/>
          <w:color w:val="FF0000"/>
        </w:rPr>
      </w:pPr>
    </w:p>
    <w:p w14:paraId="54708DEE" w14:textId="77777777" w:rsidR="00176A2B" w:rsidRDefault="00176A2B" w:rsidP="00DC38F0">
      <w:pPr>
        <w:pStyle w:val="ListParagraph"/>
        <w:ind w:left="1440"/>
        <w:jc w:val="both"/>
        <w:rPr>
          <w:i/>
          <w:iCs/>
          <w:color w:val="FF0000"/>
        </w:rPr>
      </w:pPr>
    </w:p>
    <w:p w14:paraId="1068A8BD" w14:textId="77777777" w:rsidR="00176A2B" w:rsidRDefault="00176A2B" w:rsidP="00DC38F0">
      <w:pPr>
        <w:pStyle w:val="ListParagraph"/>
        <w:ind w:left="1440"/>
        <w:jc w:val="both"/>
        <w:rPr>
          <w:i/>
          <w:iCs/>
          <w:color w:val="FF0000"/>
        </w:rPr>
      </w:pPr>
    </w:p>
    <w:p w14:paraId="19DE777B" w14:textId="77777777" w:rsidR="00176A2B" w:rsidRDefault="00176A2B" w:rsidP="00DC38F0">
      <w:pPr>
        <w:pStyle w:val="ListParagraph"/>
        <w:ind w:left="1440"/>
        <w:jc w:val="both"/>
        <w:rPr>
          <w:i/>
          <w:iCs/>
          <w:color w:val="FF0000"/>
        </w:rPr>
      </w:pPr>
    </w:p>
    <w:p w14:paraId="7EDC97E9" w14:textId="77777777" w:rsidR="00176A2B" w:rsidRDefault="00176A2B" w:rsidP="00DC38F0">
      <w:pPr>
        <w:pStyle w:val="ListParagraph"/>
        <w:ind w:left="1440"/>
        <w:jc w:val="both"/>
        <w:rPr>
          <w:i/>
          <w:iCs/>
          <w:color w:val="FF0000"/>
        </w:rPr>
      </w:pPr>
    </w:p>
    <w:p w14:paraId="5907E787" w14:textId="77777777" w:rsidR="00176A2B" w:rsidRDefault="00176A2B" w:rsidP="00DC38F0">
      <w:pPr>
        <w:pStyle w:val="ListParagraph"/>
        <w:ind w:left="1440"/>
        <w:jc w:val="both"/>
        <w:rPr>
          <w:i/>
          <w:iCs/>
          <w:color w:val="FF0000"/>
        </w:rPr>
      </w:pPr>
    </w:p>
    <w:p w14:paraId="09A744DA" w14:textId="77777777" w:rsidR="00176A2B" w:rsidRDefault="00176A2B" w:rsidP="00DC38F0">
      <w:pPr>
        <w:pStyle w:val="ListParagraph"/>
        <w:ind w:left="1440"/>
        <w:jc w:val="both"/>
        <w:rPr>
          <w:i/>
          <w:iCs/>
          <w:color w:val="FF0000"/>
        </w:rPr>
      </w:pPr>
    </w:p>
    <w:p w14:paraId="029F1533" w14:textId="77777777" w:rsidR="00176A2B" w:rsidRDefault="00176A2B" w:rsidP="00DC38F0">
      <w:pPr>
        <w:pStyle w:val="ListParagraph"/>
        <w:ind w:left="1440"/>
        <w:jc w:val="both"/>
        <w:rPr>
          <w:i/>
          <w:iCs/>
          <w:color w:val="FF0000"/>
        </w:rPr>
      </w:pPr>
    </w:p>
    <w:p w14:paraId="2D957168" w14:textId="77777777" w:rsidR="00176A2B" w:rsidRDefault="00176A2B" w:rsidP="00DC38F0">
      <w:pPr>
        <w:pStyle w:val="ListParagraph"/>
        <w:ind w:left="1440"/>
        <w:jc w:val="both"/>
        <w:rPr>
          <w:i/>
          <w:iCs/>
          <w:color w:val="FF0000"/>
        </w:rPr>
      </w:pPr>
    </w:p>
    <w:p w14:paraId="22F7519E" w14:textId="77777777" w:rsidR="00176A2B" w:rsidRDefault="00176A2B" w:rsidP="00DC38F0">
      <w:pPr>
        <w:pStyle w:val="ListParagraph"/>
        <w:ind w:left="1440"/>
        <w:jc w:val="both"/>
        <w:rPr>
          <w:i/>
          <w:iCs/>
          <w:color w:val="FF0000"/>
        </w:rPr>
      </w:pPr>
    </w:p>
    <w:p w14:paraId="5F6F8E17" w14:textId="77777777" w:rsidR="00176A2B" w:rsidRDefault="00176A2B" w:rsidP="00DC38F0">
      <w:pPr>
        <w:pStyle w:val="ListParagraph"/>
        <w:ind w:left="1440"/>
        <w:jc w:val="both"/>
        <w:rPr>
          <w:i/>
          <w:iCs/>
          <w:color w:val="FF0000"/>
        </w:rPr>
      </w:pPr>
    </w:p>
    <w:p w14:paraId="15343B26" w14:textId="77777777" w:rsidR="00176A2B" w:rsidRDefault="00176A2B" w:rsidP="00DC38F0">
      <w:pPr>
        <w:pStyle w:val="ListParagraph"/>
        <w:ind w:left="1440"/>
        <w:jc w:val="both"/>
        <w:rPr>
          <w:i/>
          <w:iCs/>
          <w:color w:val="FF0000"/>
        </w:rPr>
      </w:pPr>
    </w:p>
    <w:p w14:paraId="6649DAF7" w14:textId="77777777" w:rsidR="00176A2B" w:rsidRDefault="00176A2B" w:rsidP="00DC38F0">
      <w:pPr>
        <w:pStyle w:val="ListParagraph"/>
        <w:ind w:left="1440"/>
        <w:jc w:val="both"/>
        <w:rPr>
          <w:i/>
          <w:iCs/>
          <w:color w:val="FF0000"/>
        </w:rPr>
      </w:pPr>
    </w:p>
    <w:p w14:paraId="4B331F0D" w14:textId="77777777" w:rsidR="00176A2B" w:rsidRDefault="00176A2B" w:rsidP="00DC38F0">
      <w:pPr>
        <w:pStyle w:val="ListParagraph"/>
        <w:ind w:left="1440"/>
        <w:jc w:val="both"/>
        <w:rPr>
          <w:i/>
          <w:iCs/>
          <w:color w:val="FF0000"/>
        </w:rPr>
      </w:pPr>
    </w:p>
    <w:p w14:paraId="6807E089" w14:textId="77777777" w:rsidR="00176A2B" w:rsidRDefault="00176A2B" w:rsidP="00DC38F0">
      <w:pPr>
        <w:pStyle w:val="ListParagraph"/>
        <w:ind w:left="1440"/>
        <w:jc w:val="both"/>
        <w:rPr>
          <w:i/>
          <w:iCs/>
          <w:color w:val="FF0000"/>
        </w:rPr>
      </w:pPr>
    </w:p>
    <w:p w14:paraId="486B599F" w14:textId="77777777" w:rsidR="00176A2B" w:rsidRDefault="00176A2B" w:rsidP="00DC38F0">
      <w:pPr>
        <w:pStyle w:val="ListParagraph"/>
        <w:ind w:left="1440"/>
        <w:jc w:val="both"/>
        <w:rPr>
          <w:i/>
          <w:iCs/>
          <w:color w:val="FF0000"/>
        </w:rPr>
      </w:pPr>
    </w:p>
    <w:p w14:paraId="3DEC936E" w14:textId="77777777" w:rsidR="00176A2B" w:rsidRDefault="00176A2B" w:rsidP="00DC38F0">
      <w:pPr>
        <w:pStyle w:val="ListParagraph"/>
        <w:ind w:left="1440"/>
        <w:jc w:val="both"/>
        <w:rPr>
          <w:i/>
          <w:iCs/>
          <w:color w:val="FF0000"/>
        </w:rPr>
      </w:pPr>
    </w:p>
    <w:p w14:paraId="47F64F03" w14:textId="77777777" w:rsidR="00176A2B" w:rsidRDefault="00176A2B" w:rsidP="00DC38F0">
      <w:pPr>
        <w:pStyle w:val="ListParagraph"/>
        <w:ind w:left="1440"/>
        <w:jc w:val="both"/>
        <w:rPr>
          <w:i/>
          <w:iCs/>
          <w:color w:val="FF0000"/>
        </w:rPr>
      </w:pPr>
    </w:p>
    <w:p w14:paraId="65B798F8" w14:textId="77777777" w:rsidR="00176A2B" w:rsidRDefault="00176A2B" w:rsidP="00DC38F0">
      <w:pPr>
        <w:pStyle w:val="ListParagraph"/>
        <w:ind w:left="1440"/>
        <w:jc w:val="both"/>
        <w:rPr>
          <w:i/>
          <w:iCs/>
          <w:color w:val="FF0000"/>
        </w:rPr>
      </w:pPr>
    </w:p>
    <w:p w14:paraId="10352183" w14:textId="77777777" w:rsidR="00176A2B" w:rsidRDefault="00176A2B" w:rsidP="00DC38F0">
      <w:pPr>
        <w:pStyle w:val="ListParagraph"/>
        <w:ind w:left="1440"/>
        <w:jc w:val="both"/>
        <w:rPr>
          <w:i/>
          <w:iCs/>
          <w:color w:val="FF0000"/>
        </w:rPr>
      </w:pPr>
    </w:p>
    <w:p w14:paraId="61E26639" w14:textId="77777777" w:rsidR="00176A2B" w:rsidRDefault="00176A2B" w:rsidP="00DC38F0">
      <w:pPr>
        <w:pStyle w:val="ListParagraph"/>
        <w:ind w:left="1440"/>
        <w:jc w:val="both"/>
        <w:rPr>
          <w:i/>
          <w:iCs/>
          <w:color w:val="FF0000"/>
        </w:rPr>
      </w:pPr>
    </w:p>
    <w:p w14:paraId="593DA765" w14:textId="77777777" w:rsidR="00176A2B" w:rsidRDefault="00176A2B" w:rsidP="00DC38F0">
      <w:pPr>
        <w:pStyle w:val="ListParagraph"/>
        <w:ind w:left="1440"/>
        <w:jc w:val="both"/>
        <w:rPr>
          <w:i/>
          <w:iCs/>
          <w:color w:val="FF0000"/>
        </w:rPr>
      </w:pPr>
    </w:p>
    <w:p w14:paraId="4A41FD0F" w14:textId="77777777" w:rsidR="00176A2B" w:rsidRDefault="00176A2B" w:rsidP="00DC38F0">
      <w:pPr>
        <w:pStyle w:val="ListParagraph"/>
        <w:ind w:left="1440"/>
        <w:jc w:val="both"/>
        <w:rPr>
          <w:i/>
          <w:iCs/>
          <w:color w:val="FF0000"/>
        </w:rPr>
      </w:pPr>
    </w:p>
    <w:p w14:paraId="2503E96E" w14:textId="77777777" w:rsidR="00176A2B" w:rsidRDefault="00176A2B" w:rsidP="00DC38F0">
      <w:pPr>
        <w:pStyle w:val="ListParagraph"/>
        <w:ind w:left="1440"/>
        <w:jc w:val="both"/>
        <w:rPr>
          <w:i/>
          <w:iCs/>
          <w:color w:val="FF0000"/>
        </w:rPr>
      </w:pPr>
    </w:p>
    <w:p w14:paraId="3F0926D9" w14:textId="77777777" w:rsidR="00176A2B" w:rsidRDefault="00176A2B" w:rsidP="00DC38F0">
      <w:pPr>
        <w:pStyle w:val="ListParagraph"/>
        <w:ind w:left="1440"/>
        <w:jc w:val="both"/>
        <w:rPr>
          <w:i/>
          <w:iCs/>
          <w:color w:val="FF0000"/>
        </w:rPr>
      </w:pPr>
    </w:p>
    <w:p w14:paraId="401CA73C" w14:textId="77777777" w:rsidR="00176A2B" w:rsidRPr="00493AC1" w:rsidRDefault="00176A2B" w:rsidP="00DC38F0">
      <w:pPr>
        <w:pStyle w:val="ListParagraph"/>
        <w:ind w:left="1440"/>
        <w:jc w:val="both"/>
        <w:rPr>
          <w:b/>
          <w:bCs/>
          <w:i/>
          <w:iCs/>
          <w:color w:val="FF0000"/>
          <w:sz w:val="28"/>
          <w:szCs w:val="28"/>
        </w:rPr>
      </w:pPr>
    </w:p>
    <w:p w14:paraId="609707EC" w14:textId="585C2872" w:rsidR="00176A2B" w:rsidRPr="00493AC1" w:rsidRDefault="00176A2B" w:rsidP="00493AC1">
      <w:pPr>
        <w:pStyle w:val="ListParagraph"/>
        <w:ind w:left="1440"/>
        <w:jc w:val="both"/>
        <w:rPr>
          <w:b/>
          <w:bCs/>
          <w:sz w:val="28"/>
          <w:szCs w:val="28"/>
        </w:rPr>
      </w:pPr>
      <w:r w:rsidRPr="00493AC1">
        <w:rPr>
          <w:b/>
          <w:bCs/>
          <w:i/>
          <w:iCs/>
          <w:color w:val="FF0000"/>
          <w:sz w:val="28"/>
          <w:szCs w:val="28"/>
        </w:rPr>
        <w:t>APPENDIX F</w:t>
      </w:r>
      <w:r w:rsidR="00D60451" w:rsidRPr="00493AC1">
        <w:rPr>
          <w:b/>
          <w:bCs/>
          <w:sz w:val="28"/>
          <w:szCs w:val="28"/>
        </w:rPr>
        <w:t xml:space="preserve"> Sample Collateral Perfection, Priority &amp;</w:t>
      </w:r>
      <w:r w:rsidR="00493AC1">
        <w:rPr>
          <w:b/>
          <w:bCs/>
          <w:sz w:val="28"/>
          <w:szCs w:val="28"/>
        </w:rPr>
        <w:t xml:space="preserve"> </w:t>
      </w:r>
      <w:r w:rsidR="00D60451" w:rsidRPr="00493AC1">
        <w:rPr>
          <w:b/>
          <w:bCs/>
          <w:sz w:val="28"/>
          <w:szCs w:val="28"/>
        </w:rPr>
        <w:t xml:space="preserve">Enforceability Legal Opinion To Bond Trustee </w:t>
      </w:r>
      <w:r w:rsidR="00D60451" w:rsidRPr="00493AC1">
        <w:rPr>
          <w:b/>
          <w:bCs/>
          <w:color w:val="FF0000"/>
          <w:sz w:val="28"/>
          <w:szCs w:val="28"/>
        </w:rPr>
        <w:t>KIM</w:t>
      </w:r>
      <w:r w:rsidR="00D60451" w:rsidRPr="00493AC1">
        <w:rPr>
          <w:b/>
          <w:bCs/>
          <w:color w:val="FF0000"/>
          <w:sz w:val="28"/>
          <w:szCs w:val="28"/>
        </w:rPr>
        <w:br/>
      </w:r>
    </w:p>
    <w:sectPr w:rsidR="00176A2B" w:rsidRPr="00493AC1">
      <w:headerReference w:type="default" r:id="rId10"/>
      <w:footerReference w:type="default" r:id="rId11"/>
      <w:pgSz w:w="12240" w:h="15840" w:code="1"/>
      <w:pgMar w:top="1267" w:right="1440" w:bottom="116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C3F64" w14:textId="77777777" w:rsidR="00901641" w:rsidRDefault="00901641">
      <w:r>
        <w:separator/>
      </w:r>
    </w:p>
  </w:endnote>
  <w:endnote w:type="continuationSeparator" w:id="0">
    <w:p w14:paraId="6967731E" w14:textId="77777777" w:rsidR="00901641" w:rsidRDefault="00901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B37B" w14:textId="5C76442F" w:rsidR="007F5B31" w:rsidRDefault="00B31E90">
    <w:pPr>
      <w:pStyle w:val="Footer"/>
      <w:pBdr>
        <w:top w:val="single" w:sz="6" w:space="1" w:color="auto"/>
      </w:pBdr>
      <w:spacing w:after="120"/>
      <w:rPr>
        <w:i/>
      </w:rPr>
    </w:pPr>
    <w:r>
      <w:rPr>
        <w:i/>
      </w:rPr>
      <w:t>[___] 2024</w:t>
    </w:r>
    <w:r w:rsidR="007F5B31">
      <w:rPr>
        <w:i/>
      </w:rPr>
      <w:tab/>
      <w:t>-</w:t>
    </w:r>
    <w:r w:rsidR="007F5B31">
      <w:rPr>
        <w:rStyle w:val="PageNumber"/>
        <w:i/>
      </w:rPr>
      <w:fldChar w:fldCharType="begin"/>
    </w:r>
    <w:r w:rsidR="007F5B31">
      <w:rPr>
        <w:rStyle w:val="PageNumber"/>
        <w:i/>
      </w:rPr>
      <w:instrText xml:space="preserve"> PAGE </w:instrText>
    </w:r>
    <w:r w:rsidR="007F5B31">
      <w:rPr>
        <w:rStyle w:val="PageNumber"/>
        <w:i/>
      </w:rPr>
      <w:fldChar w:fldCharType="separate"/>
    </w:r>
    <w:r w:rsidR="007F5B31">
      <w:rPr>
        <w:rStyle w:val="PageNumber"/>
        <w:i/>
        <w:noProof/>
      </w:rPr>
      <w:t>2</w:t>
    </w:r>
    <w:r w:rsidR="007F5B31">
      <w:rPr>
        <w:rStyle w:val="PageNumber"/>
        <w:i/>
      </w:rPr>
      <w:fldChar w:fldCharType="end"/>
    </w:r>
    <w:r w:rsidR="007F5B31">
      <w:rPr>
        <w:rStyle w:val="PageNumber"/>
        <w:i/>
      </w:rPr>
      <w:t>-</w:t>
    </w:r>
    <w:r w:rsidR="007F5B31">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544A1" w14:textId="77777777" w:rsidR="00901641" w:rsidRDefault="00901641" w:rsidP="00B27648">
      <w:r>
        <w:separator/>
      </w:r>
    </w:p>
  </w:footnote>
  <w:footnote w:type="continuationSeparator" w:id="0">
    <w:p w14:paraId="774A621F" w14:textId="77777777" w:rsidR="00901641" w:rsidRDefault="00901641" w:rsidP="00B27648">
      <w:r>
        <w:continuationSeparator/>
      </w:r>
    </w:p>
  </w:footnote>
  <w:footnote w:id="1">
    <w:p w14:paraId="1F555585" w14:textId="77777777" w:rsidR="00F922D0" w:rsidRDefault="00F922D0" w:rsidP="00F922D0">
      <w:pPr>
        <w:pStyle w:val="FootnoteText"/>
      </w:pPr>
      <w:r>
        <w:rPr>
          <w:rStyle w:val="FootnoteReference"/>
        </w:rPr>
        <w:footnoteRef/>
      </w:r>
      <w:r>
        <w:t xml:space="preserve"> </w:t>
      </w:r>
      <w:hyperlink r:id="rId1" w:anchor="how-it-works" w:history="1">
        <w:r>
          <w:rPr>
            <w:rStyle w:val="Hyperlink"/>
          </w:rPr>
          <w:t>Deed Of Trust Vs Mortgage | Bankrate</w:t>
        </w:r>
      </w:hyperlink>
    </w:p>
  </w:footnote>
  <w:footnote w:id="2">
    <w:p w14:paraId="27BE8006" w14:textId="77777777" w:rsidR="00F922D0" w:rsidRDefault="00F922D0" w:rsidP="00F922D0">
      <w:pPr>
        <w:pStyle w:val="FootnoteText"/>
      </w:pPr>
      <w:r>
        <w:rPr>
          <w:rStyle w:val="FootnoteReference"/>
        </w:rPr>
        <w:footnoteRef/>
      </w:r>
      <w:r>
        <w:t xml:space="preserve"> </w:t>
      </w:r>
      <w:hyperlink r:id="rId2" w:history="1">
        <w:r>
          <w:rPr>
            <w:rStyle w:val="Hyperlink"/>
          </w:rPr>
          <w:t>Free Deed of Trust Template &amp; FAQs - Rocket Lawyer</w:t>
        </w:r>
      </w:hyperlink>
      <w:r>
        <w:t xml:space="preserve"> </w:t>
      </w:r>
    </w:p>
  </w:footnote>
  <w:footnote w:id="3">
    <w:p w14:paraId="52421C34" w14:textId="77777777" w:rsidR="00F922D0" w:rsidRDefault="00F922D0" w:rsidP="00F922D0">
      <w:pPr>
        <w:pStyle w:val="FootnoteText"/>
      </w:pPr>
      <w:r>
        <w:rPr>
          <w:rStyle w:val="FootnoteReference"/>
        </w:rPr>
        <w:footnoteRef/>
      </w:r>
      <w:r>
        <w:t xml:space="preserve"> </w:t>
      </w:r>
      <w:hyperlink r:id="rId3" w:anchor=":~:text=Fee%20simple%20definition,other%20than%20local%20zoning%20ordinances." w:history="1">
        <w:r>
          <w:rPr>
            <w:rStyle w:val="Hyperlink"/>
          </w:rPr>
          <w:t xml:space="preserve">What Is Fee Simple </w:t>
        </w:r>
        <w:proofErr w:type="gramStart"/>
        <w:r>
          <w:rPr>
            <w:rStyle w:val="Hyperlink"/>
          </w:rPr>
          <w:t>In</w:t>
        </w:r>
        <w:proofErr w:type="gramEnd"/>
        <w:r>
          <w:rPr>
            <w:rStyle w:val="Hyperlink"/>
          </w:rPr>
          <w:t xml:space="preserve"> Real Estate? | Bankrate</w:t>
        </w:r>
      </w:hyperlink>
      <w:r>
        <w:t xml:space="preserve"> </w:t>
      </w:r>
    </w:p>
  </w:footnote>
  <w:footnote w:id="4">
    <w:p w14:paraId="4D40CF4E" w14:textId="77777777" w:rsidR="00F922D0" w:rsidRDefault="00F922D0" w:rsidP="00F922D0">
      <w:pPr>
        <w:pStyle w:val="FootnoteText"/>
      </w:pPr>
      <w:r>
        <w:rPr>
          <w:rStyle w:val="FootnoteReference"/>
        </w:rPr>
        <w:footnoteRef/>
      </w:r>
      <w:r>
        <w:t xml:space="preserve"> </w:t>
      </w:r>
      <w:hyperlink r:id="rId4" w:history="1">
        <w:r>
          <w:rPr>
            <w:rStyle w:val="Hyperlink"/>
          </w:rPr>
          <w:t xml:space="preserve">leasehold interest definition · </w:t>
        </w:r>
        <w:proofErr w:type="spellStart"/>
        <w:r>
          <w:rPr>
            <w:rStyle w:val="Hyperlink"/>
          </w:rPr>
          <w:t>LSData</w:t>
        </w:r>
        <w:proofErr w:type="spellEnd"/>
      </w:hyperlink>
    </w:p>
  </w:footnote>
  <w:footnote w:id="5">
    <w:p w14:paraId="4A5DCA10" w14:textId="77777777" w:rsidR="00F922D0" w:rsidRDefault="00F922D0" w:rsidP="00F922D0">
      <w:pPr>
        <w:pStyle w:val="FootnoteText"/>
      </w:pPr>
    </w:p>
  </w:footnote>
  <w:footnote w:id="6">
    <w:p w14:paraId="0380C4E7" w14:textId="77777777" w:rsidR="00190341" w:rsidRDefault="00190341" w:rsidP="00190341">
      <w:pPr>
        <w:pStyle w:val="FootnoteText"/>
      </w:pPr>
      <w:r>
        <w:rPr>
          <w:rStyle w:val="FootnoteReference"/>
        </w:rPr>
        <w:footnoteRef/>
      </w:r>
      <w:r>
        <w:t xml:space="preserve"> </w:t>
      </w:r>
      <w:hyperlink r:id="rId5" w:history="1">
        <w:r>
          <w:rPr>
            <w:rStyle w:val="Hyperlink"/>
          </w:rPr>
          <w:t>USCODE-2021-title11-chap1-sec101.pdf</w:t>
        </w:r>
      </w:hyperlink>
    </w:p>
  </w:footnote>
  <w:footnote w:id="7">
    <w:p w14:paraId="7E0E96A0" w14:textId="77777777" w:rsidR="00190341" w:rsidRDefault="00190341" w:rsidP="00190341">
      <w:pPr>
        <w:pStyle w:val="FootnoteText"/>
      </w:pPr>
      <w:r>
        <w:rPr>
          <w:rStyle w:val="FootnoteReference"/>
        </w:rPr>
        <w:footnoteRef/>
      </w:r>
      <w:r>
        <w:t xml:space="preserve"> </w:t>
      </w:r>
      <w:hyperlink r:id="rId6" w:history="1">
        <w:r>
          <w:rPr>
            <w:rStyle w:val="Hyperlink"/>
          </w:rPr>
          <w:t>wp_statliens_final_dec2017.pdf</w:t>
        </w:r>
      </w:hyperlink>
    </w:p>
  </w:footnote>
  <w:footnote w:id="8">
    <w:p w14:paraId="10B5679F" w14:textId="77777777" w:rsidR="00190341" w:rsidRDefault="00190341" w:rsidP="00190341">
      <w:pPr>
        <w:pStyle w:val="FootnoteText"/>
      </w:pPr>
      <w:r>
        <w:rPr>
          <w:rStyle w:val="FootnoteReference"/>
        </w:rPr>
        <w:footnoteRef/>
      </w:r>
      <w:r>
        <w:t xml:space="preserve"> </w:t>
      </w:r>
      <w:hyperlink r:id="rId7" w:history="1">
        <w:r>
          <w:rPr>
            <w:rStyle w:val="Hyperlink"/>
          </w:rPr>
          <w:t>wp_statliens_final_dec2017.pdf</w:t>
        </w:r>
      </w:hyperlink>
    </w:p>
  </w:footnote>
  <w:footnote w:id="9">
    <w:p w14:paraId="1A54FD08" w14:textId="77777777" w:rsidR="00190341" w:rsidRDefault="00190341" w:rsidP="00190341">
      <w:pPr>
        <w:pStyle w:val="FootnoteText"/>
      </w:pPr>
      <w:r>
        <w:rPr>
          <w:rStyle w:val="FootnoteReference"/>
        </w:rPr>
        <w:footnoteRef/>
      </w:r>
      <w:r>
        <w:t xml:space="preserve"> </w:t>
      </w:r>
      <w:hyperlink r:id="rId8" w:history="1">
        <w:r>
          <w:rPr>
            <w:rStyle w:val="Hyperlink"/>
          </w:rPr>
          <w:t>chapter-9-summary-memo-bruce-wilson.pdf</w:t>
        </w:r>
      </w:hyperlink>
    </w:p>
  </w:footnote>
  <w:footnote w:id="10">
    <w:p w14:paraId="2BB11F7D" w14:textId="77777777" w:rsidR="00FC6897" w:rsidRDefault="00FC6897" w:rsidP="00FC6897">
      <w:pPr>
        <w:pStyle w:val="FootnoteText"/>
      </w:pPr>
      <w:r>
        <w:rPr>
          <w:rStyle w:val="FootnoteReference"/>
        </w:rPr>
        <w:footnoteRef/>
      </w:r>
      <w:r>
        <w:t xml:space="preserve"> </w:t>
      </w:r>
      <w:hyperlink r:id="rId9" w:history="1">
        <w:r>
          <w:rPr>
            <w:rStyle w:val="Hyperlink"/>
          </w:rPr>
          <w:t xml:space="preserve">Financing Leasehold Interests: How To Manage </w:t>
        </w:r>
        <w:proofErr w:type="gramStart"/>
        <w:r>
          <w:rPr>
            <w:rStyle w:val="Hyperlink"/>
          </w:rPr>
          <w:t>The</w:t>
        </w:r>
        <w:proofErr w:type="gramEnd"/>
        <w:r>
          <w:rPr>
            <w:rStyle w:val="Hyperlink"/>
          </w:rPr>
          <w:t xml:space="preserve"> Risks - Real Estate - Real Estate and Construction - Canada</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79692" w14:textId="10C938C1" w:rsidR="00150BF7" w:rsidRDefault="006B5ADE" w:rsidP="0099253F">
    <w:pPr>
      <w:pStyle w:val="Header"/>
      <w:tabs>
        <w:tab w:val="clear" w:pos="9360"/>
        <w:tab w:val="left" w:pos="5076"/>
      </w:tabs>
    </w:pPr>
    <w:sdt>
      <w:sdtPr>
        <w:id w:val="968752352"/>
        <w:placeholder>
          <w:docPart w:val="52A08946FB7740518333AFAB3181AA9D"/>
        </w:placeholder>
        <w:temporary/>
        <w:showingPlcHdr/>
        <w15:appearance w15:val="hidden"/>
      </w:sdtPr>
      <w:sdtEndPr/>
      <w:sdtContent>
        <w:r w:rsidR="00150BF7">
          <w:t>[Type here]</w:t>
        </w:r>
      </w:sdtContent>
    </w:sdt>
    <w:r w:rsidR="00F6005C">
      <w:tab/>
    </w:r>
    <w:r w:rsidR="00F6005C">
      <w:tab/>
    </w:r>
  </w:p>
  <w:p w14:paraId="5BC7598E" w14:textId="77777777" w:rsidR="007F5B31" w:rsidRDefault="007F5B31">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2EF"/>
    <w:multiLevelType w:val="hybridMultilevel"/>
    <w:tmpl w:val="05D4F6C4"/>
    <w:lvl w:ilvl="0" w:tplc="53DC89DC">
      <w:start w:val="2"/>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D2A3A63"/>
    <w:multiLevelType w:val="hybridMultilevel"/>
    <w:tmpl w:val="9C668CDE"/>
    <w:lvl w:ilvl="0" w:tplc="C944DEC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036AB"/>
    <w:multiLevelType w:val="hybridMultilevel"/>
    <w:tmpl w:val="363AD9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246B1"/>
    <w:multiLevelType w:val="hybridMultilevel"/>
    <w:tmpl w:val="4B6CE5A2"/>
    <w:lvl w:ilvl="0" w:tplc="6A8A9C60">
      <w:start w:val="1"/>
      <w:numFmt w:val="decimal"/>
      <w:lvlText w:val="%1."/>
      <w:lvlJc w:val="left"/>
      <w:pPr>
        <w:ind w:left="720" w:hanging="360"/>
      </w:pPr>
    </w:lvl>
    <w:lvl w:ilvl="1" w:tplc="BFD6FD6C">
      <w:start w:val="1"/>
      <w:numFmt w:val="lowerLetter"/>
      <w:lvlText w:val="%2."/>
      <w:lvlJc w:val="left"/>
      <w:pPr>
        <w:ind w:left="1440" w:hanging="360"/>
      </w:pPr>
    </w:lvl>
    <w:lvl w:ilvl="2" w:tplc="AE72BF4A">
      <w:start w:val="1"/>
      <w:numFmt w:val="lowerRoman"/>
      <w:lvlText w:val="%3."/>
      <w:lvlJc w:val="right"/>
      <w:pPr>
        <w:ind w:left="2160" w:hanging="180"/>
      </w:pPr>
    </w:lvl>
    <w:lvl w:ilvl="3" w:tplc="121C28C8" w:tentative="1">
      <w:start w:val="1"/>
      <w:numFmt w:val="decimal"/>
      <w:lvlText w:val="%4."/>
      <w:lvlJc w:val="left"/>
      <w:pPr>
        <w:ind w:left="2880" w:hanging="360"/>
      </w:pPr>
    </w:lvl>
    <w:lvl w:ilvl="4" w:tplc="CABC2F58" w:tentative="1">
      <w:start w:val="1"/>
      <w:numFmt w:val="lowerLetter"/>
      <w:lvlText w:val="%5."/>
      <w:lvlJc w:val="left"/>
      <w:pPr>
        <w:ind w:left="3600" w:hanging="360"/>
      </w:pPr>
    </w:lvl>
    <w:lvl w:ilvl="5" w:tplc="C2DE4584" w:tentative="1">
      <w:start w:val="1"/>
      <w:numFmt w:val="lowerRoman"/>
      <w:lvlText w:val="%6."/>
      <w:lvlJc w:val="right"/>
      <w:pPr>
        <w:ind w:left="4320" w:hanging="180"/>
      </w:pPr>
    </w:lvl>
    <w:lvl w:ilvl="6" w:tplc="55922CD8" w:tentative="1">
      <w:start w:val="1"/>
      <w:numFmt w:val="decimal"/>
      <w:lvlText w:val="%7."/>
      <w:lvlJc w:val="left"/>
      <w:pPr>
        <w:ind w:left="5040" w:hanging="360"/>
      </w:pPr>
    </w:lvl>
    <w:lvl w:ilvl="7" w:tplc="A154B6A8" w:tentative="1">
      <w:start w:val="1"/>
      <w:numFmt w:val="lowerLetter"/>
      <w:lvlText w:val="%8."/>
      <w:lvlJc w:val="left"/>
      <w:pPr>
        <w:ind w:left="5760" w:hanging="360"/>
      </w:pPr>
    </w:lvl>
    <w:lvl w:ilvl="8" w:tplc="E2F0A30A" w:tentative="1">
      <w:start w:val="1"/>
      <w:numFmt w:val="lowerRoman"/>
      <w:lvlText w:val="%9."/>
      <w:lvlJc w:val="right"/>
      <w:pPr>
        <w:ind w:left="6480" w:hanging="180"/>
      </w:pPr>
    </w:lvl>
  </w:abstractNum>
  <w:abstractNum w:abstractNumId="4" w15:restartNumberingAfterBreak="0">
    <w:nsid w:val="16C2408D"/>
    <w:multiLevelType w:val="hybridMultilevel"/>
    <w:tmpl w:val="2E2804F6"/>
    <w:lvl w:ilvl="0" w:tplc="7EECC724">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7E61968"/>
    <w:multiLevelType w:val="hybridMultilevel"/>
    <w:tmpl w:val="492202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287116"/>
    <w:multiLevelType w:val="hybridMultilevel"/>
    <w:tmpl w:val="8E7A6378"/>
    <w:lvl w:ilvl="0" w:tplc="0F5EC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086D20"/>
    <w:multiLevelType w:val="hybridMultilevel"/>
    <w:tmpl w:val="1D9E7936"/>
    <w:lvl w:ilvl="0" w:tplc="2362C3F2">
      <w:start w:val="1"/>
      <w:numFmt w:val="decimal"/>
      <w:lvlText w:val="%1."/>
      <w:lvlJc w:val="left"/>
      <w:pPr>
        <w:ind w:left="720" w:hanging="360"/>
      </w:pPr>
    </w:lvl>
    <w:lvl w:ilvl="1" w:tplc="A2D8B92E">
      <w:start w:val="1"/>
      <w:numFmt w:val="lowerLetter"/>
      <w:lvlText w:val="%2."/>
      <w:lvlJc w:val="left"/>
      <w:pPr>
        <w:ind w:left="1440" w:hanging="360"/>
      </w:pPr>
    </w:lvl>
    <w:lvl w:ilvl="2" w:tplc="91BECF26" w:tentative="1">
      <w:start w:val="1"/>
      <w:numFmt w:val="lowerRoman"/>
      <w:lvlText w:val="%3."/>
      <w:lvlJc w:val="right"/>
      <w:pPr>
        <w:ind w:left="2160" w:hanging="180"/>
      </w:pPr>
    </w:lvl>
    <w:lvl w:ilvl="3" w:tplc="6F5A6664" w:tentative="1">
      <w:start w:val="1"/>
      <w:numFmt w:val="decimal"/>
      <w:lvlText w:val="%4."/>
      <w:lvlJc w:val="left"/>
      <w:pPr>
        <w:ind w:left="2880" w:hanging="360"/>
      </w:pPr>
    </w:lvl>
    <w:lvl w:ilvl="4" w:tplc="72CA50CC" w:tentative="1">
      <w:start w:val="1"/>
      <w:numFmt w:val="lowerLetter"/>
      <w:lvlText w:val="%5."/>
      <w:lvlJc w:val="left"/>
      <w:pPr>
        <w:ind w:left="3600" w:hanging="360"/>
      </w:pPr>
    </w:lvl>
    <w:lvl w:ilvl="5" w:tplc="0C9AF5A4" w:tentative="1">
      <w:start w:val="1"/>
      <w:numFmt w:val="lowerRoman"/>
      <w:lvlText w:val="%6."/>
      <w:lvlJc w:val="right"/>
      <w:pPr>
        <w:ind w:left="4320" w:hanging="180"/>
      </w:pPr>
    </w:lvl>
    <w:lvl w:ilvl="6" w:tplc="2E3C14B4" w:tentative="1">
      <w:start w:val="1"/>
      <w:numFmt w:val="decimal"/>
      <w:lvlText w:val="%7."/>
      <w:lvlJc w:val="left"/>
      <w:pPr>
        <w:ind w:left="5040" w:hanging="360"/>
      </w:pPr>
    </w:lvl>
    <w:lvl w:ilvl="7" w:tplc="C36A5624" w:tentative="1">
      <w:start w:val="1"/>
      <w:numFmt w:val="lowerLetter"/>
      <w:lvlText w:val="%8."/>
      <w:lvlJc w:val="left"/>
      <w:pPr>
        <w:ind w:left="5760" w:hanging="360"/>
      </w:pPr>
    </w:lvl>
    <w:lvl w:ilvl="8" w:tplc="3904AA7A" w:tentative="1">
      <w:start w:val="1"/>
      <w:numFmt w:val="lowerRoman"/>
      <w:lvlText w:val="%9."/>
      <w:lvlJc w:val="right"/>
      <w:pPr>
        <w:ind w:left="6480" w:hanging="180"/>
      </w:pPr>
    </w:lvl>
  </w:abstractNum>
  <w:abstractNum w:abstractNumId="8" w15:restartNumberingAfterBreak="0">
    <w:nsid w:val="1A9924EB"/>
    <w:multiLevelType w:val="hybridMultilevel"/>
    <w:tmpl w:val="FB463C36"/>
    <w:lvl w:ilvl="0" w:tplc="793C6290">
      <w:start w:val="1"/>
      <w:numFmt w:val="decimal"/>
      <w:lvlText w:val="%1."/>
      <w:lvlJc w:val="left"/>
      <w:pPr>
        <w:ind w:left="2160" w:hanging="360"/>
      </w:pPr>
    </w:lvl>
    <w:lvl w:ilvl="1" w:tplc="BB147820" w:tentative="1">
      <w:start w:val="1"/>
      <w:numFmt w:val="lowerLetter"/>
      <w:lvlText w:val="%2."/>
      <w:lvlJc w:val="left"/>
      <w:pPr>
        <w:ind w:left="2880" w:hanging="360"/>
      </w:pPr>
    </w:lvl>
    <w:lvl w:ilvl="2" w:tplc="DDD018C8" w:tentative="1">
      <w:start w:val="1"/>
      <w:numFmt w:val="lowerRoman"/>
      <w:lvlText w:val="%3."/>
      <w:lvlJc w:val="right"/>
      <w:pPr>
        <w:ind w:left="3600" w:hanging="180"/>
      </w:pPr>
    </w:lvl>
    <w:lvl w:ilvl="3" w:tplc="0A2A4304" w:tentative="1">
      <w:start w:val="1"/>
      <w:numFmt w:val="decimal"/>
      <w:lvlText w:val="%4."/>
      <w:lvlJc w:val="left"/>
      <w:pPr>
        <w:ind w:left="4320" w:hanging="360"/>
      </w:pPr>
    </w:lvl>
    <w:lvl w:ilvl="4" w:tplc="5B7AF23E" w:tentative="1">
      <w:start w:val="1"/>
      <w:numFmt w:val="lowerLetter"/>
      <w:lvlText w:val="%5."/>
      <w:lvlJc w:val="left"/>
      <w:pPr>
        <w:ind w:left="5040" w:hanging="360"/>
      </w:pPr>
    </w:lvl>
    <w:lvl w:ilvl="5" w:tplc="C6E0FDD0" w:tentative="1">
      <w:start w:val="1"/>
      <w:numFmt w:val="lowerRoman"/>
      <w:lvlText w:val="%6."/>
      <w:lvlJc w:val="right"/>
      <w:pPr>
        <w:ind w:left="5760" w:hanging="180"/>
      </w:pPr>
    </w:lvl>
    <w:lvl w:ilvl="6" w:tplc="DEF61C24" w:tentative="1">
      <w:start w:val="1"/>
      <w:numFmt w:val="decimal"/>
      <w:lvlText w:val="%7."/>
      <w:lvlJc w:val="left"/>
      <w:pPr>
        <w:ind w:left="6480" w:hanging="360"/>
      </w:pPr>
    </w:lvl>
    <w:lvl w:ilvl="7" w:tplc="D4A68CA6" w:tentative="1">
      <w:start w:val="1"/>
      <w:numFmt w:val="lowerLetter"/>
      <w:lvlText w:val="%8."/>
      <w:lvlJc w:val="left"/>
      <w:pPr>
        <w:ind w:left="7200" w:hanging="360"/>
      </w:pPr>
    </w:lvl>
    <w:lvl w:ilvl="8" w:tplc="5FE07458" w:tentative="1">
      <w:start w:val="1"/>
      <w:numFmt w:val="lowerRoman"/>
      <w:lvlText w:val="%9."/>
      <w:lvlJc w:val="right"/>
      <w:pPr>
        <w:ind w:left="7920" w:hanging="180"/>
      </w:pPr>
    </w:lvl>
  </w:abstractNum>
  <w:abstractNum w:abstractNumId="9" w15:restartNumberingAfterBreak="0">
    <w:nsid w:val="1C7C653B"/>
    <w:multiLevelType w:val="hybridMultilevel"/>
    <w:tmpl w:val="ADB44F6E"/>
    <w:lvl w:ilvl="0" w:tplc="6D4C88E4">
      <w:start w:val="1"/>
      <w:numFmt w:val="bullet"/>
      <w:lvlText w:val=""/>
      <w:lvlJc w:val="left"/>
      <w:pPr>
        <w:ind w:left="720" w:hanging="360"/>
      </w:pPr>
      <w:rPr>
        <w:rFonts w:ascii="Symbol" w:hAnsi="Symbol" w:hint="default"/>
      </w:rPr>
    </w:lvl>
    <w:lvl w:ilvl="1" w:tplc="1D302B14" w:tentative="1">
      <w:start w:val="1"/>
      <w:numFmt w:val="bullet"/>
      <w:lvlText w:val="o"/>
      <w:lvlJc w:val="left"/>
      <w:pPr>
        <w:ind w:left="1440" w:hanging="360"/>
      </w:pPr>
      <w:rPr>
        <w:rFonts w:ascii="Courier New" w:hAnsi="Courier New" w:cs="Courier New" w:hint="default"/>
      </w:rPr>
    </w:lvl>
    <w:lvl w:ilvl="2" w:tplc="FF70EF58" w:tentative="1">
      <w:start w:val="1"/>
      <w:numFmt w:val="bullet"/>
      <w:lvlText w:val=""/>
      <w:lvlJc w:val="left"/>
      <w:pPr>
        <w:ind w:left="2160" w:hanging="360"/>
      </w:pPr>
      <w:rPr>
        <w:rFonts w:ascii="Wingdings" w:hAnsi="Wingdings" w:hint="default"/>
      </w:rPr>
    </w:lvl>
    <w:lvl w:ilvl="3" w:tplc="9F2CF978" w:tentative="1">
      <w:start w:val="1"/>
      <w:numFmt w:val="bullet"/>
      <w:lvlText w:val=""/>
      <w:lvlJc w:val="left"/>
      <w:pPr>
        <w:ind w:left="2880" w:hanging="360"/>
      </w:pPr>
      <w:rPr>
        <w:rFonts w:ascii="Symbol" w:hAnsi="Symbol" w:hint="default"/>
      </w:rPr>
    </w:lvl>
    <w:lvl w:ilvl="4" w:tplc="2B9430E8" w:tentative="1">
      <w:start w:val="1"/>
      <w:numFmt w:val="bullet"/>
      <w:lvlText w:val="o"/>
      <w:lvlJc w:val="left"/>
      <w:pPr>
        <w:ind w:left="3600" w:hanging="360"/>
      </w:pPr>
      <w:rPr>
        <w:rFonts w:ascii="Courier New" w:hAnsi="Courier New" w:cs="Courier New" w:hint="default"/>
      </w:rPr>
    </w:lvl>
    <w:lvl w:ilvl="5" w:tplc="A3CA27F0" w:tentative="1">
      <w:start w:val="1"/>
      <w:numFmt w:val="bullet"/>
      <w:lvlText w:val=""/>
      <w:lvlJc w:val="left"/>
      <w:pPr>
        <w:ind w:left="4320" w:hanging="360"/>
      </w:pPr>
      <w:rPr>
        <w:rFonts w:ascii="Wingdings" w:hAnsi="Wingdings" w:hint="default"/>
      </w:rPr>
    </w:lvl>
    <w:lvl w:ilvl="6" w:tplc="7D443C8A" w:tentative="1">
      <w:start w:val="1"/>
      <w:numFmt w:val="bullet"/>
      <w:lvlText w:val=""/>
      <w:lvlJc w:val="left"/>
      <w:pPr>
        <w:ind w:left="5040" w:hanging="360"/>
      </w:pPr>
      <w:rPr>
        <w:rFonts w:ascii="Symbol" w:hAnsi="Symbol" w:hint="default"/>
      </w:rPr>
    </w:lvl>
    <w:lvl w:ilvl="7" w:tplc="F5BA9500" w:tentative="1">
      <w:start w:val="1"/>
      <w:numFmt w:val="bullet"/>
      <w:lvlText w:val="o"/>
      <w:lvlJc w:val="left"/>
      <w:pPr>
        <w:ind w:left="5760" w:hanging="360"/>
      </w:pPr>
      <w:rPr>
        <w:rFonts w:ascii="Courier New" w:hAnsi="Courier New" w:cs="Courier New" w:hint="default"/>
      </w:rPr>
    </w:lvl>
    <w:lvl w:ilvl="8" w:tplc="8A52E45E" w:tentative="1">
      <w:start w:val="1"/>
      <w:numFmt w:val="bullet"/>
      <w:lvlText w:val=""/>
      <w:lvlJc w:val="left"/>
      <w:pPr>
        <w:ind w:left="6480" w:hanging="360"/>
      </w:pPr>
      <w:rPr>
        <w:rFonts w:ascii="Wingdings" w:hAnsi="Wingdings" w:hint="default"/>
      </w:rPr>
    </w:lvl>
  </w:abstractNum>
  <w:abstractNum w:abstractNumId="10" w15:restartNumberingAfterBreak="0">
    <w:nsid w:val="1E625BD9"/>
    <w:multiLevelType w:val="hybridMultilevel"/>
    <w:tmpl w:val="DE529C02"/>
    <w:lvl w:ilvl="0" w:tplc="E8C0B1BC">
      <w:start w:val="1"/>
      <w:numFmt w:val="bullet"/>
      <w:lvlText w:val=""/>
      <w:lvlJc w:val="left"/>
      <w:pPr>
        <w:ind w:left="1080" w:hanging="360"/>
      </w:pPr>
      <w:rPr>
        <w:rFonts w:ascii="Symbol" w:hAnsi="Symbol" w:hint="default"/>
      </w:rPr>
    </w:lvl>
    <w:lvl w:ilvl="1" w:tplc="F680538E">
      <w:start w:val="1"/>
      <w:numFmt w:val="bullet"/>
      <w:lvlText w:val="o"/>
      <w:lvlJc w:val="left"/>
      <w:pPr>
        <w:ind w:left="1800" w:hanging="360"/>
      </w:pPr>
      <w:rPr>
        <w:rFonts w:ascii="Courier New" w:hAnsi="Courier New" w:cs="Courier New" w:hint="default"/>
      </w:rPr>
    </w:lvl>
    <w:lvl w:ilvl="2" w:tplc="D04EF440" w:tentative="1">
      <w:start w:val="1"/>
      <w:numFmt w:val="bullet"/>
      <w:lvlText w:val=""/>
      <w:lvlJc w:val="left"/>
      <w:pPr>
        <w:ind w:left="2520" w:hanging="360"/>
      </w:pPr>
      <w:rPr>
        <w:rFonts w:ascii="Wingdings" w:hAnsi="Wingdings" w:hint="default"/>
      </w:rPr>
    </w:lvl>
    <w:lvl w:ilvl="3" w:tplc="E850D216" w:tentative="1">
      <w:start w:val="1"/>
      <w:numFmt w:val="bullet"/>
      <w:lvlText w:val=""/>
      <w:lvlJc w:val="left"/>
      <w:pPr>
        <w:ind w:left="3240" w:hanging="360"/>
      </w:pPr>
      <w:rPr>
        <w:rFonts w:ascii="Symbol" w:hAnsi="Symbol" w:hint="default"/>
      </w:rPr>
    </w:lvl>
    <w:lvl w:ilvl="4" w:tplc="4CC0C1A8" w:tentative="1">
      <w:start w:val="1"/>
      <w:numFmt w:val="bullet"/>
      <w:lvlText w:val="o"/>
      <w:lvlJc w:val="left"/>
      <w:pPr>
        <w:ind w:left="3960" w:hanging="360"/>
      </w:pPr>
      <w:rPr>
        <w:rFonts w:ascii="Courier New" w:hAnsi="Courier New" w:cs="Courier New" w:hint="default"/>
      </w:rPr>
    </w:lvl>
    <w:lvl w:ilvl="5" w:tplc="04F8E36E" w:tentative="1">
      <w:start w:val="1"/>
      <w:numFmt w:val="bullet"/>
      <w:lvlText w:val=""/>
      <w:lvlJc w:val="left"/>
      <w:pPr>
        <w:ind w:left="4680" w:hanging="360"/>
      </w:pPr>
      <w:rPr>
        <w:rFonts w:ascii="Wingdings" w:hAnsi="Wingdings" w:hint="default"/>
      </w:rPr>
    </w:lvl>
    <w:lvl w:ilvl="6" w:tplc="A94EA496" w:tentative="1">
      <w:start w:val="1"/>
      <w:numFmt w:val="bullet"/>
      <w:lvlText w:val=""/>
      <w:lvlJc w:val="left"/>
      <w:pPr>
        <w:ind w:left="5400" w:hanging="360"/>
      </w:pPr>
      <w:rPr>
        <w:rFonts w:ascii="Symbol" w:hAnsi="Symbol" w:hint="default"/>
      </w:rPr>
    </w:lvl>
    <w:lvl w:ilvl="7" w:tplc="7CEA7A7C" w:tentative="1">
      <w:start w:val="1"/>
      <w:numFmt w:val="bullet"/>
      <w:lvlText w:val="o"/>
      <w:lvlJc w:val="left"/>
      <w:pPr>
        <w:ind w:left="6120" w:hanging="360"/>
      </w:pPr>
      <w:rPr>
        <w:rFonts w:ascii="Courier New" w:hAnsi="Courier New" w:cs="Courier New" w:hint="default"/>
      </w:rPr>
    </w:lvl>
    <w:lvl w:ilvl="8" w:tplc="75827434" w:tentative="1">
      <w:start w:val="1"/>
      <w:numFmt w:val="bullet"/>
      <w:lvlText w:val=""/>
      <w:lvlJc w:val="left"/>
      <w:pPr>
        <w:ind w:left="6840" w:hanging="360"/>
      </w:pPr>
      <w:rPr>
        <w:rFonts w:ascii="Wingdings" w:hAnsi="Wingdings" w:hint="default"/>
      </w:rPr>
    </w:lvl>
  </w:abstractNum>
  <w:abstractNum w:abstractNumId="11" w15:restartNumberingAfterBreak="0">
    <w:nsid w:val="2005171E"/>
    <w:multiLevelType w:val="hybridMultilevel"/>
    <w:tmpl w:val="4106FCC4"/>
    <w:lvl w:ilvl="0" w:tplc="5BF43528">
      <w:start w:val="1"/>
      <w:numFmt w:val="bullet"/>
      <w:lvlText w:val=""/>
      <w:lvlJc w:val="left"/>
      <w:pPr>
        <w:ind w:left="720" w:hanging="360"/>
      </w:pPr>
      <w:rPr>
        <w:rFonts w:ascii="Symbol" w:hAnsi="Symbol" w:hint="default"/>
      </w:rPr>
    </w:lvl>
    <w:lvl w:ilvl="1" w:tplc="C8307CD8" w:tentative="1">
      <w:start w:val="1"/>
      <w:numFmt w:val="bullet"/>
      <w:lvlText w:val="o"/>
      <w:lvlJc w:val="left"/>
      <w:pPr>
        <w:ind w:left="1440" w:hanging="360"/>
      </w:pPr>
      <w:rPr>
        <w:rFonts w:ascii="Courier New" w:hAnsi="Courier New" w:cs="Courier New" w:hint="default"/>
      </w:rPr>
    </w:lvl>
    <w:lvl w:ilvl="2" w:tplc="0EC4E390" w:tentative="1">
      <w:start w:val="1"/>
      <w:numFmt w:val="bullet"/>
      <w:lvlText w:val=""/>
      <w:lvlJc w:val="left"/>
      <w:pPr>
        <w:ind w:left="2160" w:hanging="360"/>
      </w:pPr>
      <w:rPr>
        <w:rFonts w:ascii="Wingdings" w:hAnsi="Wingdings" w:hint="default"/>
      </w:rPr>
    </w:lvl>
    <w:lvl w:ilvl="3" w:tplc="CC22D204" w:tentative="1">
      <w:start w:val="1"/>
      <w:numFmt w:val="bullet"/>
      <w:lvlText w:val=""/>
      <w:lvlJc w:val="left"/>
      <w:pPr>
        <w:ind w:left="2880" w:hanging="360"/>
      </w:pPr>
      <w:rPr>
        <w:rFonts w:ascii="Symbol" w:hAnsi="Symbol" w:hint="default"/>
      </w:rPr>
    </w:lvl>
    <w:lvl w:ilvl="4" w:tplc="5D783764" w:tentative="1">
      <w:start w:val="1"/>
      <w:numFmt w:val="bullet"/>
      <w:lvlText w:val="o"/>
      <w:lvlJc w:val="left"/>
      <w:pPr>
        <w:ind w:left="3600" w:hanging="360"/>
      </w:pPr>
      <w:rPr>
        <w:rFonts w:ascii="Courier New" w:hAnsi="Courier New" w:cs="Courier New" w:hint="default"/>
      </w:rPr>
    </w:lvl>
    <w:lvl w:ilvl="5" w:tplc="4412F0B4" w:tentative="1">
      <w:start w:val="1"/>
      <w:numFmt w:val="bullet"/>
      <w:lvlText w:val=""/>
      <w:lvlJc w:val="left"/>
      <w:pPr>
        <w:ind w:left="4320" w:hanging="360"/>
      </w:pPr>
      <w:rPr>
        <w:rFonts w:ascii="Wingdings" w:hAnsi="Wingdings" w:hint="default"/>
      </w:rPr>
    </w:lvl>
    <w:lvl w:ilvl="6" w:tplc="DF0421EA" w:tentative="1">
      <w:start w:val="1"/>
      <w:numFmt w:val="bullet"/>
      <w:lvlText w:val=""/>
      <w:lvlJc w:val="left"/>
      <w:pPr>
        <w:ind w:left="5040" w:hanging="360"/>
      </w:pPr>
      <w:rPr>
        <w:rFonts w:ascii="Symbol" w:hAnsi="Symbol" w:hint="default"/>
      </w:rPr>
    </w:lvl>
    <w:lvl w:ilvl="7" w:tplc="934067EE" w:tentative="1">
      <w:start w:val="1"/>
      <w:numFmt w:val="bullet"/>
      <w:lvlText w:val="o"/>
      <w:lvlJc w:val="left"/>
      <w:pPr>
        <w:ind w:left="5760" w:hanging="360"/>
      </w:pPr>
      <w:rPr>
        <w:rFonts w:ascii="Courier New" w:hAnsi="Courier New" w:cs="Courier New" w:hint="default"/>
      </w:rPr>
    </w:lvl>
    <w:lvl w:ilvl="8" w:tplc="A17A5DEE" w:tentative="1">
      <w:start w:val="1"/>
      <w:numFmt w:val="bullet"/>
      <w:lvlText w:val=""/>
      <w:lvlJc w:val="left"/>
      <w:pPr>
        <w:ind w:left="6480" w:hanging="360"/>
      </w:pPr>
      <w:rPr>
        <w:rFonts w:ascii="Wingdings" w:hAnsi="Wingdings" w:hint="default"/>
      </w:rPr>
    </w:lvl>
  </w:abstractNum>
  <w:abstractNum w:abstractNumId="12" w15:restartNumberingAfterBreak="0">
    <w:nsid w:val="20727BFC"/>
    <w:multiLevelType w:val="hybridMultilevel"/>
    <w:tmpl w:val="11E85DAE"/>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E34FB7"/>
    <w:multiLevelType w:val="multilevel"/>
    <w:tmpl w:val="C62A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14CC4"/>
    <w:multiLevelType w:val="hybridMultilevel"/>
    <w:tmpl w:val="8220630E"/>
    <w:lvl w:ilvl="0" w:tplc="41B401FE">
      <w:start w:val="1"/>
      <w:numFmt w:val="bullet"/>
      <w:lvlText w:val=""/>
      <w:lvlJc w:val="left"/>
      <w:pPr>
        <w:ind w:left="720" w:hanging="360"/>
      </w:pPr>
      <w:rPr>
        <w:rFonts w:ascii="Symbol" w:hAnsi="Symbol" w:hint="default"/>
      </w:rPr>
    </w:lvl>
    <w:lvl w:ilvl="1" w:tplc="B5ECD79A">
      <w:start w:val="1"/>
      <w:numFmt w:val="bullet"/>
      <w:lvlText w:val="o"/>
      <w:lvlJc w:val="left"/>
      <w:pPr>
        <w:ind w:left="1440" w:hanging="360"/>
      </w:pPr>
      <w:rPr>
        <w:rFonts w:ascii="Courier New" w:hAnsi="Courier New" w:cs="Courier New" w:hint="default"/>
      </w:rPr>
    </w:lvl>
    <w:lvl w:ilvl="2" w:tplc="D1148D36" w:tentative="1">
      <w:start w:val="1"/>
      <w:numFmt w:val="bullet"/>
      <w:lvlText w:val=""/>
      <w:lvlJc w:val="left"/>
      <w:pPr>
        <w:ind w:left="2160" w:hanging="360"/>
      </w:pPr>
      <w:rPr>
        <w:rFonts w:ascii="Wingdings" w:hAnsi="Wingdings" w:hint="default"/>
      </w:rPr>
    </w:lvl>
    <w:lvl w:ilvl="3" w:tplc="D50CBAD2" w:tentative="1">
      <w:start w:val="1"/>
      <w:numFmt w:val="bullet"/>
      <w:lvlText w:val=""/>
      <w:lvlJc w:val="left"/>
      <w:pPr>
        <w:ind w:left="2880" w:hanging="360"/>
      </w:pPr>
      <w:rPr>
        <w:rFonts w:ascii="Symbol" w:hAnsi="Symbol" w:hint="default"/>
      </w:rPr>
    </w:lvl>
    <w:lvl w:ilvl="4" w:tplc="AF221E36" w:tentative="1">
      <w:start w:val="1"/>
      <w:numFmt w:val="bullet"/>
      <w:lvlText w:val="o"/>
      <w:lvlJc w:val="left"/>
      <w:pPr>
        <w:ind w:left="3600" w:hanging="360"/>
      </w:pPr>
      <w:rPr>
        <w:rFonts w:ascii="Courier New" w:hAnsi="Courier New" w:cs="Courier New" w:hint="default"/>
      </w:rPr>
    </w:lvl>
    <w:lvl w:ilvl="5" w:tplc="649E802A" w:tentative="1">
      <w:start w:val="1"/>
      <w:numFmt w:val="bullet"/>
      <w:lvlText w:val=""/>
      <w:lvlJc w:val="left"/>
      <w:pPr>
        <w:ind w:left="4320" w:hanging="360"/>
      </w:pPr>
      <w:rPr>
        <w:rFonts w:ascii="Wingdings" w:hAnsi="Wingdings" w:hint="default"/>
      </w:rPr>
    </w:lvl>
    <w:lvl w:ilvl="6" w:tplc="55A28320" w:tentative="1">
      <w:start w:val="1"/>
      <w:numFmt w:val="bullet"/>
      <w:lvlText w:val=""/>
      <w:lvlJc w:val="left"/>
      <w:pPr>
        <w:ind w:left="5040" w:hanging="360"/>
      </w:pPr>
      <w:rPr>
        <w:rFonts w:ascii="Symbol" w:hAnsi="Symbol" w:hint="default"/>
      </w:rPr>
    </w:lvl>
    <w:lvl w:ilvl="7" w:tplc="FF888854" w:tentative="1">
      <w:start w:val="1"/>
      <w:numFmt w:val="bullet"/>
      <w:lvlText w:val="o"/>
      <w:lvlJc w:val="left"/>
      <w:pPr>
        <w:ind w:left="5760" w:hanging="360"/>
      </w:pPr>
      <w:rPr>
        <w:rFonts w:ascii="Courier New" w:hAnsi="Courier New" w:cs="Courier New" w:hint="default"/>
      </w:rPr>
    </w:lvl>
    <w:lvl w:ilvl="8" w:tplc="8A24FA8A" w:tentative="1">
      <w:start w:val="1"/>
      <w:numFmt w:val="bullet"/>
      <w:lvlText w:val=""/>
      <w:lvlJc w:val="left"/>
      <w:pPr>
        <w:ind w:left="6480" w:hanging="360"/>
      </w:pPr>
      <w:rPr>
        <w:rFonts w:ascii="Wingdings" w:hAnsi="Wingdings" w:hint="default"/>
      </w:rPr>
    </w:lvl>
  </w:abstractNum>
  <w:abstractNum w:abstractNumId="15" w15:restartNumberingAfterBreak="0">
    <w:nsid w:val="22C229A3"/>
    <w:multiLevelType w:val="hybridMultilevel"/>
    <w:tmpl w:val="12721946"/>
    <w:lvl w:ilvl="0" w:tplc="61F0C8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85662D"/>
    <w:multiLevelType w:val="hybridMultilevel"/>
    <w:tmpl w:val="080CFFA4"/>
    <w:lvl w:ilvl="0" w:tplc="70423126">
      <w:start w:val="2"/>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7" w15:restartNumberingAfterBreak="0">
    <w:nsid w:val="27732B94"/>
    <w:multiLevelType w:val="hybridMultilevel"/>
    <w:tmpl w:val="F0FE0A02"/>
    <w:lvl w:ilvl="0" w:tplc="DF789DA0">
      <w:start w:val="1"/>
      <w:numFmt w:val="bullet"/>
      <w:lvlText w:val=""/>
      <w:lvlJc w:val="left"/>
      <w:pPr>
        <w:ind w:left="720" w:hanging="360"/>
      </w:pPr>
      <w:rPr>
        <w:rFonts w:ascii="Symbol" w:hAnsi="Symbol" w:hint="default"/>
      </w:rPr>
    </w:lvl>
    <w:lvl w:ilvl="1" w:tplc="94A6377E" w:tentative="1">
      <w:start w:val="1"/>
      <w:numFmt w:val="bullet"/>
      <w:lvlText w:val="o"/>
      <w:lvlJc w:val="left"/>
      <w:pPr>
        <w:ind w:left="1440" w:hanging="360"/>
      </w:pPr>
      <w:rPr>
        <w:rFonts w:ascii="Courier New" w:hAnsi="Courier New" w:cs="Courier New" w:hint="default"/>
      </w:rPr>
    </w:lvl>
    <w:lvl w:ilvl="2" w:tplc="5994D88E" w:tentative="1">
      <w:start w:val="1"/>
      <w:numFmt w:val="bullet"/>
      <w:lvlText w:val=""/>
      <w:lvlJc w:val="left"/>
      <w:pPr>
        <w:ind w:left="2160" w:hanging="360"/>
      </w:pPr>
      <w:rPr>
        <w:rFonts w:ascii="Wingdings" w:hAnsi="Wingdings" w:hint="default"/>
      </w:rPr>
    </w:lvl>
    <w:lvl w:ilvl="3" w:tplc="60808D54" w:tentative="1">
      <w:start w:val="1"/>
      <w:numFmt w:val="bullet"/>
      <w:lvlText w:val=""/>
      <w:lvlJc w:val="left"/>
      <w:pPr>
        <w:ind w:left="2880" w:hanging="360"/>
      </w:pPr>
      <w:rPr>
        <w:rFonts w:ascii="Symbol" w:hAnsi="Symbol" w:hint="default"/>
      </w:rPr>
    </w:lvl>
    <w:lvl w:ilvl="4" w:tplc="38F22B9A" w:tentative="1">
      <w:start w:val="1"/>
      <w:numFmt w:val="bullet"/>
      <w:lvlText w:val="o"/>
      <w:lvlJc w:val="left"/>
      <w:pPr>
        <w:ind w:left="3600" w:hanging="360"/>
      </w:pPr>
      <w:rPr>
        <w:rFonts w:ascii="Courier New" w:hAnsi="Courier New" w:cs="Courier New" w:hint="default"/>
      </w:rPr>
    </w:lvl>
    <w:lvl w:ilvl="5" w:tplc="0A4A1F10" w:tentative="1">
      <w:start w:val="1"/>
      <w:numFmt w:val="bullet"/>
      <w:lvlText w:val=""/>
      <w:lvlJc w:val="left"/>
      <w:pPr>
        <w:ind w:left="4320" w:hanging="360"/>
      </w:pPr>
      <w:rPr>
        <w:rFonts w:ascii="Wingdings" w:hAnsi="Wingdings" w:hint="default"/>
      </w:rPr>
    </w:lvl>
    <w:lvl w:ilvl="6" w:tplc="1BFE5F4C" w:tentative="1">
      <w:start w:val="1"/>
      <w:numFmt w:val="bullet"/>
      <w:lvlText w:val=""/>
      <w:lvlJc w:val="left"/>
      <w:pPr>
        <w:ind w:left="5040" w:hanging="360"/>
      </w:pPr>
      <w:rPr>
        <w:rFonts w:ascii="Symbol" w:hAnsi="Symbol" w:hint="default"/>
      </w:rPr>
    </w:lvl>
    <w:lvl w:ilvl="7" w:tplc="7C1A8F0E" w:tentative="1">
      <w:start w:val="1"/>
      <w:numFmt w:val="bullet"/>
      <w:lvlText w:val="o"/>
      <w:lvlJc w:val="left"/>
      <w:pPr>
        <w:ind w:left="5760" w:hanging="360"/>
      </w:pPr>
      <w:rPr>
        <w:rFonts w:ascii="Courier New" w:hAnsi="Courier New" w:cs="Courier New" w:hint="default"/>
      </w:rPr>
    </w:lvl>
    <w:lvl w:ilvl="8" w:tplc="7C3A20D6" w:tentative="1">
      <w:start w:val="1"/>
      <w:numFmt w:val="bullet"/>
      <w:lvlText w:val=""/>
      <w:lvlJc w:val="left"/>
      <w:pPr>
        <w:ind w:left="6480" w:hanging="360"/>
      </w:pPr>
      <w:rPr>
        <w:rFonts w:ascii="Wingdings" w:hAnsi="Wingdings" w:hint="default"/>
      </w:rPr>
    </w:lvl>
  </w:abstractNum>
  <w:abstractNum w:abstractNumId="18" w15:restartNumberingAfterBreak="0">
    <w:nsid w:val="282F556E"/>
    <w:multiLevelType w:val="hybridMultilevel"/>
    <w:tmpl w:val="19F05526"/>
    <w:lvl w:ilvl="0" w:tplc="BF6C0E3A">
      <w:start w:val="1"/>
      <w:numFmt w:val="decimal"/>
      <w:lvlText w:val="%1."/>
      <w:lvlJc w:val="left"/>
      <w:pPr>
        <w:ind w:left="720" w:hanging="360"/>
      </w:pPr>
    </w:lvl>
    <w:lvl w:ilvl="1" w:tplc="14E27128">
      <w:start w:val="1"/>
      <w:numFmt w:val="lowerLetter"/>
      <w:lvlText w:val="%2."/>
      <w:lvlJc w:val="left"/>
      <w:pPr>
        <w:ind w:left="1440" w:hanging="360"/>
      </w:pPr>
    </w:lvl>
    <w:lvl w:ilvl="2" w:tplc="A3E06406" w:tentative="1">
      <w:start w:val="1"/>
      <w:numFmt w:val="lowerRoman"/>
      <w:lvlText w:val="%3."/>
      <w:lvlJc w:val="right"/>
      <w:pPr>
        <w:ind w:left="2160" w:hanging="180"/>
      </w:pPr>
    </w:lvl>
    <w:lvl w:ilvl="3" w:tplc="D4F43328" w:tentative="1">
      <w:start w:val="1"/>
      <w:numFmt w:val="decimal"/>
      <w:lvlText w:val="%4."/>
      <w:lvlJc w:val="left"/>
      <w:pPr>
        <w:ind w:left="2880" w:hanging="360"/>
      </w:pPr>
    </w:lvl>
    <w:lvl w:ilvl="4" w:tplc="CBFE7D9E" w:tentative="1">
      <w:start w:val="1"/>
      <w:numFmt w:val="lowerLetter"/>
      <w:lvlText w:val="%5."/>
      <w:lvlJc w:val="left"/>
      <w:pPr>
        <w:ind w:left="3600" w:hanging="360"/>
      </w:pPr>
    </w:lvl>
    <w:lvl w:ilvl="5" w:tplc="76981E36" w:tentative="1">
      <w:start w:val="1"/>
      <w:numFmt w:val="lowerRoman"/>
      <w:lvlText w:val="%6."/>
      <w:lvlJc w:val="right"/>
      <w:pPr>
        <w:ind w:left="4320" w:hanging="180"/>
      </w:pPr>
    </w:lvl>
    <w:lvl w:ilvl="6" w:tplc="85D475D6" w:tentative="1">
      <w:start w:val="1"/>
      <w:numFmt w:val="decimal"/>
      <w:lvlText w:val="%7."/>
      <w:lvlJc w:val="left"/>
      <w:pPr>
        <w:ind w:left="5040" w:hanging="360"/>
      </w:pPr>
    </w:lvl>
    <w:lvl w:ilvl="7" w:tplc="092C545A" w:tentative="1">
      <w:start w:val="1"/>
      <w:numFmt w:val="lowerLetter"/>
      <w:lvlText w:val="%8."/>
      <w:lvlJc w:val="left"/>
      <w:pPr>
        <w:ind w:left="5760" w:hanging="360"/>
      </w:pPr>
    </w:lvl>
    <w:lvl w:ilvl="8" w:tplc="57560DCA" w:tentative="1">
      <w:start w:val="1"/>
      <w:numFmt w:val="lowerRoman"/>
      <w:lvlText w:val="%9."/>
      <w:lvlJc w:val="right"/>
      <w:pPr>
        <w:ind w:left="6480" w:hanging="180"/>
      </w:pPr>
    </w:lvl>
  </w:abstractNum>
  <w:abstractNum w:abstractNumId="19" w15:restartNumberingAfterBreak="0">
    <w:nsid w:val="2AB51D45"/>
    <w:multiLevelType w:val="hybridMultilevel"/>
    <w:tmpl w:val="492202F2"/>
    <w:lvl w:ilvl="0" w:tplc="0D7C9202">
      <w:start w:val="1"/>
      <w:numFmt w:val="decimal"/>
      <w:lvlText w:val="%1."/>
      <w:lvlJc w:val="left"/>
      <w:pPr>
        <w:ind w:left="720" w:hanging="360"/>
      </w:pPr>
    </w:lvl>
    <w:lvl w:ilvl="1" w:tplc="C36CC034">
      <w:start w:val="1"/>
      <w:numFmt w:val="lowerLetter"/>
      <w:lvlText w:val="%2."/>
      <w:lvlJc w:val="left"/>
      <w:pPr>
        <w:ind w:left="1440" w:hanging="360"/>
      </w:pPr>
    </w:lvl>
    <w:lvl w:ilvl="2" w:tplc="222076CA" w:tentative="1">
      <w:start w:val="1"/>
      <w:numFmt w:val="lowerRoman"/>
      <w:lvlText w:val="%3."/>
      <w:lvlJc w:val="right"/>
      <w:pPr>
        <w:ind w:left="2160" w:hanging="180"/>
      </w:pPr>
    </w:lvl>
    <w:lvl w:ilvl="3" w:tplc="BF7458EC" w:tentative="1">
      <w:start w:val="1"/>
      <w:numFmt w:val="decimal"/>
      <w:lvlText w:val="%4."/>
      <w:lvlJc w:val="left"/>
      <w:pPr>
        <w:ind w:left="2880" w:hanging="360"/>
      </w:pPr>
    </w:lvl>
    <w:lvl w:ilvl="4" w:tplc="E716EBB0" w:tentative="1">
      <w:start w:val="1"/>
      <w:numFmt w:val="lowerLetter"/>
      <w:lvlText w:val="%5."/>
      <w:lvlJc w:val="left"/>
      <w:pPr>
        <w:ind w:left="3600" w:hanging="360"/>
      </w:pPr>
    </w:lvl>
    <w:lvl w:ilvl="5" w:tplc="56100BF8" w:tentative="1">
      <w:start w:val="1"/>
      <w:numFmt w:val="lowerRoman"/>
      <w:lvlText w:val="%6."/>
      <w:lvlJc w:val="right"/>
      <w:pPr>
        <w:ind w:left="4320" w:hanging="180"/>
      </w:pPr>
    </w:lvl>
    <w:lvl w:ilvl="6" w:tplc="66F6804C" w:tentative="1">
      <w:start w:val="1"/>
      <w:numFmt w:val="decimal"/>
      <w:lvlText w:val="%7."/>
      <w:lvlJc w:val="left"/>
      <w:pPr>
        <w:ind w:left="5040" w:hanging="360"/>
      </w:pPr>
    </w:lvl>
    <w:lvl w:ilvl="7" w:tplc="5094D38E" w:tentative="1">
      <w:start w:val="1"/>
      <w:numFmt w:val="lowerLetter"/>
      <w:lvlText w:val="%8."/>
      <w:lvlJc w:val="left"/>
      <w:pPr>
        <w:ind w:left="5760" w:hanging="360"/>
      </w:pPr>
    </w:lvl>
    <w:lvl w:ilvl="8" w:tplc="91A270A2" w:tentative="1">
      <w:start w:val="1"/>
      <w:numFmt w:val="lowerRoman"/>
      <w:lvlText w:val="%9."/>
      <w:lvlJc w:val="right"/>
      <w:pPr>
        <w:ind w:left="6480" w:hanging="180"/>
      </w:pPr>
    </w:lvl>
  </w:abstractNum>
  <w:abstractNum w:abstractNumId="20" w15:restartNumberingAfterBreak="0">
    <w:nsid w:val="2B006C4B"/>
    <w:multiLevelType w:val="hybridMultilevel"/>
    <w:tmpl w:val="8D14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1826EF"/>
    <w:multiLevelType w:val="hybridMultilevel"/>
    <w:tmpl w:val="55D4FC2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E34E0"/>
    <w:multiLevelType w:val="hybridMultilevel"/>
    <w:tmpl w:val="D5A6E646"/>
    <w:lvl w:ilvl="0" w:tplc="E5B4DD8A">
      <w:start w:val="2"/>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D62999"/>
    <w:multiLevelType w:val="hybridMultilevel"/>
    <w:tmpl w:val="C31CC5DE"/>
    <w:lvl w:ilvl="0" w:tplc="E4A65BB0">
      <w:start w:val="1"/>
      <w:numFmt w:val="decimal"/>
      <w:lvlText w:val="%1)"/>
      <w:lvlJc w:val="left"/>
      <w:pPr>
        <w:ind w:left="1020" w:hanging="360"/>
      </w:pPr>
      <w:rPr>
        <w:rFonts w:hint="default"/>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4" w15:restartNumberingAfterBreak="0">
    <w:nsid w:val="2E227F90"/>
    <w:multiLevelType w:val="hybridMultilevel"/>
    <w:tmpl w:val="3C7A7F9E"/>
    <w:lvl w:ilvl="0" w:tplc="FFFFFFFF">
      <w:start w:val="1"/>
      <w:numFmt w:val="decimal"/>
      <w:lvlText w:val="%1."/>
      <w:lvlJc w:val="left"/>
      <w:pPr>
        <w:ind w:left="1440" w:hanging="720"/>
      </w:pPr>
      <w:rPr>
        <w:rFonts w:hint="default"/>
      </w:rPr>
    </w:lvl>
    <w:lvl w:ilvl="1" w:tplc="FFFFFFFF">
      <w:start w:val="1"/>
      <w:numFmt w:val="lowerLetter"/>
      <w:lvlText w:val="%2."/>
      <w:lvlJc w:val="left"/>
      <w:pPr>
        <w:ind w:left="1800" w:hanging="360"/>
      </w:pPr>
    </w:lvl>
    <w:lvl w:ilvl="2" w:tplc="04090019">
      <w:start w:val="1"/>
      <w:numFmt w:val="lowerLetter"/>
      <w:lvlText w:val="%3."/>
      <w:lvlJc w:val="left"/>
      <w:pPr>
        <w:ind w:left="2700" w:hanging="36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2E8E3E76"/>
    <w:multiLevelType w:val="hybridMultilevel"/>
    <w:tmpl w:val="21CC1808"/>
    <w:lvl w:ilvl="0" w:tplc="7D349AE8">
      <w:start w:val="3"/>
      <w:numFmt w:val="decimal"/>
      <w:lvlText w:val="%1."/>
      <w:lvlJc w:val="left"/>
      <w:pPr>
        <w:ind w:left="720" w:hanging="360"/>
      </w:pPr>
      <w:rPr>
        <w:rFonts w:hint="default"/>
        <w:color w:val="auto"/>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EF2AF2"/>
    <w:multiLevelType w:val="multilevel"/>
    <w:tmpl w:val="7CA2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2373BF"/>
    <w:multiLevelType w:val="hybridMultilevel"/>
    <w:tmpl w:val="5A943710"/>
    <w:lvl w:ilvl="0" w:tplc="3484370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96E7562"/>
    <w:multiLevelType w:val="hybridMultilevel"/>
    <w:tmpl w:val="55D4FC2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97C1322"/>
    <w:multiLevelType w:val="hybridMultilevel"/>
    <w:tmpl w:val="FDC64ED0"/>
    <w:lvl w:ilvl="0" w:tplc="7270C8A0">
      <w:start w:val="1"/>
      <w:numFmt w:val="decimal"/>
      <w:lvlText w:val="%1."/>
      <w:lvlJc w:val="left"/>
      <w:pPr>
        <w:ind w:left="720" w:hanging="360"/>
      </w:pPr>
    </w:lvl>
    <w:lvl w:ilvl="1" w:tplc="2E142698">
      <w:start w:val="1"/>
      <w:numFmt w:val="lowerLetter"/>
      <w:lvlText w:val="%2."/>
      <w:lvlJc w:val="left"/>
      <w:pPr>
        <w:ind w:left="1440" w:hanging="360"/>
      </w:pPr>
    </w:lvl>
    <w:lvl w:ilvl="2" w:tplc="E3B639B0" w:tentative="1">
      <w:start w:val="1"/>
      <w:numFmt w:val="lowerRoman"/>
      <w:lvlText w:val="%3."/>
      <w:lvlJc w:val="right"/>
      <w:pPr>
        <w:ind w:left="2160" w:hanging="180"/>
      </w:pPr>
    </w:lvl>
    <w:lvl w:ilvl="3" w:tplc="A8A43D6C" w:tentative="1">
      <w:start w:val="1"/>
      <w:numFmt w:val="decimal"/>
      <w:lvlText w:val="%4."/>
      <w:lvlJc w:val="left"/>
      <w:pPr>
        <w:ind w:left="2880" w:hanging="360"/>
      </w:pPr>
    </w:lvl>
    <w:lvl w:ilvl="4" w:tplc="B7B2D8F6" w:tentative="1">
      <w:start w:val="1"/>
      <w:numFmt w:val="lowerLetter"/>
      <w:lvlText w:val="%5."/>
      <w:lvlJc w:val="left"/>
      <w:pPr>
        <w:ind w:left="3600" w:hanging="360"/>
      </w:pPr>
    </w:lvl>
    <w:lvl w:ilvl="5" w:tplc="0BC264DC" w:tentative="1">
      <w:start w:val="1"/>
      <w:numFmt w:val="lowerRoman"/>
      <w:lvlText w:val="%6."/>
      <w:lvlJc w:val="right"/>
      <w:pPr>
        <w:ind w:left="4320" w:hanging="180"/>
      </w:pPr>
    </w:lvl>
    <w:lvl w:ilvl="6" w:tplc="EC4A8AC6" w:tentative="1">
      <w:start w:val="1"/>
      <w:numFmt w:val="decimal"/>
      <w:lvlText w:val="%7."/>
      <w:lvlJc w:val="left"/>
      <w:pPr>
        <w:ind w:left="5040" w:hanging="360"/>
      </w:pPr>
    </w:lvl>
    <w:lvl w:ilvl="7" w:tplc="43B25DE2" w:tentative="1">
      <w:start w:val="1"/>
      <w:numFmt w:val="lowerLetter"/>
      <w:lvlText w:val="%8."/>
      <w:lvlJc w:val="left"/>
      <w:pPr>
        <w:ind w:left="5760" w:hanging="360"/>
      </w:pPr>
    </w:lvl>
    <w:lvl w:ilvl="8" w:tplc="FD006B86" w:tentative="1">
      <w:start w:val="1"/>
      <w:numFmt w:val="lowerRoman"/>
      <w:lvlText w:val="%9."/>
      <w:lvlJc w:val="right"/>
      <w:pPr>
        <w:ind w:left="6480" w:hanging="180"/>
      </w:pPr>
    </w:lvl>
  </w:abstractNum>
  <w:abstractNum w:abstractNumId="30" w15:restartNumberingAfterBreak="0">
    <w:nsid w:val="3C5A0070"/>
    <w:multiLevelType w:val="hybridMultilevel"/>
    <w:tmpl w:val="BBA8AD8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C734639"/>
    <w:multiLevelType w:val="hybridMultilevel"/>
    <w:tmpl w:val="78BC2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535E5"/>
    <w:multiLevelType w:val="hybridMultilevel"/>
    <w:tmpl w:val="BA60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4F53C3A"/>
    <w:multiLevelType w:val="hybridMultilevel"/>
    <w:tmpl w:val="849E27FA"/>
    <w:lvl w:ilvl="0" w:tplc="719E37E2">
      <w:start w:val="1"/>
      <w:numFmt w:val="decimal"/>
      <w:lvlText w:val="%1."/>
      <w:lvlJc w:val="left"/>
      <w:pPr>
        <w:ind w:left="720" w:hanging="360"/>
      </w:pPr>
    </w:lvl>
    <w:lvl w:ilvl="1" w:tplc="5448BEEA" w:tentative="1">
      <w:start w:val="1"/>
      <w:numFmt w:val="lowerLetter"/>
      <w:lvlText w:val="%2."/>
      <w:lvlJc w:val="left"/>
      <w:pPr>
        <w:ind w:left="1440" w:hanging="360"/>
      </w:pPr>
    </w:lvl>
    <w:lvl w:ilvl="2" w:tplc="B0461564" w:tentative="1">
      <w:start w:val="1"/>
      <w:numFmt w:val="lowerRoman"/>
      <w:lvlText w:val="%3."/>
      <w:lvlJc w:val="right"/>
      <w:pPr>
        <w:ind w:left="2160" w:hanging="180"/>
      </w:pPr>
    </w:lvl>
    <w:lvl w:ilvl="3" w:tplc="1F9ACFAC" w:tentative="1">
      <w:start w:val="1"/>
      <w:numFmt w:val="decimal"/>
      <w:lvlText w:val="%4."/>
      <w:lvlJc w:val="left"/>
      <w:pPr>
        <w:ind w:left="2880" w:hanging="360"/>
      </w:pPr>
    </w:lvl>
    <w:lvl w:ilvl="4" w:tplc="9BBAC5DE" w:tentative="1">
      <w:start w:val="1"/>
      <w:numFmt w:val="lowerLetter"/>
      <w:lvlText w:val="%5."/>
      <w:lvlJc w:val="left"/>
      <w:pPr>
        <w:ind w:left="3600" w:hanging="360"/>
      </w:pPr>
    </w:lvl>
    <w:lvl w:ilvl="5" w:tplc="8E1AE712" w:tentative="1">
      <w:start w:val="1"/>
      <w:numFmt w:val="lowerRoman"/>
      <w:lvlText w:val="%6."/>
      <w:lvlJc w:val="right"/>
      <w:pPr>
        <w:ind w:left="4320" w:hanging="180"/>
      </w:pPr>
    </w:lvl>
    <w:lvl w:ilvl="6" w:tplc="411A1706" w:tentative="1">
      <w:start w:val="1"/>
      <w:numFmt w:val="decimal"/>
      <w:lvlText w:val="%7."/>
      <w:lvlJc w:val="left"/>
      <w:pPr>
        <w:ind w:left="5040" w:hanging="360"/>
      </w:pPr>
    </w:lvl>
    <w:lvl w:ilvl="7" w:tplc="A2D06F3A" w:tentative="1">
      <w:start w:val="1"/>
      <w:numFmt w:val="lowerLetter"/>
      <w:lvlText w:val="%8."/>
      <w:lvlJc w:val="left"/>
      <w:pPr>
        <w:ind w:left="5760" w:hanging="360"/>
      </w:pPr>
    </w:lvl>
    <w:lvl w:ilvl="8" w:tplc="A05A1F24" w:tentative="1">
      <w:start w:val="1"/>
      <w:numFmt w:val="lowerRoman"/>
      <w:lvlText w:val="%9."/>
      <w:lvlJc w:val="right"/>
      <w:pPr>
        <w:ind w:left="6480" w:hanging="180"/>
      </w:pPr>
    </w:lvl>
  </w:abstractNum>
  <w:abstractNum w:abstractNumId="34" w15:restartNumberingAfterBreak="0">
    <w:nsid w:val="49D93EA2"/>
    <w:multiLevelType w:val="hybridMultilevel"/>
    <w:tmpl w:val="049C3C02"/>
    <w:lvl w:ilvl="0" w:tplc="BF8E1F2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AD47681"/>
    <w:multiLevelType w:val="hybridMultilevel"/>
    <w:tmpl w:val="1BCCC514"/>
    <w:lvl w:ilvl="0" w:tplc="24902656">
      <w:start w:val="1"/>
      <w:numFmt w:val="decimal"/>
      <w:lvlText w:val="%1."/>
      <w:lvlJc w:val="left"/>
      <w:pPr>
        <w:ind w:left="1440" w:hanging="360"/>
      </w:pPr>
    </w:lvl>
    <w:lvl w:ilvl="1" w:tplc="1286E83A" w:tentative="1">
      <w:start w:val="1"/>
      <w:numFmt w:val="lowerLetter"/>
      <w:lvlText w:val="%2."/>
      <w:lvlJc w:val="left"/>
      <w:pPr>
        <w:ind w:left="2160" w:hanging="360"/>
      </w:pPr>
    </w:lvl>
    <w:lvl w:ilvl="2" w:tplc="BD08754C" w:tentative="1">
      <w:start w:val="1"/>
      <w:numFmt w:val="lowerRoman"/>
      <w:lvlText w:val="%3."/>
      <w:lvlJc w:val="right"/>
      <w:pPr>
        <w:ind w:left="2880" w:hanging="180"/>
      </w:pPr>
    </w:lvl>
    <w:lvl w:ilvl="3" w:tplc="54C0D6BE" w:tentative="1">
      <w:start w:val="1"/>
      <w:numFmt w:val="decimal"/>
      <w:lvlText w:val="%4."/>
      <w:lvlJc w:val="left"/>
      <w:pPr>
        <w:ind w:left="3600" w:hanging="360"/>
      </w:pPr>
    </w:lvl>
    <w:lvl w:ilvl="4" w:tplc="D5C2F574" w:tentative="1">
      <w:start w:val="1"/>
      <w:numFmt w:val="lowerLetter"/>
      <w:lvlText w:val="%5."/>
      <w:lvlJc w:val="left"/>
      <w:pPr>
        <w:ind w:left="4320" w:hanging="360"/>
      </w:pPr>
    </w:lvl>
    <w:lvl w:ilvl="5" w:tplc="0E4A6BB2" w:tentative="1">
      <w:start w:val="1"/>
      <w:numFmt w:val="lowerRoman"/>
      <w:lvlText w:val="%6."/>
      <w:lvlJc w:val="right"/>
      <w:pPr>
        <w:ind w:left="5040" w:hanging="180"/>
      </w:pPr>
    </w:lvl>
    <w:lvl w:ilvl="6" w:tplc="12BAB734" w:tentative="1">
      <w:start w:val="1"/>
      <w:numFmt w:val="decimal"/>
      <w:lvlText w:val="%7."/>
      <w:lvlJc w:val="left"/>
      <w:pPr>
        <w:ind w:left="5760" w:hanging="360"/>
      </w:pPr>
    </w:lvl>
    <w:lvl w:ilvl="7" w:tplc="D980B162" w:tentative="1">
      <w:start w:val="1"/>
      <w:numFmt w:val="lowerLetter"/>
      <w:lvlText w:val="%8."/>
      <w:lvlJc w:val="left"/>
      <w:pPr>
        <w:ind w:left="6480" w:hanging="360"/>
      </w:pPr>
    </w:lvl>
    <w:lvl w:ilvl="8" w:tplc="7452D7CE" w:tentative="1">
      <w:start w:val="1"/>
      <w:numFmt w:val="lowerRoman"/>
      <w:lvlText w:val="%9."/>
      <w:lvlJc w:val="right"/>
      <w:pPr>
        <w:ind w:left="7200" w:hanging="180"/>
      </w:pPr>
    </w:lvl>
  </w:abstractNum>
  <w:abstractNum w:abstractNumId="36" w15:restartNumberingAfterBreak="0">
    <w:nsid w:val="4C453C33"/>
    <w:multiLevelType w:val="hybridMultilevel"/>
    <w:tmpl w:val="E392E1E6"/>
    <w:lvl w:ilvl="0" w:tplc="5CC436FC">
      <w:start w:val="1"/>
      <w:numFmt w:val="decimal"/>
      <w:lvlText w:val="(%1)"/>
      <w:lvlJc w:val="left"/>
      <w:pPr>
        <w:ind w:left="1440" w:hanging="720"/>
      </w:pPr>
      <w:rPr>
        <w:rFonts w:hint="default"/>
      </w:rPr>
    </w:lvl>
    <w:lvl w:ilvl="1" w:tplc="E3EA412A" w:tentative="1">
      <w:start w:val="1"/>
      <w:numFmt w:val="lowerLetter"/>
      <w:lvlText w:val="%2."/>
      <w:lvlJc w:val="left"/>
      <w:pPr>
        <w:ind w:left="1800" w:hanging="360"/>
      </w:pPr>
    </w:lvl>
    <w:lvl w:ilvl="2" w:tplc="57C6ACF6" w:tentative="1">
      <w:start w:val="1"/>
      <w:numFmt w:val="lowerRoman"/>
      <w:lvlText w:val="%3."/>
      <w:lvlJc w:val="right"/>
      <w:pPr>
        <w:ind w:left="2520" w:hanging="180"/>
      </w:pPr>
    </w:lvl>
    <w:lvl w:ilvl="3" w:tplc="EB2455CE" w:tentative="1">
      <w:start w:val="1"/>
      <w:numFmt w:val="decimal"/>
      <w:lvlText w:val="%4."/>
      <w:lvlJc w:val="left"/>
      <w:pPr>
        <w:ind w:left="3240" w:hanging="360"/>
      </w:pPr>
    </w:lvl>
    <w:lvl w:ilvl="4" w:tplc="1A325BE6" w:tentative="1">
      <w:start w:val="1"/>
      <w:numFmt w:val="lowerLetter"/>
      <w:lvlText w:val="%5."/>
      <w:lvlJc w:val="left"/>
      <w:pPr>
        <w:ind w:left="3960" w:hanging="360"/>
      </w:pPr>
    </w:lvl>
    <w:lvl w:ilvl="5" w:tplc="E7C40B2C" w:tentative="1">
      <w:start w:val="1"/>
      <w:numFmt w:val="lowerRoman"/>
      <w:lvlText w:val="%6."/>
      <w:lvlJc w:val="right"/>
      <w:pPr>
        <w:ind w:left="4680" w:hanging="180"/>
      </w:pPr>
    </w:lvl>
    <w:lvl w:ilvl="6" w:tplc="028AD55C" w:tentative="1">
      <w:start w:val="1"/>
      <w:numFmt w:val="decimal"/>
      <w:lvlText w:val="%7."/>
      <w:lvlJc w:val="left"/>
      <w:pPr>
        <w:ind w:left="5400" w:hanging="360"/>
      </w:pPr>
    </w:lvl>
    <w:lvl w:ilvl="7" w:tplc="B5E25734" w:tentative="1">
      <w:start w:val="1"/>
      <w:numFmt w:val="lowerLetter"/>
      <w:lvlText w:val="%8."/>
      <w:lvlJc w:val="left"/>
      <w:pPr>
        <w:ind w:left="6120" w:hanging="360"/>
      </w:pPr>
    </w:lvl>
    <w:lvl w:ilvl="8" w:tplc="FC862D68" w:tentative="1">
      <w:start w:val="1"/>
      <w:numFmt w:val="lowerRoman"/>
      <w:lvlText w:val="%9."/>
      <w:lvlJc w:val="right"/>
      <w:pPr>
        <w:ind w:left="6840" w:hanging="180"/>
      </w:pPr>
    </w:lvl>
  </w:abstractNum>
  <w:abstractNum w:abstractNumId="37" w15:restartNumberingAfterBreak="0">
    <w:nsid w:val="4D626B31"/>
    <w:multiLevelType w:val="hybridMultilevel"/>
    <w:tmpl w:val="4ED01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5701D3"/>
    <w:multiLevelType w:val="hybridMultilevel"/>
    <w:tmpl w:val="72A494F0"/>
    <w:lvl w:ilvl="0" w:tplc="96F0F78C">
      <w:start w:val="3"/>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967692"/>
    <w:multiLevelType w:val="hybridMultilevel"/>
    <w:tmpl w:val="85B26F52"/>
    <w:lvl w:ilvl="0" w:tplc="B8C6203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52D0479B"/>
    <w:multiLevelType w:val="hybridMultilevel"/>
    <w:tmpl w:val="B67AD802"/>
    <w:lvl w:ilvl="0" w:tplc="BF98A2C0">
      <w:start w:val="1"/>
      <w:numFmt w:val="decimal"/>
      <w:lvlText w:val="%1."/>
      <w:lvlJc w:val="left"/>
      <w:pPr>
        <w:ind w:left="0"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1" w:tplc="0C08089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2" w:tplc="9D96078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3" w:tplc="91A26052">
      <w:start w:val="1"/>
      <w:numFmt w:val="decimal"/>
      <w:lvlText w:val="%4"/>
      <w:lvlJc w:val="left"/>
      <w:pPr>
        <w:ind w:left="28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4" w:tplc="B2ECAAA8">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5" w:tplc="87D6831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6" w:tplc="D06C7032">
      <w:start w:val="1"/>
      <w:numFmt w:val="decimal"/>
      <w:lvlText w:val="%7"/>
      <w:lvlJc w:val="left"/>
      <w:pPr>
        <w:ind w:left="504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7" w:tplc="8F08975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lvl w:ilvl="8" w:tplc="6208414A">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2"/>
        <w:szCs w:val="22"/>
        <w:u w:val="none" w:color="000000"/>
        <w:effect w:val="none"/>
        <w:bdr w:val="none" w:sz="0" w:space="0" w:color="auto" w:frame="1"/>
        <w:vertAlign w:val="baseline"/>
      </w:rPr>
    </w:lvl>
  </w:abstractNum>
  <w:abstractNum w:abstractNumId="41" w15:restartNumberingAfterBreak="0">
    <w:nsid w:val="548546CF"/>
    <w:multiLevelType w:val="hybridMultilevel"/>
    <w:tmpl w:val="19F05526"/>
    <w:lvl w:ilvl="0" w:tplc="59BE487C">
      <w:start w:val="1"/>
      <w:numFmt w:val="decimal"/>
      <w:lvlText w:val="%1."/>
      <w:lvlJc w:val="left"/>
      <w:pPr>
        <w:ind w:left="720" w:hanging="360"/>
      </w:pPr>
    </w:lvl>
    <w:lvl w:ilvl="1" w:tplc="3EF25BF8">
      <w:start w:val="1"/>
      <w:numFmt w:val="lowerLetter"/>
      <w:lvlText w:val="%2."/>
      <w:lvlJc w:val="left"/>
      <w:pPr>
        <w:ind w:left="1440" w:hanging="360"/>
      </w:pPr>
    </w:lvl>
    <w:lvl w:ilvl="2" w:tplc="D3E6985C">
      <w:start w:val="1"/>
      <w:numFmt w:val="lowerRoman"/>
      <w:lvlText w:val="%3."/>
      <w:lvlJc w:val="right"/>
      <w:pPr>
        <w:ind w:left="2160" w:hanging="180"/>
      </w:pPr>
    </w:lvl>
    <w:lvl w:ilvl="3" w:tplc="8E9A4DA2" w:tentative="1">
      <w:start w:val="1"/>
      <w:numFmt w:val="decimal"/>
      <w:lvlText w:val="%4."/>
      <w:lvlJc w:val="left"/>
      <w:pPr>
        <w:ind w:left="2880" w:hanging="360"/>
      </w:pPr>
    </w:lvl>
    <w:lvl w:ilvl="4" w:tplc="C8B6816A" w:tentative="1">
      <w:start w:val="1"/>
      <w:numFmt w:val="lowerLetter"/>
      <w:lvlText w:val="%5."/>
      <w:lvlJc w:val="left"/>
      <w:pPr>
        <w:ind w:left="3600" w:hanging="360"/>
      </w:pPr>
    </w:lvl>
    <w:lvl w:ilvl="5" w:tplc="293C5686" w:tentative="1">
      <w:start w:val="1"/>
      <w:numFmt w:val="lowerRoman"/>
      <w:lvlText w:val="%6."/>
      <w:lvlJc w:val="right"/>
      <w:pPr>
        <w:ind w:left="4320" w:hanging="180"/>
      </w:pPr>
    </w:lvl>
    <w:lvl w:ilvl="6" w:tplc="E6B671B0" w:tentative="1">
      <w:start w:val="1"/>
      <w:numFmt w:val="decimal"/>
      <w:lvlText w:val="%7."/>
      <w:lvlJc w:val="left"/>
      <w:pPr>
        <w:ind w:left="5040" w:hanging="360"/>
      </w:pPr>
    </w:lvl>
    <w:lvl w:ilvl="7" w:tplc="DDFEFEFC" w:tentative="1">
      <w:start w:val="1"/>
      <w:numFmt w:val="lowerLetter"/>
      <w:lvlText w:val="%8."/>
      <w:lvlJc w:val="left"/>
      <w:pPr>
        <w:ind w:left="5760" w:hanging="360"/>
      </w:pPr>
    </w:lvl>
    <w:lvl w:ilvl="8" w:tplc="B21086BA" w:tentative="1">
      <w:start w:val="1"/>
      <w:numFmt w:val="lowerRoman"/>
      <w:lvlText w:val="%9."/>
      <w:lvlJc w:val="right"/>
      <w:pPr>
        <w:ind w:left="6480" w:hanging="180"/>
      </w:pPr>
    </w:lvl>
  </w:abstractNum>
  <w:abstractNum w:abstractNumId="42" w15:restartNumberingAfterBreak="0">
    <w:nsid w:val="54FD2D4B"/>
    <w:multiLevelType w:val="hybridMultilevel"/>
    <w:tmpl w:val="E1760F7C"/>
    <w:lvl w:ilvl="0" w:tplc="4382544A">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654928"/>
    <w:multiLevelType w:val="hybridMultilevel"/>
    <w:tmpl w:val="B8AC3404"/>
    <w:lvl w:ilvl="0" w:tplc="6840BB1E">
      <w:start w:val="1"/>
      <w:numFmt w:val="upperRoman"/>
      <w:lvlText w:val="%1."/>
      <w:lvlJc w:val="right"/>
      <w:pPr>
        <w:ind w:left="1440" w:hanging="360"/>
      </w:pPr>
    </w:lvl>
    <w:lvl w:ilvl="1" w:tplc="239C767E">
      <w:start w:val="1"/>
      <w:numFmt w:val="lowerLetter"/>
      <w:lvlText w:val="%2."/>
      <w:lvlJc w:val="left"/>
      <w:pPr>
        <w:ind w:left="2160" w:hanging="360"/>
      </w:pPr>
    </w:lvl>
    <w:lvl w:ilvl="2" w:tplc="4F329E30">
      <w:start w:val="1"/>
      <w:numFmt w:val="lowerRoman"/>
      <w:lvlText w:val="%3."/>
      <w:lvlJc w:val="right"/>
      <w:pPr>
        <w:ind w:left="2880" w:hanging="180"/>
      </w:pPr>
    </w:lvl>
    <w:lvl w:ilvl="3" w:tplc="03146BEC">
      <w:start w:val="1"/>
      <w:numFmt w:val="decimal"/>
      <w:lvlText w:val="%4."/>
      <w:lvlJc w:val="left"/>
      <w:pPr>
        <w:ind w:left="3600" w:hanging="360"/>
      </w:pPr>
    </w:lvl>
    <w:lvl w:ilvl="4" w:tplc="C2024C5C" w:tentative="1">
      <w:start w:val="1"/>
      <w:numFmt w:val="lowerLetter"/>
      <w:lvlText w:val="%5."/>
      <w:lvlJc w:val="left"/>
      <w:pPr>
        <w:ind w:left="4320" w:hanging="360"/>
      </w:pPr>
    </w:lvl>
    <w:lvl w:ilvl="5" w:tplc="D5969BA0" w:tentative="1">
      <w:start w:val="1"/>
      <w:numFmt w:val="lowerRoman"/>
      <w:lvlText w:val="%6."/>
      <w:lvlJc w:val="right"/>
      <w:pPr>
        <w:ind w:left="5040" w:hanging="180"/>
      </w:pPr>
    </w:lvl>
    <w:lvl w:ilvl="6" w:tplc="D840C016" w:tentative="1">
      <w:start w:val="1"/>
      <w:numFmt w:val="decimal"/>
      <w:lvlText w:val="%7."/>
      <w:lvlJc w:val="left"/>
      <w:pPr>
        <w:ind w:left="5760" w:hanging="360"/>
      </w:pPr>
    </w:lvl>
    <w:lvl w:ilvl="7" w:tplc="992EF44E" w:tentative="1">
      <w:start w:val="1"/>
      <w:numFmt w:val="lowerLetter"/>
      <w:lvlText w:val="%8."/>
      <w:lvlJc w:val="left"/>
      <w:pPr>
        <w:ind w:left="6480" w:hanging="360"/>
      </w:pPr>
    </w:lvl>
    <w:lvl w:ilvl="8" w:tplc="1C5EAA6E" w:tentative="1">
      <w:start w:val="1"/>
      <w:numFmt w:val="lowerRoman"/>
      <w:lvlText w:val="%9."/>
      <w:lvlJc w:val="right"/>
      <w:pPr>
        <w:ind w:left="7200" w:hanging="180"/>
      </w:pPr>
    </w:lvl>
  </w:abstractNum>
  <w:abstractNum w:abstractNumId="44" w15:restartNumberingAfterBreak="0">
    <w:nsid w:val="5D531110"/>
    <w:multiLevelType w:val="hybridMultilevel"/>
    <w:tmpl w:val="D4660B66"/>
    <w:lvl w:ilvl="0" w:tplc="CAA823E8">
      <w:start w:val="1"/>
      <w:numFmt w:val="upperLetter"/>
      <w:lvlText w:val="%1."/>
      <w:lvlJc w:val="left"/>
      <w:pPr>
        <w:ind w:left="660" w:hanging="360"/>
      </w:pPr>
      <w:rPr>
        <w:rFonts w:hint="default"/>
        <w:u w:val="single"/>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5" w15:restartNumberingAfterBreak="0">
    <w:nsid w:val="5E9E1F84"/>
    <w:multiLevelType w:val="hybridMultilevel"/>
    <w:tmpl w:val="9A3A100E"/>
    <w:lvl w:ilvl="0" w:tplc="0409000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5F086E2A"/>
    <w:multiLevelType w:val="hybridMultilevel"/>
    <w:tmpl w:val="DEAE710E"/>
    <w:lvl w:ilvl="0" w:tplc="EADA42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0D75C8B"/>
    <w:multiLevelType w:val="hybridMultilevel"/>
    <w:tmpl w:val="0600A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E56FE8"/>
    <w:multiLevelType w:val="hybridMultilevel"/>
    <w:tmpl w:val="A28AF8B2"/>
    <w:lvl w:ilvl="0" w:tplc="767263F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9" w15:restartNumberingAfterBreak="0">
    <w:nsid w:val="62CE3E69"/>
    <w:multiLevelType w:val="hybridMultilevel"/>
    <w:tmpl w:val="1D9E79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2D5508A"/>
    <w:multiLevelType w:val="hybridMultilevel"/>
    <w:tmpl w:val="07C446E6"/>
    <w:lvl w:ilvl="0" w:tplc="1B9C8D9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3E355F9"/>
    <w:multiLevelType w:val="hybridMultilevel"/>
    <w:tmpl w:val="55D4FC2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5E6655B"/>
    <w:multiLevelType w:val="hybridMultilevel"/>
    <w:tmpl w:val="190ADAC0"/>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6D6B7569"/>
    <w:multiLevelType w:val="hybridMultilevel"/>
    <w:tmpl w:val="FD52EF68"/>
    <w:lvl w:ilvl="0" w:tplc="54721EAE">
      <w:start w:val="1"/>
      <w:numFmt w:val="decimal"/>
      <w:lvlText w:val="%1."/>
      <w:lvlJc w:val="left"/>
      <w:pPr>
        <w:ind w:left="720" w:hanging="360"/>
      </w:pPr>
    </w:lvl>
    <w:lvl w:ilvl="1" w:tplc="6B586B92">
      <w:start w:val="1"/>
      <w:numFmt w:val="lowerLetter"/>
      <w:lvlText w:val="%2."/>
      <w:lvlJc w:val="left"/>
      <w:pPr>
        <w:ind w:left="1440" w:hanging="360"/>
      </w:pPr>
    </w:lvl>
    <w:lvl w:ilvl="2" w:tplc="2228AEAE">
      <w:start w:val="1"/>
      <w:numFmt w:val="lowerRoman"/>
      <w:lvlText w:val="%3."/>
      <w:lvlJc w:val="right"/>
      <w:pPr>
        <w:ind w:left="2160" w:hanging="180"/>
      </w:pPr>
    </w:lvl>
    <w:lvl w:ilvl="3" w:tplc="B98E2748" w:tentative="1">
      <w:start w:val="1"/>
      <w:numFmt w:val="decimal"/>
      <w:lvlText w:val="%4."/>
      <w:lvlJc w:val="left"/>
      <w:pPr>
        <w:ind w:left="2880" w:hanging="360"/>
      </w:pPr>
    </w:lvl>
    <w:lvl w:ilvl="4" w:tplc="56FA2E10" w:tentative="1">
      <w:start w:val="1"/>
      <w:numFmt w:val="lowerLetter"/>
      <w:lvlText w:val="%5."/>
      <w:lvlJc w:val="left"/>
      <w:pPr>
        <w:ind w:left="3600" w:hanging="360"/>
      </w:pPr>
    </w:lvl>
    <w:lvl w:ilvl="5" w:tplc="A30C9FCA" w:tentative="1">
      <w:start w:val="1"/>
      <w:numFmt w:val="lowerRoman"/>
      <w:lvlText w:val="%6."/>
      <w:lvlJc w:val="right"/>
      <w:pPr>
        <w:ind w:left="4320" w:hanging="180"/>
      </w:pPr>
    </w:lvl>
    <w:lvl w:ilvl="6" w:tplc="9C6C5760" w:tentative="1">
      <w:start w:val="1"/>
      <w:numFmt w:val="decimal"/>
      <w:lvlText w:val="%7."/>
      <w:lvlJc w:val="left"/>
      <w:pPr>
        <w:ind w:left="5040" w:hanging="360"/>
      </w:pPr>
    </w:lvl>
    <w:lvl w:ilvl="7" w:tplc="70EED8F2" w:tentative="1">
      <w:start w:val="1"/>
      <w:numFmt w:val="lowerLetter"/>
      <w:lvlText w:val="%8."/>
      <w:lvlJc w:val="left"/>
      <w:pPr>
        <w:ind w:left="5760" w:hanging="360"/>
      </w:pPr>
    </w:lvl>
    <w:lvl w:ilvl="8" w:tplc="70226C16" w:tentative="1">
      <w:start w:val="1"/>
      <w:numFmt w:val="lowerRoman"/>
      <w:lvlText w:val="%9."/>
      <w:lvlJc w:val="right"/>
      <w:pPr>
        <w:ind w:left="6480" w:hanging="180"/>
      </w:pPr>
    </w:lvl>
  </w:abstractNum>
  <w:abstractNum w:abstractNumId="54" w15:restartNumberingAfterBreak="0">
    <w:nsid w:val="6E2D08D9"/>
    <w:multiLevelType w:val="hybridMultilevel"/>
    <w:tmpl w:val="BE6A9764"/>
    <w:lvl w:ilvl="0" w:tplc="A09291F8">
      <w:start w:val="1"/>
      <w:numFmt w:val="decimal"/>
      <w:lvlText w:val="%1."/>
      <w:lvlJc w:val="left"/>
      <w:pPr>
        <w:ind w:left="720" w:hanging="360"/>
      </w:pPr>
      <w:rPr>
        <w:rFonts w:hint="default"/>
      </w:rPr>
    </w:lvl>
    <w:lvl w:ilvl="1" w:tplc="530EA5BA">
      <w:start w:val="1"/>
      <w:numFmt w:val="lowerLetter"/>
      <w:lvlText w:val="%2."/>
      <w:lvlJc w:val="left"/>
      <w:pPr>
        <w:ind w:left="1440" w:hanging="360"/>
      </w:pPr>
    </w:lvl>
    <w:lvl w:ilvl="2" w:tplc="6BCC131C" w:tentative="1">
      <w:start w:val="1"/>
      <w:numFmt w:val="bullet"/>
      <w:lvlText w:val=""/>
      <w:lvlJc w:val="left"/>
      <w:pPr>
        <w:ind w:left="2160" w:hanging="360"/>
      </w:pPr>
      <w:rPr>
        <w:rFonts w:ascii="Wingdings" w:hAnsi="Wingdings" w:hint="default"/>
      </w:rPr>
    </w:lvl>
    <w:lvl w:ilvl="3" w:tplc="648A7E48" w:tentative="1">
      <w:start w:val="1"/>
      <w:numFmt w:val="bullet"/>
      <w:lvlText w:val=""/>
      <w:lvlJc w:val="left"/>
      <w:pPr>
        <w:ind w:left="2880" w:hanging="360"/>
      </w:pPr>
      <w:rPr>
        <w:rFonts w:ascii="Symbol" w:hAnsi="Symbol" w:hint="default"/>
      </w:rPr>
    </w:lvl>
    <w:lvl w:ilvl="4" w:tplc="13309060" w:tentative="1">
      <w:start w:val="1"/>
      <w:numFmt w:val="bullet"/>
      <w:lvlText w:val="o"/>
      <w:lvlJc w:val="left"/>
      <w:pPr>
        <w:ind w:left="3600" w:hanging="360"/>
      </w:pPr>
      <w:rPr>
        <w:rFonts w:ascii="Courier New" w:hAnsi="Courier New" w:cs="Courier New" w:hint="default"/>
      </w:rPr>
    </w:lvl>
    <w:lvl w:ilvl="5" w:tplc="3FBC7AFE" w:tentative="1">
      <w:start w:val="1"/>
      <w:numFmt w:val="bullet"/>
      <w:lvlText w:val=""/>
      <w:lvlJc w:val="left"/>
      <w:pPr>
        <w:ind w:left="4320" w:hanging="360"/>
      </w:pPr>
      <w:rPr>
        <w:rFonts w:ascii="Wingdings" w:hAnsi="Wingdings" w:hint="default"/>
      </w:rPr>
    </w:lvl>
    <w:lvl w:ilvl="6" w:tplc="D9E6FA66" w:tentative="1">
      <w:start w:val="1"/>
      <w:numFmt w:val="bullet"/>
      <w:lvlText w:val=""/>
      <w:lvlJc w:val="left"/>
      <w:pPr>
        <w:ind w:left="5040" w:hanging="360"/>
      </w:pPr>
      <w:rPr>
        <w:rFonts w:ascii="Symbol" w:hAnsi="Symbol" w:hint="default"/>
      </w:rPr>
    </w:lvl>
    <w:lvl w:ilvl="7" w:tplc="BA5CFE2A" w:tentative="1">
      <w:start w:val="1"/>
      <w:numFmt w:val="bullet"/>
      <w:lvlText w:val="o"/>
      <w:lvlJc w:val="left"/>
      <w:pPr>
        <w:ind w:left="5760" w:hanging="360"/>
      </w:pPr>
      <w:rPr>
        <w:rFonts w:ascii="Courier New" w:hAnsi="Courier New" w:cs="Courier New" w:hint="default"/>
      </w:rPr>
    </w:lvl>
    <w:lvl w:ilvl="8" w:tplc="5A5C0712" w:tentative="1">
      <w:start w:val="1"/>
      <w:numFmt w:val="bullet"/>
      <w:lvlText w:val=""/>
      <w:lvlJc w:val="left"/>
      <w:pPr>
        <w:ind w:left="6480" w:hanging="360"/>
      </w:pPr>
      <w:rPr>
        <w:rFonts w:ascii="Wingdings" w:hAnsi="Wingdings" w:hint="default"/>
      </w:rPr>
    </w:lvl>
  </w:abstractNum>
  <w:abstractNum w:abstractNumId="55" w15:restartNumberingAfterBreak="0">
    <w:nsid w:val="714C4FDC"/>
    <w:multiLevelType w:val="hybridMultilevel"/>
    <w:tmpl w:val="28C8EF3A"/>
    <w:lvl w:ilvl="0" w:tplc="56F8D084">
      <w:start w:val="1"/>
      <w:numFmt w:val="decimal"/>
      <w:lvlText w:val="%1."/>
      <w:lvlJc w:val="left"/>
      <w:pPr>
        <w:ind w:left="1440" w:hanging="720"/>
      </w:pPr>
      <w:rPr>
        <w:rFonts w:hint="default"/>
      </w:rPr>
    </w:lvl>
    <w:lvl w:ilvl="1" w:tplc="0A804DC2">
      <w:start w:val="1"/>
      <w:numFmt w:val="lowerLetter"/>
      <w:lvlText w:val="%2."/>
      <w:lvlJc w:val="left"/>
      <w:pPr>
        <w:ind w:left="1800" w:hanging="360"/>
      </w:pPr>
    </w:lvl>
    <w:lvl w:ilvl="2" w:tplc="68867BFC">
      <w:start w:val="1"/>
      <w:numFmt w:val="lowerRoman"/>
      <w:lvlText w:val="%3."/>
      <w:lvlJc w:val="right"/>
      <w:pPr>
        <w:ind w:left="2520" w:hanging="180"/>
      </w:pPr>
    </w:lvl>
    <w:lvl w:ilvl="3" w:tplc="E4D455D6" w:tentative="1">
      <w:start w:val="1"/>
      <w:numFmt w:val="decimal"/>
      <w:lvlText w:val="%4."/>
      <w:lvlJc w:val="left"/>
      <w:pPr>
        <w:ind w:left="3240" w:hanging="360"/>
      </w:pPr>
    </w:lvl>
    <w:lvl w:ilvl="4" w:tplc="580C4642" w:tentative="1">
      <w:start w:val="1"/>
      <w:numFmt w:val="lowerLetter"/>
      <w:lvlText w:val="%5."/>
      <w:lvlJc w:val="left"/>
      <w:pPr>
        <w:ind w:left="3960" w:hanging="360"/>
      </w:pPr>
    </w:lvl>
    <w:lvl w:ilvl="5" w:tplc="AA249F88" w:tentative="1">
      <w:start w:val="1"/>
      <w:numFmt w:val="lowerRoman"/>
      <w:lvlText w:val="%6."/>
      <w:lvlJc w:val="right"/>
      <w:pPr>
        <w:ind w:left="4680" w:hanging="180"/>
      </w:pPr>
    </w:lvl>
    <w:lvl w:ilvl="6" w:tplc="CFEC377A" w:tentative="1">
      <w:start w:val="1"/>
      <w:numFmt w:val="decimal"/>
      <w:lvlText w:val="%7."/>
      <w:lvlJc w:val="left"/>
      <w:pPr>
        <w:ind w:left="5400" w:hanging="360"/>
      </w:pPr>
    </w:lvl>
    <w:lvl w:ilvl="7" w:tplc="A7169198" w:tentative="1">
      <w:start w:val="1"/>
      <w:numFmt w:val="lowerLetter"/>
      <w:lvlText w:val="%8."/>
      <w:lvlJc w:val="left"/>
      <w:pPr>
        <w:ind w:left="6120" w:hanging="360"/>
      </w:pPr>
    </w:lvl>
    <w:lvl w:ilvl="8" w:tplc="03449388" w:tentative="1">
      <w:start w:val="1"/>
      <w:numFmt w:val="lowerRoman"/>
      <w:lvlText w:val="%9."/>
      <w:lvlJc w:val="right"/>
      <w:pPr>
        <w:ind w:left="6840" w:hanging="180"/>
      </w:pPr>
    </w:lvl>
  </w:abstractNum>
  <w:abstractNum w:abstractNumId="56" w15:restartNumberingAfterBreak="0">
    <w:nsid w:val="72352C2E"/>
    <w:multiLevelType w:val="multilevel"/>
    <w:tmpl w:val="4912C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556BD7"/>
    <w:multiLevelType w:val="hybridMultilevel"/>
    <w:tmpl w:val="334AE450"/>
    <w:lvl w:ilvl="0" w:tplc="B9C68C84">
      <w:start w:val="1"/>
      <w:numFmt w:val="upp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8" w15:restartNumberingAfterBreak="0">
    <w:nsid w:val="76916852"/>
    <w:multiLevelType w:val="hybridMultilevel"/>
    <w:tmpl w:val="DDA47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6C65184"/>
    <w:multiLevelType w:val="hybridMultilevel"/>
    <w:tmpl w:val="5FA803E2"/>
    <w:lvl w:ilvl="0" w:tplc="FFFFFFFF">
      <w:start w:val="2"/>
      <w:numFmt w:val="upperLetter"/>
      <w:lvlText w:val="%1."/>
      <w:lvlJc w:val="left"/>
      <w:pPr>
        <w:ind w:left="117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60" w15:restartNumberingAfterBreak="0">
    <w:nsid w:val="79243D80"/>
    <w:multiLevelType w:val="hybridMultilevel"/>
    <w:tmpl w:val="55D4FC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705F03"/>
    <w:multiLevelType w:val="hybridMultilevel"/>
    <w:tmpl w:val="A552AE2A"/>
    <w:lvl w:ilvl="0" w:tplc="16AE8838">
      <w:start w:val="1"/>
      <w:numFmt w:val="decimal"/>
      <w:lvlText w:val="%1."/>
      <w:lvlJc w:val="left"/>
      <w:pPr>
        <w:ind w:left="720" w:hanging="360"/>
      </w:pPr>
    </w:lvl>
    <w:lvl w:ilvl="1" w:tplc="6D5AB656" w:tentative="1">
      <w:start w:val="1"/>
      <w:numFmt w:val="lowerLetter"/>
      <w:lvlText w:val="%2."/>
      <w:lvlJc w:val="left"/>
      <w:pPr>
        <w:ind w:left="1440" w:hanging="360"/>
      </w:pPr>
    </w:lvl>
    <w:lvl w:ilvl="2" w:tplc="89865238" w:tentative="1">
      <w:start w:val="1"/>
      <w:numFmt w:val="lowerRoman"/>
      <w:lvlText w:val="%3."/>
      <w:lvlJc w:val="right"/>
      <w:pPr>
        <w:ind w:left="2160" w:hanging="180"/>
      </w:pPr>
    </w:lvl>
    <w:lvl w:ilvl="3" w:tplc="8AB00F5E" w:tentative="1">
      <w:start w:val="1"/>
      <w:numFmt w:val="decimal"/>
      <w:lvlText w:val="%4."/>
      <w:lvlJc w:val="left"/>
      <w:pPr>
        <w:ind w:left="2880" w:hanging="360"/>
      </w:pPr>
    </w:lvl>
    <w:lvl w:ilvl="4" w:tplc="FACCEE68" w:tentative="1">
      <w:start w:val="1"/>
      <w:numFmt w:val="lowerLetter"/>
      <w:lvlText w:val="%5."/>
      <w:lvlJc w:val="left"/>
      <w:pPr>
        <w:ind w:left="3600" w:hanging="360"/>
      </w:pPr>
    </w:lvl>
    <w:lvl w:ilvl="5" w:tplc="CC8A5BB6" w:tentative="1">
      <w:start w:val="1"/>
      <w:numFmt w:val="lowerRoman"/>
      <w:lvlText w:val="%6."/>
      <w:lvlJc w:val="right"/>
      <w:pPr>
        <w:ind w:left="4320" w:hanging="180"/>
      </w:pPr>
    </w:lvl>
    <w:lvl w:ilvl="6" w:tplc="CBB0B3A8" w:tentative="1">
      <w:start w:val="1"/>
      <w:numFmt w:val="decimal"/>
      <w:lvlText w:val="%7."/>
      <w:lvlJc w:val="left"/>
      <w:pPr>
        <w:ind w:left="5040" w:hanging="360"/>
      </w:pPr>
    </w:lvl>
    <w:lvl w:ilvl="7" w:tplc="B2B42274" w:tentative="1">
      <w:start w:val="1"/>
      <w:numFmt w:val="lowerLetter"/>
      <w:lvlText w:val="%8."/>
      <w:lvlJc w:val="left"/>
      <w:pPr>
        <w:ind w:left="5760" w:hanging="360"/>
      </w:pPr>
    </w:lvl>
    <w:lvl w:ilvl="8" w:tplc="0B422AB6" w:tentative="1">
      <w:start w:val="1"/>
      <w:numFmt w:val="lowerRoman"/>
      <w:lvlText w:val="%9."/>
      <w:lvlJc w:val="right"/>
      <w:pPr>
        <w:ind w:left="6480" w:hanging="180"/>
      </w:pPr>
    </w:lvl>
  </w:abstractNum>
  <w:abstractNum w:abstractNumId="62" w15:restartNumberingAfterBreak="0">
    <w:nsid w:val="7BEC6792"/>
    <w:multiLevelType w:val="hybridMultilevel"/>
    <w:tmpl w:val="0D38827E"/>
    <w:lvl w:ilvl="0" w:tplc="18387BB0">
      <w:start w:val="1"/>
      <w:numFmt w:val="decimal"/>
      <w:lvlText w:val="%1."/>
      <w:lvlJc w:val="left"/>
      <w:pPr>
        <w:ind w:left="720" w:hanging="360"/>
      </w:pPr>
    </w:lvl>
    <w:lvl w:ilvl="1" w:tplc="9B8CBA74" w:tentative="1">
      <w:start w:val="1"/>
      <w:numFmt w:val="lowerLetter"/>
      <w:lvlText w:val="%2."/>
      <w:lvlJc w:val="left"/>
      <w:pPr>
        <w:ind w:left="1440" w:hanging="360"/>
      </w:pPr>
    </w:lvl>
    <w:lvl w:ilvl="2" w:tplc="7EB2D3CE" w:tentative="1">
      <w:start w:val="1"/>
      <w:numFmt w:val="lowerRoman"/>
      <w:lvlText w:val="%3."/>
      <w:lvlJc w:val="right"/>
      <w:pPr>
        <w:ind w:left="2160" w:hanging="180"/>
      </w:pPr>
    </w:lvl>
    <w:lvl w:ilvl="3" w:tplc="130864C0" w:tentative="1">
      <w:start w:val="1"/>
      <w:numFmt w:val="decimal"/>
      <w:lvlText w:val="%4."/>
      <w:lvlJc w:val="left"/>
      <w:pPr>
        <w:ind w:left="2880" w:hanging="360"/>
      </w:pPr>
    </w:lvl>
    <w:lvl w:ilvl="4" w:tplc="9C9808BE" w:tentative="1">
      <w:start w:val="1"/>
      <w:numFmt w:val="lowerLetter"/>
      <w:lvlText w:val="%5."/>
      <w:lvlJc w:val="left"/>
      <w:pPr>
        <w:ind w:left="3600" w:hanging="360"/>
      </w:pPr>
    </w:lvl>
    <w:lvl w:ilvl="5" w:tplc="E4EE0F26" w:tentative="1">
      <w:start w:val="1"/>
      <w:numFmt w:val="lowerRoman"/>
      <w:lvlText w:val="%6."/>
      <w:lvlJc w:val="right"/>
      <w:pPr>
        <w:ind w:left="4320" w:hanging="180"/>
      </w:pPr>
    </w:lvl>
    <w:lvl w:ilvl="6" w:tplc="657822B6" w:tentative="1">
      <w:start w:val="1"/>
      <w:numFmt w:val="decimal"/>
      <w:lvlText w:val="%7."/>
      <w:lvlJc w:val="left"/>
      <w:pPr>
        <w:ind w:left="5040" w:hanging="360"/>
      </w:pPr>
    </w:lvl>
    <w:lvl w:ilvl="7" w:tplc="2CAE910C" w:tentative="1">
      <w:start w:val="1"/>
      <w:numFmt w:val="lowerLetter"/>
      <w:lvlText w:val="%8."/>
      <w:lvlJc w:val="left"/>
      <w:pPr>
        <w:ind w:left="5760" w:hanging="360"/>
      </w:pPr>
    </w:lvl>
    <w:lvl w:ilvl="8" w:tplc="DB1A2D8A" w:tentative="1">
      <w:start w:val="1"/>
      <w:numFmt w:val="lowerRoman"/>
      <w:lvlText w:val="%9."/>
      <w:lvlJc w:val="right"/>
      <w:pPr>
        <w:ind w:left="6480" w:hanging="180"/>
      </w:pPr>
    </w:lvl>
  </w:abstractNum>
  <w:abstractNum w:abstractNumId="63" w15:restartNumberingAfterBreak="0">
    <w:nsid w:val="7D417562"/>
    <w:multiLevelType w:val="hybridMultilevel"/>
    <w:tmpl w:val="0DA02E2C"/>
    <w:lvl w:ilvl="0" w:tplc="FFFFFFF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E0C6E60"/>
    <w:multiLevelType w:val="hybridMultilevel"/>
    <w:tmpl w:val="127219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72048927">
    <w:abstractNumId w:val="17"/>
  </w:num>
  <w:num w:numId="2" w16cid:durableId="1108083785">
    <w:abstractNumId w:val="14"/>
  </w:num>
  <w:num w:numId="3" w16cid:durableId="1742487550">
    <w:abstractNumId w:val="11"/>
  </w:num>
  <w:num w:numId="4" w16cid:durableId="379597177">
    <w:abstractNumId w:val="43"/>
  </w:num>
  <w:num w:numId="5" w16cid:durableId="1743410638">
    <w:abstractNumId w:val="10"/>
  </w:num>
  <w:num w:numId="6" w16cid:durableId="915825005">
    <w:abstractNumId w:val="9"/>
  </w:num>
  <w:num w:numId="7" w16cid:durableId="6641634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85734888">
    <w:abstractNumId w:val="7"/>
  </w:num>
  <w:num w:numId="9" w16cid:durableId="779372283">
    <w:abstractNumId w:val="3"/>
  </w:num>
  <w:num w:numId="10" w16cid:durableId="1357803500">
    <w:abstractNumId w:val="19"/>
  </w:num>
  <w:num w:numId="11" w16cid:durableId="977101992">
    <w:abstractNumId w:val="29"/>
  </w:num>
  <w:num w:numId="12" w16cid:durableId="892695066">
    <w:abstractNumId w:val="62"/>
  </w:num>
  <w:num w:numId="13" w16cid:durableId="846406553">
    <w:abstractNumId w:val="33"/>
  </w:num>
  <w:num w:numId="14" w16cid:durableId="1107888197">
    <w:abstractNumId w:val="61"/>
  </w:num>
  <w:num w:numId="15" w16cid:durableId="1519200335">
    <w:abstractNumId w:val="8"/>
  </w:num>
  <w:num w:numId="16" w16cid:durableId="1670983722">
    <w:abstractNumId w:val="54"/>
  </w:num>
  <w:num w:numId="17" w16cid:durableId="534923415">
    <w:abstractNumId w:val="53"/>
  </w:num>
  <w:num w:numId="18" w16cid:durableId="1117800347">
    <w:abstractNumId w:val="18"/>
  </w:num>
  <w:num w:numId="19" w16cid:durableId="1281499340">
    <w:abstractNumId w:val="35"/>
  </w:num>
  <w:num w:numId="20" w16cid:durableId="351761264">
    <w:abstractNumId w:val="36"/>
  </w:num>
  <w:num w:numId="21" w16cid:durableId="363214631">
    <w:abstractNumId w:val="55"/>
  </w:num>
  <w:num w:numId="22" w16cid:durableId="785463421">
    <w:abstractNumId w:val="41"/>
  </w:num>
  <w:num w:numId="23" w16cid:durableId="330328902">
    <w:abstractNumId w:val="27"/>
  </w:num>
  <w:num w:numId="24" w16cid:durableId="853417553">
    <w:abstractNumId w:val="42"/>
  </w:num>
  <w:num w:numId="25" w16cid:durableId="135991829">
    <w:abstractNumId w:val="46"/>
  </w:num>
  <w:num w:numId="26" w16cid:durableId="138349456">
    <w:abstractNumId w:val="49"/>
  </w:num>
  <w:num w:numId="27" w16cid:durableId="599529332">
    <w:abstractNumId w:val="63"/>
  </w:num>
  <w:num w:numId="28" w16cid:durableId="279067510">
    <w:abstractNumId w:val="30"/>
  </w:num>
  <w:num w:numId="29" w16cid:durableId="418600819">
    <w:abstractNumId w:val="20"/>
  </w:num>
  <w:num w:numId="30" w16cid:durableId="1170562730">
    <w:abstractNumId w:val="58"/>
  </w:num>
  <w:num w:numId="31" w16cid:durableId="585380689">
    <w:abstractNumId w:val="47"/>
  </w:num>
  <w:num w:numId="32" w16cid:durableId="54887913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20879628">
    <w:abstractNumId w:val="45"/>
  </w:num>
  <w:num w:numId="34" w16cid:durableId="861288416">
    <w:abstractNumId w:val="52"/>
  </w:num>
  <w:num w:numId="35" w16cid:durableId="1555045297">
    <w:abstractNumId w:val="5"/>
  </w:num>
  <w:num w:numId="36" w16cid:durableId="2072118812">
    <w:abstractNumId w:val="24"/>
  </w:num>
  <w:num w:numId="37" w16cid:durableId="1428774033">
    <w:abstractNumId w:val="34"/>
  </w:num>
  <w:num w:numId="38" w16cid:durableId="780488797">
    <w:abstractNumId w:val="38"/>
  </w:num>
  <w:num w:numId="39" w16cid:durableId="443617436">
    <w:abstractNumId w:val="44"/>
  </w:num>
  <w:num w:numId="40" w16cid:durableId="90586772">
    <w:abstractNumId w:val="23"/>
  </w:num>
  <w:num w:numId="41" w16cid:durableId="626618499">
    <w:abstractNumId w:val="2"/>
  </w:num>
  <w:num w:numId="42" w16cid:durableId="1602840754">
    <w:abstractNumId w:val="4"/>
  </w:num>
  <w:num w:numId="43" w16cid:durableId="1878928055">
    <w:abstractNumId w:val="57"/>
  </w:num>
  <w:num w:numId="44" w16cid:durableId="1615987165">
    <w:abstractNumId w:val="16"/>
  </w:num>
  <w:num w:numId="45" w16cid:durableId="59910690">
    <w:abstractNumId w:val="12"/>
  </w:num>
  <w:num w:numId="46" w16cid:durableId="1376545346">
    <w:abstractNumId w:val="60"/>
  </w:num>
  <w:num w:numId="47" w16cid:durableId="1133256">
    <w:abstractNumId w:val="50"/>
  </w:num>
  <w:num w:numId="48" w16cid:durableId="1098987666">
    <w:abstractNumId w:val="22"/>
  </w:num>
  <w:num w:numId="49" w16cid:durableId="1869954539">
    <w:abstractNumId w:val="28"/>
  </w:num>
  <w:num w:numId="50" w16cid:durableId="1389760688">
    <w:abstractNumId w:val="39"/>
  </w:num>
  <w:num w:numId="51" w16cid:durableId="1511871347">
    <w:abstractNumId w:val="21"/>
  </w:num>
  <w:num w:numId="52" w16cid:durableId="597326196">
    <w:abstractNumId w:val="15"/>
  </w:num>
  <w:num w:numId="53" w16cid:durableId="903031418">
    <w:abstractNumId w:val="64"/>
  </w:num>
  <w:num w:numId="54" w16cid:durableId="469253587">
    <w:abstractNumId w:val="32"/>
  </w:num>
  <w:num w:numId="55" w16cid:durableId="865559379">
    <w:abstractNumId w:val="48"/>
  </w:num>
  <w:num w:numId="56" w16cid:durableId="238367810">
    <w:abstractNumId w:val="56"/>
  </w:num>
  <w:num w:numId="57" w16cid:durableId="647394719">
    <w:abstractNumId w:val="13"/>
  </w:num>
  <w:num w:numId="58" w16cid:durableId="1524977276">
    <w:abstractNumId w:val="26"/>
  </w:num>
  <w:num w:numId="59" w16cid:durableId="2034451234">
    <w:abstractNumId w:val="0"/>
  </w:num>
  <w:num w:numId="60" w16cid:durableId="945769004">
    <w:abstractNumId w:val="25"/>
  </w:num>
  <w:num w:numId="61" w16cid:durableId="2080249399">
    <w:abstractNumId w:val="59"/>
  </w:num>
  <w:num w:numId="62" w16cid:durableId="1804275995">
    <w:abstractNumId w:val="1"/>
  </w:num>
  <w:num w:numId="63" w16cid:durableId="3019447">
    <w:abstractNumId w:val="51"/>
  </w:num>
  <w:num w:numId="64" w16cid:durableId="1022391142">
    <w:abstractNumId w:val="31"/>
  </w:num>
  <w:num w:numId="65" w16cid:durableId="700667793">
    <w:abstractNumId w:val="37"/>
  </w:num>
  <w:num w:numId="66" w16cid:durableId="17312253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31"/>
    <w:rsid w:val="00000690"/>
    <w:rsid w:val="00000858"/>
    <w:rsid w:val="00002454"/>
    <w:rsid w:val="000038E3"/>
    <w:rsid w:val="000039CE"/>
    <w:rsid w:val="0000513D"/>
    <w:rsid w:val="000071D1"/>
    <w:rsid w:val="00007DCF"/>
    <w:rsid w:val="00011B3E"/>
    <w:rsid w:val="00011CC6"/>
    <w:rsid w:val="00011F79"/>
    <w:rsid w:val="00012290"/>
    <w:rsid w:val="00012AF2"/>
    <w:rsid w:val="00013CE5"/>
    <w:rsid w:val="00016857"/>
    <w:rsid w:val="000172A8"/>
    <w:rsid w:val="000201DE"/>
    <w:rsid w:val="0002024F"/>
    <w:rsid w:val="00020A40"/>
    <w:rsid w:val="00020F4D"/>
    <w:rsid w:val="00024951"/>
    <w:rsid w:val="00026AC4"/>
    <w:rsid w:val="000300D1"/>
    <w:rsid w:val="0004114B"/>
    <w:rsid w:val="00044767"/>
    <w:rsid w:val="000548A9"/>
    <w:rsid w:val="00056189"/>
    <w:rsid w:val="00057C02"/>
    <w:rsid w:val="00062F9F"/>
    <w:rsid w:val="00063FBC"/>
    <w:rsid w:val="00066310"/>
    <w:rsid w:val="0007098D"/>
    <w:rsid w:val="0007243A"/>
    <w:rsid w:val="00073D32"/>
    <w:rsid w:val="00073F25"/>
    <w:rsid w:val="00074A32"/>
    <w:rsid w:val="00074CFC"/>
    <w:rsid w:val="0008002C"/>
    <w:rsid w:val="00084908"/>
    <w:rsid w:val="0008498C"/>
    <w:rsid w:val="00084EFE"/>
    <w:rsid w:val="00085795"/>
    <w:rsid w:val="000860FB"/>
    <w:rsid w:val="000875AC"/>
    <w:rsid w:val="000904D9"/>
    <w:rsid w:val="000944A1"/>
    <w:rsid w:val="00094759"/>
    <w:rsid w:val="000953A0"/>
    <w:rsid w:val="0009689E"/>
    <w:rsid w:val="000A29F1"/>
    <w:rsid w:val="000A2A99"/>
    <w:rsid w:val="000A38DA"/>
    <w:rsid w:val="000A4060"/>
    <w:rsid w:val="000A43BF"/>
    <w:rsid w:val="000B2DC7"/>
    <w:rsid w:val="000B3B78"/>
    <w:rsid w:val="000B3E58"/>
    <w:rsid w:val="000B60C8"/>
    <w:rsid w:val="000B7445"/>
    <w:rsid w:val="000C0737"/>
    <w:rsid w:val="000C1453"/>
    <w:rsid w:val="000C18E8"/>
    <w:rsid w:val="000C2353"/>
    <w:rsid w:val="000C4051"/>
    <w:rsid w:val="000D024F"/>
    <w:rsid w:val="000D2884"/>
    <w:rsid w:val="000D3762"/>
    <w:rsid w:val="000D37C9"/>
    <w:rsid w:val="000D68C9"/>
    <w:rsid w:val="000D73F6"/>
    <w:rsid w:val="000E4791"/>
    <w:rsid w:val="000E61F4"/>
    <w:rsid w:val="000F232B"/>
    <w:rsid w:val="000F3C82"/>
    <w:rsid w:val="000F5C16"/>
    <w:rsid w:val="000F5E32"/>
    <w:rsid w:val="000F6A04"/>
    <w:rsid w:val="000F6E17"/>
    <w:rsid w:val="000F74CE"/>
    <w:rsid w:val="000F7B15"/>
    <w:rsid w:val="00103010"/>
    <w:rsid w:val="00103D8F"/>
    <w:rsid w:val="00105CC3"/>
    <w:rsid w:val="001119BA"/>
    <w:rsid w:val="00113D13"/>
    <w:rsid w:val="00120E6E"/>
    <w:rsid w:val="001249A8"/>
    <w:rsid w:val="001251E0"/>
    <w:rsid w:val="001256FF"/>
    <w:rsid w:val="00130CF2"/>
    <w:rsid w:val="00132061"/>
    <w:rsid w:val="00135DDD"/>
    <w:rsid w:val="00140CCA"/>
    <w:rsid w:val="001440CD"/>
    <w:rsid w:val="00146B73"/>
    <w:rsid w:val="001477E7"/>
    <w:rsid w:val="00147F5C"/>
    <w:rsid w:val="00150BF7"/>
    <w:rsid w:val="0015215B"/>
    <w:rsid w:val="001522B7"/>
    <w:rsid w:val="00154CCC"/>
    <w:rsid w:val="001575DB"/>
    <w:rsid w:val="00157B9D"/>
    <w:rsid w:val="00157CE3"/>
    <w:rsid w:val="001606F6"/>
    <w:rsid w:val="00162804"/>
    <w:rsid w:val="0016344E"/>
    <w:rsid w:val="00163B47"/>
    <w:rsid w:val="00163FE3"/>
    <w:rsid w:val="00164041"/>
    <w:rsid w:val="00166E27"/>
    <w:rsid w:val="0017330C"/>
    <w:rsid w:val="00176A2B"/>
    <w:rsid w:val="001770F8"/>
    <w:rsid w:val="00177A08"/>
    <w:rsid w:val="00180806"/>
    <w:rsid w:val="00180F8A"/>
    <w:rsid w:val="001837C7"/>
    <w:rsid w:val="00183917"/>
    <w:rsid w:val="00184CD6"/>
    <w:rsid w:val="00187179"/>
    <w:rsid w:val="00190053"/>
    <w:rsid w:val="00190341"/>
    <w:rsid w:val="0019186E"/>
    <w:rsid w:val="0019301F"/>
    <w:rsid w:val="00194E28"/>
    <w:rsid w:val="00194FF1"/>
    <w:rsid w:val="001A0190"/>
    <w:rsid w:val="001A0EE0"/>
    <w:rsid w:val="001A1506"/>
    <w:rsid w:val="001A16A2"/>
    <w:rsid w:val="001A1AD9"/>
    <w:rsid w:val="001A72C5"/>
    <w:rsid w:val="001A77F6"/>
    <w:rsid w:val="001A7F69"/>
    <w:rsid w:val="001B0F90"/>
    <w:rsid w:val="001B1794"/>
    <w:rsid w:val="001B2C80"/>
    <w:rsid w:val="001C1E2C"/>
    <w:rsid w:val="001C6771"/>
    <w:rsid w:val="001C7088"/>
    <w:rsid w:val="001D0196"/>
    <w:rsid w:val="001D3B15"/>
    <w:rsid w:val="001D5668"/>
    <w:rsid w:val="001F13BD"/>
    <w:rsid w:val="001F39D9"/>
    <w:rsid w:val="001F3F17"/>
    <w:rsid w:val="002000D3"/>
    <w:rsid w:val="00200438"/>
    <w:rsid w:val="0020090E"/>
    <w:rsid w:val="00200A68"/>
    <w:rsid w:val="002022F4"/>
    <w:rsid w:val="00205BB3"/>
    <w:rsid w:val="00207B06"/>
    <w:rsid w:val="00207DC3"/>
    <w:rsid w:val="00207EB9"/>
    <w:rsid w:val="002100D4"/>
    <w:rsid w:val="0021179F"/>
    <w:rsid w:val="00211F51"/>
    <w:rsid w:val="002130EC"/>
    <w:rsid w:val="00213299"/>
    <w:rsid w:val="00216AFE"/>
    <w:rsid w:val="00216F41"/>
    <w:rsid w:val="002213D5"/>
    <w:rsid w:val="00221748"/>
    <w:rsid w:val="00221824"/>
    <w:rsid w:val="002228B4"/>
    <w:rsid w:val="00222994"/>
    <w:rsid w:val="00223576"/>
    <w:rsid w:val="00224FF8"/>
    <w:rsid w:val="00225208"/>
    <w:rsid w:val="00225FCB"/>
    <w:rsid w:val="0022792B"/>
    <w:rsid w:val="00233148"/>
    <w:rsid w:val="00233A79"/>
    <w:rsid w:val="00234ACA"/>
    <w:rsid w:val="0023516F"/>
    <w:rsid w:val="002353D8"/>
    <w:rsid w:val="002361C4"/>
    <w:rsid w:val="0023621E"/>
    <w:rsid w:val="00236535"/>
    <w:rsid w:val="00236778"/>
    <w:rsid w:val="002378E1"/>
    <w:rsid w:val="0023794E"/>
    <w:rsid w:val="00245878"/>
    <w:rsid w:val="002469A3"/>
    <w:rsid w:val="00252DE0"/>
    <w:rsid w:val="002537E8"/>
    <w:rsid w:val="00253DBB"/>
    <w:rsid w:val="00261345"/>
    <w:rsid w:val="002655ED"/>
    <w:rsid w:val="002717EC"/>
    <w:rsid w:val="0027484E"/>
    <w:rsid w:val="00274FF9"/>
    <w:rsid w:val="00276460"/>
    <w:rsid w:val="00276D7E"/>
    <w:rsid w:val="0028084F"/>
    <w:rsid w:val="00280FAB"/>
    <w:rsid w:val="00281602"/>
    <w:rsid w:val="00281AFE"/>
    <w:rsid w:val="00286AB2"/>
    <w:rsid w:val="00290A51"/>
    <w:rsid w:val="00290DF0"/>
    <w:rsid w:val="00293517"/>
    <w:rsid w:val="00296B7E"/>
    <w:rsid w:val="002A6947"/>
    <w:rsid w:val="002B0B9E"/>
    <w:rsid w:val="002B14AE"/>
    <w:rsid w:val="002B19E4"/>
    <w:rsid w:val="002B2940"/>
    <w:rsid w:val="002C1A6A"/>
    <w:rsid w:val="002C31C7"/>
    <w:rsid w:val="002C5293"/>
    <w:rsid w:val="002C6B1A"/>
    <w:rsid w:val="002C7D81"/>
    <w:rsid w:val="002D0678"/>
    <w:rsid w:val="002D0A74"/>
    <w:rsid w:val="002D0AF0"/>
    <w:rsid w:val="002D3B19"/>
    <w:rsid w:val="002D5339"/>
    <w:rsid w:val="002D559C"/>
    <w:rsid w:val="002D5E7E"/>
    <w:rsid w:val="002E15B9"/>
    <w:rsid w:val="002E5395"/>
    <w:rsid w:val="002E5428"/>
    <w:rsid w:val="002F0A2D"/>
    <w:rsid w:val="002F20C3"/>
    <w:rsid w:val="002F2462"/>
    <w:rsid w:val="002F2A47"/>
    <w:rsid w:val="002F2C25"/>
    <w:rsid w:val="002F41BA"/>
    <w:rsid w:val="002F42E3"/>
    <w:rsid w:val="0030052E"/>
    <w:rsid w:val="0030171E"/>
    <w:rsid w:val="00301A59"/>
    <w:rsid w:val="00301CC8"/>
    <w:rsid w:val="003040F5"/>
    <w:rsid w:val="00304CD3"/>
    <w:rsid w:val="0030583C"/>
    <w:rsid w:val="00305F7A"/>
    <w:rsid w:val="00306775"/>
    <w:rsid w:val="00310506"/>
    <w:rsid w:val="00310990"/>
    <w:rsid w:val="00311BF5"/>
    <w:rsid w:val="00311DD9"/>
    <w:rsid w:val="00316957"/>
    <w:rsid w:val="00316F40"/>
    <w:rsid w:val="003173AB"/>
    <w:rsid w:val="00320BDA"/>
    <w:rsid w:val="00321385"/>
    <w:rsid w:val="00321BF7"/>
    <w:rsid w:val="0032350B"/>
    <w:rsid w:val="00323FBB"/>
    <w:rsid w:val="00325152"/>
    <w:rsid w:val="00325576"/>
    <w:rsid w:val="00327DB2"/>
    <w:rsid w:val="00327E3D"/>
    <w:rsid w:val="00330B91"/>
    <w:rsid w:val="0034004A"/>
    <w:rsid w:val="0034117C"/>
    <w:rsid w:val="0034182F"/>
    <w:rsid w:val="00342E31"/>
    <w:rsid w:val="00346556"/>
    <w:rsid w:val="0034769B"/>
    <w:rsid w:val="00350A4D"/>
    <w:rsid w:val="00350C73"/>
    <w:rsid w:val="00352B8B"/>
    <w:rsid w:val="00355056"/>
    <w:rsid w:val="00360347"/>
    <w:rsid w:val="00362410"/>
    <w:rsid w:val="00362B5F"/>
    <w:rsid w:val="003650D2"/>
    <w:rsid w:val="003652AD"/>
    <w:rsid w:val="00366CB2"/>
    <w:rsid w:val="00370D1F"/>
    <w:rsid w:val="0037148B"/>
    <w:rsid w:val="0037186F"/>
    <w:rsid w:val="00371C9C"/>
    <w:rsid w:val="003735B4"/>
    <w:rsid w:val="00374A03"/>
    <w:rsid w:val="0037525F"/>
    <w:rsid w:val="00376E01"/>
    <w:rsid w:val="003813F7"/>
    <w:rsid w:val="003823EA"/>
    <w:rsid w:val="00394344"/>
    <w:rsid w:val="0039525A"/>
    <w:rsid w:val="003962A7"/>
    <w:rsid w:val="003973BA"/>
    <w:rsid w:val="0039780D"/>
    <w:rsid w:val="003A01A8"/>
    <w:rsid w:val="003A04A6"/>
    <w:rsid w:val="003A1116"/>
    <w:rsid w:val="003A16F1"/>
    <w:rsid w:val="003A1BD4"/>
    <w:rsid w:val="003A2922"/>
    <w:rsid w:val="003A3F06"/>
    <w:rsid w:val="003A7F9E"/>
    <w:rsid w:val="003B3009"/>
    <w:rsid w:val="003C01EE"/>
    <w:rsid w:val="003C67C2"/>
    <w:rsid w:val="003D2886"/>
    <w:rsid w:val="003D33FB"/>
    <w:rsid w:val="003D4779"/>
    <w:rsid w:val="003D4BFF"/>
    <w:rsid w:val="003D5E23"/>
    <w:rsid w:val="003E2FE9"/>
    <w:rsid w:val="003E4EB4"/>
    <w:rsid w:val="003E5051"/>
    <w:rsid w:val="003E7251"/>
    <w:rsid w:val="003E76E8"/>
    <w:rsid w:val="003F055B"/>
    <w:rsid w:val="003F1295"/>
    <w:rsid w:val="004007CA"/>
    <w:rsid w:val="00401515"/>
    <w:rsid w:val="00401C64"/>
    <w:rsid w:val="00403E86"/>
    <w:rsid w:val="004057AC"/>
    <w:rsid w:val="00405C00"/>
    <w:rsid w:val="00406509"/>
    <w:rsid w:val="00407C74"/>
    <w:rsid w:val="00410D65"/>
    <w:rsid w:val="004133EC"/>
    <w:rsid w:val="0041654B"/>
    <w:rsid w:val="00421387"/>
    <w:rsid w:val="00421450"/>
    <w:rsid w:val="00422EF1"/>
    <w:rsid w:val="00422F7C"/>
    <w:rsid w:val="004245E8"/>
    <w:rsid w:val="004250D0"/>
    <w:rsid w:val="004271E0"/>
    <w:rsid w:val="00431C3F"/>
    <w:rsid w:val="004332A6"/>
    <w:rsid w:val="00433C7C"/>
    <w:rsid w:val="004342A9"/>
    <w:rsid w:val="00437DE1"/>
    <w:rsid w:val="00440CB7"/>
    <w:rsid w:val="004440B4"/>
    <w:rsid w:val="0045085C"/>
    <w:rsid w:val="004604F9"/>
    <w:rsid w:val="00462255"/>
    <w:rsid w:val="004638BA"/>
    <w:rsid w:val="0047224C"/>
    <w:rsid w:val="00472DB0"/>
    <w:rsid w:val="004750E9"/>
    <w:rsid w:val="0047578E"/>
    <w:rsid w:val="00475AE3"/>
    <w:rsid w:val="00480FE1"/>
    <w:rsid w:val="0048342E"/>
    <w:rsid w:val="00485338"/>
    <w:rsid w:val="00485E11"/>
    <w:rsid w:val="00487632"/>
    <w:rsid w:val="004914E2"/>
    <w:rsid w:val="00493AC1"/>
    <w:rsid w:val="00494AF4"/>
    <w:rsid w:val="004950A7"/>
    <w:rsid w:val="004A23BC"/>
    <w:rsid w:val="004A2F1C"/>
    <w:rsid w:val="004A3841"/>
    <w:rsid w:val="004A5AC5"/>
    <w:rsid w:val="004A5D5E"/>
    <w:rsid w:val="004B1880"/>
    <w:rsid w:val="004B3EC7"/>
    <w:rsid w:val="004C057C"/>
    <w:rsid w:val="004C515D"/>
    <w:rsid w:val="004C555E"/>
    <w:rsid w:val="004D39B7"/>
    <w:rsid w:val="004D3C20"/>
    <w:rsid w:val="004D5A76"/>
    <w:rsid w:val="004D6213"/>
    <w:rsid w:val="004D6839"/>
    <w:rsid w:val="004E162C"/>
    <w:rsid w:val="004E4637"/>
    <w:rsid w:val="004E4CBC"/>
    <w:rsid w:val="004E7D1E"/>
    <w:rsid w:val="004E7D98"/>
    <w:rsid w:val="004F0CB8"/>
    <w:rsid w:val="004F3CDE"/>
    <w:rsid w:val="004F43A2"/>
    <w:rsid w:val="004F53CE"/>
    <w:rsid w:val="004F74AA"/>
    <w:rsid w:val="00501938"/>
    <w:rsid w:val="00501AEF"/>
    <w:rsid w:val="0050686E"/>
    <w:rsid w:val="0050725A"/>
    <w:rsid w:val="00510DAE"/>
    <w:rsid w:val="0051118D"/>
    <w:rsid w:val="00511FE9"/>
    <w:rsid w:val="005128BF"/>
    <w:rsid w:val="00520AA4"/>
    <w:rsid w:val="00526151"/>
    <w:rsid w:val="00527409"/>
    <w:rsid w:val="00530F5A"/>
    <w:rsid w:val="005312D2"/>
    <w:rsid w:val="005320BE"/>
    <w:rsid w:val="0053360A"/>
    <w:rsid w:val="005361D4"/>
    <w:rsid w:val="00536DBC"/>
    <w:rsid w:val="00540ED2"/>
    <w:rsid w:val="00546994"/>
    <w:rsid w:val="00555A1D"/>
    <w:rsid w:val="00557F84"/>
    <w:rsid w:val="00560838"/>
    <w:rsid w:val="005616A4"/>
    <w:rsid w:val="00563DB7"/>
    <w:rsid w:val="00570754"/>
    <w:rsid w:val="00570A81"/>
    <w:rsid w:val="00573454"/>
    <w:rsid w:val="00574AE4"/>
    <w:rsid w:val="00576EC6"/>
    <w:rsid w:val="00577082"/>
    <w:rsid w:val="00577455"/>
    <w:rsid w:val="00577689"/>
    <w:rsid w:val="00580C91"/>
    <w:rsid w:val="005830F0"/>
    <w:rsid w:val="00586E1C"/>
    <w:rsid w:val="00586E6C"/>
    <w:rsid w:val="005877C8"/>
    <w:rsid w:val="00587F21"/>
    <w:rsid w:val="005902E9"/>
    <w:rsid w:val="00590665"/>
    <w:rsid w:val="0059409E"/>
    <w:rsid w:val="00595537"/>
    <w:rsid w:val="005962BE"/>
    <w:rsid w:val="0059638F"/>
    <w:rsid w:val="0059799F"/>
    <w:rsid w:val="005A077C"/>
    <w:rsid w:val="005A0835"/>
    <w:rsid w:val="005A1E3E"/>
    <w:rsid w:val="005B0EBD"/>
    <w:rsid w:val="005B4D8F"/>
    <w:rsid w:val="005B5607"/>
    <w:rsid w:val="005B60D6"/>
    <w:rsid w:val="005B6672"/>
    <w:rsid w:val="005B696E"/>
    <w:rsid w:val="005B7DD8"/>
    <w:rsid w:val="005C09B9"/>
    <w:rsid w:val="005C3BD3"/>
    <w:rsid w:val="005C5C09"/>
    <w:rsid w:val="005C656B"/>
    <w:rsid w:val="005D08F0"/>
    <w:rsid w:val="005D4164"/>
    <w:rsid w:val="005D6CC2"/>
    <w:rsid w:val="005E0F72"/>
    <w:rsid w:val="005E2BFB"/>
    <w:rsid w:val="005E3E98"/>
    <w:rsid w:val="005E4850"/>
    <w:rsid w:val="005E4938"/>
    <w:rsid w:val="005E5345"/>
    <w:rsid w:val="005E58C3"/>
    <w:rsid w:val="005F0420"/>
    <w:rsid w:val="005F2450"/>
    <w:rsid w:val="005F2686"/>
    <w:rsid w:val="005F2AB8"/>
    <w:rsid w:val="005F5193"/>
    <w:rsid w:val="0060028E"/>
    <w:rsid w:val="00600AE9"/>
    <w:rsid w:val="00600FA4"/>
    <w:rsid w:val="00603AA4"/>
    <w:rsid w:val="0060507A"/>
    <w:rsid w:val="00605A86"/>
    <w:rsid w:val="006067F0"/>
    <w:rsid w:val="00610934"/>
    <w:rsid w:val="00613A89"/>
    <w:rsid w:val="00621851"/>
    <w:rsid w:val="00621E8A"/>
    <w:rsid w:val="00623121"/>
    <w:rsid w:val="00624C2E"/>
    <w:rsid w:val="0062557A"/>
    <w:rsid w:val="00630113"/>
    <w:rsid w:val="006347F8"/>
    <w:rsid w:val="006352BD"/>
    <w:rsid w:val="006364A6"/>
    <w:rsid w:val="00640951"/>
    <w:rsid w:val="0064486D"/>
    <w:rsid w:val="0064622C"/>
    <w:rsid w:val="00646DD1"/>
    <w:rsid w:val="006609F1"/>
    <w:rsid w:val="0066328C"/>
    <w:rsid w:val="00665BA9"/>
    <w:rsid w:val="00666A8D"/>
    <w:rsid w:val="006672FE"/>
    <w:rsid w:val="006701C0"/>
    <w:rsid w:val="00670F59"/>
    <w:rsid w:val="00671643"/>
    <w:rsid w:val="00672381"/>
    <w:rsid w:val="00674458"/>
    <w:rsid w:val="00674C81"/>
    <w:rsid w:val="00675518"/>
    <w:rsid w:val="006760DF"/>
    <w:rsid w:val="00676190"/>
    <w:rsid w:val="00677508"/>
    <w:rsid w:val="00677DEA"/>
    <w:rsid w:val="00680DAA"/>
    <w:rsid w:val="00680F1B"/>
    <w:rsid w:val="006816CD"/>
    <w:rsid w:val="00683D1B"/>
    <w:rsid w:val="0068751E"/>
    <w:rsid w:val="00694183"/>
    <w:rsid w:val="006A1C4B"/>
    <w:rsid w:val="006A1CB1"/>
    <w:rsid w:val="006A4E4E"/>
    <w:rsid w:val="006A5B37"/>
    <w:rsid w:val="006A7C6A"/>
    <w:rsid w:val="006B1A31"/>
    <w:rsid w:val="006B3194"/>
    <w:rsid w:val="006B5D9C"/>
    <w:rsid w:val="006B6B6E"/>
    <w:rsid w:val="006C1207"/>
    <w:rsid w:val="006C1759"/>
    <w:rsid w:val="006C37F3"/>
    <w:rsid w:val="006C45D9"/>
    <w:rsid w:val="006C45EF"/>
    <w:rsid w:val="006D0DF2"/>
    <w:rsid w:val="006D20B8"/>
    <w:rsid w:val="006D42CA"/>
    <w:rsid w:val="006E12D1"/>
    <w:rsid w:val="006E1AD5"/>
    <w:rsid w:val="006E23E3"/>
    <w:rsid w:val="006E307A"/>
    <w:rsid w:val="006E31C5"/>
    <w:rsid w:val="006E4A7E"/>
    <w:rsid w:val="006F1BC0"/>
    <w:rsid w:val="006F2A65"/>
    <w:rsid w:val="006F40B9"/>
    <w:rsid w:val="006F5EB4"/>
    <w:rsid w:val="006F7020"/>
    <w:rsid w:val="007001F4"/>
    <w:rsid w:val="00700FDE"/>
    <w:rsid w:val="00703E44"/>
    <w:rsid w:val="00706BC4"/>
    <w:rsid w:val="00710D47"/>
    <w:rsid w:val="00712575"/>
    <w:rsid w:val="00715690"/>
    <w:rsid w:val="007176A2"/>
    <w:rsid w:val="00721F24"/>
    <w:rsid w:val="0072201B"/>
    <w:rsid w:val="007277DA"/>
    <w:rsid w:val="0073382C"/>
    <w:rsid w:val="00733AA8"/>
    <w:rsid w:val="00735169"/>
    <w:rsid w:val="00735C5F"/>
    <w:rsid w:val="00736D0D"/>
    <w:rsid w:val="007375DA"/>
    <w:rsid w:val="00741CA6"/>
    <w:rsid w:val="007437C6"/>
    <w:rsid w:val="00745686"/>
    <w:rsid w:val="007456A9"/>
    <w:rsid w:val="0075092D"/>
    <w:rsid w:val="00751F95"/>
    <w:rsid w:val="00753908"/>
    <w:rsid w:val="00754B52"/>
    <w:rsid w:val="00757BCE"/>
    <w:rsid w:val="00761401"/>
    <w:rsid w:val="00761B87"/>
    <w:rsid w:val="00762BCE"/>
    <w:rsid w:val="00763903"/>
    <w:rsid w:val="0076414F"/>
    <w:rsid w:val="00766F27"/>
    <w:rsid w:val="00770295"/>
    <w:rsid w:val="0077085A"/>
    <w:rsid w:val="00770CF6"/>
    <w:rsid w:val="007722D3"/>
    <w:rsid w:val="00772C3A"/>
    <w:rsid w:val="00775210"/>
    <w:rsid w:val="00777B4C"/>
    <w:rsid w:val="007849B6"/>
    <w:rsid w:val="00786D9F"/>
    <w:rsid w:val="00792935"/>
    <w:rsid w:val="007932A9"/>
    <w:rsid w:val="00794E60"/>
    <w:rsid w:val="007954B5"/>
    <w:rsid w:val="007955A6"/>
    <w:rsid w:val="00795792"/>
    <w:rsid w:val="00796107"/>
    <w:rsid w:val="00797732"/>
    <w:rsid w:val="007A09A9"/>
    <w:rsid w:val="007A142F"/>
    <w:rsid w:val="007A2244"/>
    <w:rsid w:val="007A2AE9"/>
    <w:rsid w:val="007A35DB"/>
    <w:rsid w:val="007A7AD5"/>
    <w:rsid w:val="007B08FB"/>
    <w:rsid w:val="007B1428"/>
    <w:rsid w:val="007B6413"/>
    <w:rsid w:val="007B6DA8"/>
    <w:rsid w:val="007C0B0B"/>
    <w:rsid w:val="007C4EEE"/>
    <w:rsid w:val="007C5947"/>
    <w:rsid w:val="007C75B7"/>
    <w:rsid w:val="007D01B3"/>
    <w:rsid w:val="007D24A2"/>
    <w:rsid w:val="007D4B1F"/>
    <w:rsid w:val="007D5B5F"/>
    <w:rsid w:val="007E00BA"/>
    <w:rsid w:val="007E1278"/>
    <w:rsid w:val="007E2223"/>
    <w:rsid w:val="007E4585"/>
    <w:rsid w:val="007E4907"/>
    <w:rsid w:val="007F5B31"/>
    <w:rsid w:val="007F6692"/>
    <w:rsid w:val="00802189"/>
    <w:rsid w:val="008032AA"/>
    <w:rsid w:val="0080463F"/>
    <w:rsid w:val="00804E19"/>
    <w:rsid w:val="00805B39"/>
    <w:rsid w:val="008100C5"/>
    <w:rsid w:val="008131D3"/>
    <w:rsid w:val="00814A2F"/>
    <w:rsid w:val="00814E45"/>
    <w:rsid w:val="008170EA"/>
    <w:rsid w:val="00817407"/>
    <w:rsid w:val="00821C05"/>
    <w:rsid w:val="00831A20"/>
    <w:rsid w:val="008353C8"/>
    <w:rsid w:val="00836D65"/>
    <w:rsid w:val="00844BEB"/>
    <w:rsid w:val="00845A41"/>
    <w:rsid w:val="00845FB0"/>
    <w:rsid w:val="0084786C"/>
    <w:rsid w:val="008501E4"/>
    <w:rsid w:val="008613BB"/>
    <w:rsid w:val="00862F3B"/>
    <w:rsid w:val="00866830"/>
    <w:rsid w:val="00867B37"/>
    <w:rsid w:val="00873E01"/>
    <w:rsid w:val="008756CC"/>
    <w:rsid w:val="00876DC3"/>
    <w:rsid w:val="00882F0F"/>
    <w:rsid w:val="00887E92"/>
    <w:rsid w:val="00890E65"/>
    <w:rsid w:val="00893930"/>
    <w:rsid w:val="008953B2"/>
    <w:rsid w:val="008962B5"/>
    <w:rsid w:val="008A4078"/>
    <w:rsid w:val="008A5D4F"/>
    <w:rsid w:val="008A6066"/>
    <w:rsid w:val="008B4F01"/>
    <w:rsid w:val="008B4FC0"/>
    <w:rsid w:val="008B5FCE"/>
    <w:rsid w:val="008C0966"/>
    <w:rsid w:val="008C11B1"/>
    <w:rsid w:val="008C1245"/>
    <w:rsid w:val="008C328C"/>
    <w:rsid w:val="008C5D4F"/>
    <w:rsid w:val="008C69C8"/>
    <w:rsid w:val="008D1A31"/>
    <w:rsid w:val="008D2A62"/>
    <w:rsid w:val="008D429E"/>
    <w:rsid w:val="008D667D"/>
    <w:rsid w:val="008D7699"/>
    <w:rsid w:val="008D7B3B"/>
    <w:rsid w:val="008E2DF3"/>
    <w:rsid w:val="008E62B9"/>
    <w:rsid w:val="008F0B0A"/>
    <w:rsid w:val="008F2371"/>
    <w:rsid w:val="008F30B3"/>
    <w:rsid w:val="008F54D4"/>
    <w:rsid w:val="008F76A7"/>
    <w:rsid w:val="0090152B"/>
    <w:rsid w:val="00901641"/>
    <w:rsid w:val="0090219C"/>
    <w:rsid w:val="009023C5"/>
    <w:rsid w:val="00902884"/>
    <w:rsid w:val="009050E3"/>
    <w:rsid w:val="00906684"/>
    <w:rsid w:val="0091015F"/>
    <w:rsid w:val="00911942"/>
    <w:rsid w:val="00911BEF"/>
    <w:rsid w:val="009143F0"/>
    <w:rsid w:val="009223D9"/>
    <w:rsid w:val="00925A58"/>
    <w:rsid w:val="009311C0"/>
    <w:rsid w:val="0093485A"/>
    <w:rsid w:val="00940595"/>
    <w:rsid w:val="009424D7"/>
    <w:rsid w:val="00942751"/>
    <w:rsid w:val="00945507"/>
    <w:rsid w:val="0095238F"/>
    <w:rsid w:val="0095329B"/>
    <w:rsid w:val="009549CE"/>
    <w:rsid w:val="00956D3B"/>
    <w:rsid w:val="009614B8"/>
    <w:rsid w:val="00961776"/>
    <w:rsid w:val="009619A8"/>
    <w:rsid w:val="0096316B"/>
    <w:rsid w:val="009639D4"/>
    <w:rsid w:val="00964D57"/>
    <w:rsid w:val="00965F0F"/>
    <w:rsid w:val="009675FB"/>
    <w:rsid w:val="00967B96"/>
    <w:rsid w:val="009739EA"/>
    <w:rsid w:val="00973AB8"/>
    <w:rsid w:val="009779EE"/>
    <w:rsid w:val="00980109"/>
    <w:rsid w:val="00980B36"/>
    <w:rsid w:val="00983101"/>
    <w:rsid w:val="00985799"/>
    <w:rsid w:val="00991E5C"/>
    <w:rsid w:val="0099253F"/>
    <w:rsid w:val="00992C63"/>
    <w:rsid w:val="009933C4"/>
    <w:rsid w:val="00995394"/>
    <w:rsid w:val="009960FA"/>
    <w:rsid w:val="009965D0"/>
    <w:rsid w:val="00996FB7"/>
    <w:rsid w:val="009A1948"/>
    <w:rsid w:val="009A1AC3"/>
    <w:rsid w:val="009A21D2"/>
    <w:rsid w:val="009A2374"/>
    <w:rsid w:val="009A4B48"/>
    <w:rsid w:val="009A4BF4"/>
    <w:rsid w:val="009B30CA"/>
    <w:rsid w:val="009B59F0"/>
    <w:rsid w:val="009B6462"/>
    <w:rsid w:val="009B6FFC"/>
    <w:rsid w:val="009C0A65"/>
    <w:rsid w:val="009C184A"/>
    <w:rsid w:val="009C2A98"/>
    <w:rsid w:val="009C41E3"/>
    <w:rsid w:val="009C61A2"/>
    <w:rsid w:val="009C79EA"/>
    <w:rsid w:val="009D06F5"/>
    <w:rsid w:val="009D1000"/>
    <w:rsid w:val="009D3371"/>
    <w:rsid w:val="009D3F73"/>
    <w:rsid w:val="009D4A50"/>
    <w:rsid w:val="009D574F"/>
    <w:rsid w:val="009D5CDF"/>
    <w:rsid w:val="009D6EEE"/>
    <w:rsid w:val="009D7737"/>
    <w:rsid w:val="009E292C"/>
    <w:rsid w:val="009E3394"/>
    <w:rsid w:val="009E4F44"/>
    <w:rsid w:val="009E6361"/>
    <w:rsid w:val="009E6780"/>
    <w:rsid w:val="009F0CCC"/>
    <w:rsid w:val="009F16C8"/>
    <w:rsid w:val="009F2662"/>
    <w:rsid w:val="009F2F11"/>
    <w:rsid w:val="009F4A84"/>
    <w:rsid w:val="009F75FD"/>
    <w:rsid w:val="00A00C60"/>
    <w:rsid w:val="00A01552"/>
    <w:rsid w:val="00A05A00"/>
    <w:rsid w:val="00A06800"/>
    <w:rsid w:val="00A12838"/>
    <w:rsid w:val="00A1552C"/>
    <w:rsid w:val="00A247AB"/>
    <w:rsid w:val="00A2676D"/>
    <w:rsid w:val="00A31E0B"/>
    <w:rsid w:val="00A364D9"/>
    <w:rsid w:val="00A40CFD"/>
    <w:rsid w:val="00A4168E"/>
    <w:rsid w:val="00A447A3"/>
    <w:rsid w:val="00A4554D"/>
    <w:rsid w:val="00A4647E"/>
    <w:rsid w:val="00A563EE"/>
    <w:rsid w:val="00A569B9"/>
    <w:rsid w:val="00A57E8D"/>
    <w:rsid w:val="00A6020E"/>
    <w:rsid w:val="00A608AA"/>
    <w:rsid w:val="00A61F7E"/>
    <w:rsid w:val="00A62B23"/>
    <w:rsid w:val="00A64DE0"/>
    <w:rsid w:val="00A64F76"/>
    <w:rsid w:val="00A6725F"/>
    <w:rsid w:val="00A734C4"/>
    <w:rsid w:val="00A751B8"/>
    <w:rsid w:val="00A83145"/>
    <w:rsid w:val="00A9408A"/>
    <w:rsid w:val="00A975AF"/>
    <w:rsid w:val="00AA3D02"/>
    <w:rsid w:val="00AA44F0"/>
    <w:rsid w:val="00AA5369"/>
    <w:rsid w:val="00AA6830"/>
    <w:rsid w:val="00AA756C"/>
    <w:rsid w:val="00AB31FB"/>
    <w:rsid w:val="00AB4D6A"/>
    <w:rsid w:val="00AB6484"/>
    <w:rsid w:val="00AC1813"/>
    <w:rsid w:val="00AC33D9"/>
    <w:rsid w:val="00AC37A8"/>
    <w:rsid w:val="00AC5BAF"/>
    <w:rsid w:val="00AD0DA1"/>
    <w:rsid w:val="00AD5FA8"/>
    <w:rsid w:val="00AE0E06"/>
    <w:rsid w:val="00AE1DC9"/>
    <w:rsid w:val="00AE26A0"/>
    <w:rsid w:val="00AE2E61"/>
    <w:rsid w:val="00AE32B4"/>
    <w:rsid w:val="00AE792C"/>
    <w:rsid w:val="00AF5B04"/>
    <w:rsid w:val="00B00DB6"/>
    <w:rsid w:val="00B01404"/>
    <w:rsid w:val="00B05457"/>
    <w:rsid w:val="00B07668"/>
    <w:rsid w:val="00B12F64"/>
    <w:rsid w:val="00B13EDE"/>
    <w:rsid w:val="00B14219"/>
    <w:rsid w:val="00B14B8B"/>
    <w:rsid w:val="00B15499"/>
    <w:rsid w:val="00B1781E"/>
    <w:rsid w:val="00B224B1"/>
    <w:rsid w:val="00B22EED"/>
    <w:rsid w:val="00B2458F"/>
    <w:rsid w:val="00B2661F"/>
    <w:rsid w:val="00B31DD9"/>
    <w:rsid w:val="00B31E90"/>
    <w:rsid w:val="00B40108"/>
    <w:rsid w:val="00B40E20"/>
    <w:rsid w:val="00B42A4B"/>
    <w:rsid w:val="00B43CC3"/>
    <w:rsid w:val="00B46DFF"/>
    <w:rsid w:val="00B47C68"/>
    <w:rsid w:val="00B50748"/>
    <w:rsid w:val="00B50F1F"/>
    <w:rsid w:val="00B51C92"/>
    <w:rsid w:val="00B51D70"/>
    <w:rsid w:val="00B5237A"/>
    <w:rsid w:val="00B53F26"/>
    <w:rsid w:val="00B57757"/>
    <w:rsid w:val="00B57D7A"/>
    <w:rsid w:val="00B62A42"/>
    <w:rsid w:val="00B62BB8"/>
    <w:rsid w:val="00B63C68"/>
    <w:rsid w:val="00B66381"/>
    <w:rsid w:val="00B668AD"/>
    <w:rsid w:val="00B67A36"/>
    <w:rsid w:val="00B70B50"/>
    <w:rsid w:val="00B71395"/>
    <w:rsid w:val="00B71804"/>
    <w:rsid w:val="00B72382"/>
    <w:rsid w:val="00B7304D"/>
    <w:rsid w:val="00B736F4"/>
    <w:rsid w:val="00B73883"/>
    <w:rsid w:val="00B8179C"/>
    <w:rsid w:val="00B82C0F"/>
    <w:rsid w:val="00B83E52"/>
    <w:rsid w:val="00B87351"/>
    <w:rsid w:val="00B87824"/>
    <w:rsid w:val="00B92E6D"/>
    <w:rsid w:val="00B94688"/>
    <w:rsid w:val="00B94D36"/>
    <w:rsid w:val="00B97542"/>
    <w:rsid w:val="00BA0520"/>
    <w:rsid w:val="00BA2CC0"/>
    <w:rsid w:val="00BA34F3"/>
    <w:rsid w:val="00BA4EB0"/>
    <w:rsid w:val="00BA531F"/>
    <w:rsid w:val="00BB0CF8"/>
    <w:rsid w:val="00BB0D23"/>
    <w:rsid w:val="00BB4185"/>
    <w:rsid w:val="00BB644A"/>
    <w:rsid w:val="00BB7F78"/>
    <w:rsid w:val="00BC2C53"/>
    <w:rsid w:val="00BC631A"/>
    <w:rsid w:val="00BC6F18"/>
    <w:rsid w:val="00BC708B"/>
    <w:rsid w:val="00BC7B2E"/>
    <w:rsid w:val="00BD304D"/>
    <w:rsid w:val="00BD6617"/>
    <w:rsid w:val="00BD7EEA"/>
    <w:rsid w:val="00BE2B29"/>
    <w:rsid w:val="00BE2BE4"/>
    <w:rsid w:val="00BE417D"/>
    <w:rsid w:val="00BE45BE"/>
    <w:rsid w:val="00BF0ABF"/>
    <w:rsid w:val="00BF2CFE"/>
    <w:rsid w:val="00BF2F00"/>
    <w:rsid w:val="00BF3BA3"/>
    <w:rsid w:val="00C00198"/>
    <w:rsid w:val="00C00F6D"/>
    <w:rsid w:val="00C028E9"/>
    <w:rsid w:val="00C02AEC"/>
    <w:rsid w:val="00C04266"/>
    <w:rsid w:val="00C05B59"/>
    <w:rsid w:val="00C1022B"/>
    <w:rsid w:val="00C10B0E"/>
    <w:rsid w:val="00C1453C"/>
    <w:rsid w:val="00C14941"/>
    <w:rsid w:val="00C1535E"/>
    <w:rsid w:val="00C2043F"/>
    <w:rsid w:val="00C20F40"/>
    <w:rsid w:val="00C22638"/>
    <w:rsid w:val="00C2398B"/>
    <w:rsid w:val="00C23A21"/>
    <w:rsid w:val="00C25658"/>
    <w:rsid w:val="00C318E1"/>
    <w:rsid w:val="00C330FF"/>
    <w:rsid w:val="00C34AA2"/>
    <w:rsid w:val="00C35B1F"/>
    <w:rsid w:val="00C407AE"/>
    <w:rsid w:val="00C42F2E"/>
    <w:rsid w:val="00C43EF7"/>
    <w:rsid w:val="00C45F5D"/>
    <w:rsid w:val="00C466AA"/>
    <w:rsid w:val="00C47270"/>
    <w:rsid w:val="00C4795A"/>
    <w:rsid w:val="00C51E01"/>
    <w:rsid w:val="00C5494C"/>
    <w:rsid w:val="00C54AF5"/>
    <w:rsid w:val="00C54B6D"/>
    <w:rsid w:val="00C54DBA"/>
    <w:rsid w:val="00C554D2"/>
    <w:rsid w:val="00C6079F"/>
    <w:rsid w:val="00C611AB"/>
    <w:rsid w:val="00C615EA"/>
    <w:rsid w:val="00C635A1"/>
    <w:rsid w:val="00C660AB"/>
    <w:rsid w:val="00C66E15"/>
    <w:rsid w:val="00C675AB"/>
    <w:rsid w:val="00C709AD"/>
    <w:rsid w:val="00C711C4"/>
    <w:rsid w:val="00C72BDD"/>
    <w:rsid w:val="00C74CB2"/>
    <w:rsid w:val="00C7569D"/>
    <w:rsid w:val="00C75C99"/>
    <w:rsid w:val="00C76037"/>
    <w:rsid w:val="00C82611"/>
    <w:rsid w:val="00C86BC2"/>
    <w:rsid w:val="00C87E92"/>
    <w:rsid w:val="00C90257"/>
    <w:rsid w:val="00C93B20"/>
    <w:rsid w:val="00C97D6C"/>
    <w:rsid w:val="00C97F13"/>
    <w:rsid w:val="00CA0514"/>
    <w:rsid w:val="00CA054D"/>
    <w:rsid w:val="00CA0E65"/>
    <w:rsid w:val="00CA141F"/>
    <w:rsid w:val="00CA18CC"/>
    <w:rsid w:val="00CA207F"/>
    <w:rsid w:val="00CA3130"/>
    <w:rsid w:val="00CA34CB"/>
    <w:rsid w:val="00CA4F6D"/>
    <w:rsid w:val="00CA63C0"/>
    <w:rsid w:val="00CA780B"/>
    <w:rsid w:val="00CB2108"/>
    <w:rsid w:val="00CB24D2"/>
    <w:rsid w:val="00CB44C4"/>
    <w:rsid w:val="00CB4527"/>
    <w:rsid w:val="00CB73DF"/>
    <w:rsid w:val="00CB7E6D"/>
    <w:rsid w:val="00CC04E5"/>
    <w:rsid w:val="00CC17B2"/>
    <w:rsid w:val="00CC6987"/>
    <w:rsid w:val="00CC77CB"/>
    <w:rsid w:val="00CC7F38"/>
    <w:rsid w:val="00CD05BA"/>
    <w:rsid w:val="00CD2E48"/>
    <w:rsid w:val="00CD319E"/>
    <w:rsid w:val="00CD3FDA"/>
    <w:rsid w:val="00CD54A3"/>
    <w:rsid w:val="00CE1C7B"/>
    <w:rsid w:val="00CE20FC"/>
    <w:rsid w:val="00CE26E2"/>
    <w:rsid w:val="00CE5108"/>
    <w:rsid w:val="00CF4C63"/>
    <w:rsid w:val="00CF676B"/>
    <w:rsid w:val="00CF73C2"/>
    <w:rsid w:val="00D00217"/>
    <w:rsid w:val="00D00638"/>
    <w:rsid w:val="00D03BC7"/>
    <w:rsid w:val="00D10E86"/>
    <w:rsid w:val="00D12ACA"/>
    <w:rsid w:val="00D14C18"/>
    <w:rsid w:val="00D17871"/>
    <w:rsid w:val="00D21AAF"/>
    <w:rsid w:val="00D2332A"/>
    <w:rsid w:val="00D23841"/>
    <w:rsid w:val="00D30F73"/>
    <w:rsid w:val="00D31A50"/>
    <w:rsid w:val="00D3666A"/>
    <w:rsid w:val="00D404CF"/>
    <w:rsid w:val="00D40D07"/>
    <w:rsid w:val="00D40EF5"/>
    <w:rsid w:val="00D458DB"/>
    <w:rsid w:val="00D46117"/>
    <w:rsid w:val="00D50A99"/>
    <w:rsid w:val="00D5123A"/>
    <w:rsid w:val="00D518F3"/>
    <w:rsid w:val="00D56383"/>
    <w:rsid w:val="00D5643A"/>
    <w:rsid w:val="00D57828"/>
    <w:rsid w:val="00D60451"/>
    <w:rsid w:val="00D60BCC"/>
    <w:rsid w:val="00D610E8"/>
    <w:rsid w:val="00D6194B"/>
    <w:rsid w:val="00D620B3"/>
    <w:rsid w:val="00D62A9A"/>
    <w:rsid w:val="00D647A2"/>
    <w:rsid w:val="00D67B6C"/>
    <w:rsid w:val="00D70020"/>
    <w:rsid w:val="00D70902"/>
    <w:rsid w:val="00D71A19"/>
    <w:rsid w:val="00D71FF5"/>
    <w:rsid w:val="00D7272B"/>
    <w:rsid w:val="00D7364C"/>
    <w:rsid w:val="00D76033"/>
    <w:rsid w:val="00D80834"/>
    <w:rsid w:val="00D80CDB"/>
    <w:rsid w:val="00D84C19"/>
    <w:rsid w:val="00D85AF2"/>
    <w:rsid w:val="00D8682A"/>
    <w:rsid w:val="00D9268F"/>
    <w:rsid w:val="00D931FF"/>
    <w:rsid w:val="00D950B0"/>
    <w:rsid w:val="00D95877"/>
    <w:rsid w:val="00DA058E"/>
    <w:rsid w:val="00DA3E0F"/>
    <w:rsid w:val="00DA7174"/>
    <w:rsid w:val="00DB02E6"/>
    <w:rsid w:val="00DB1C83"/>
    <w:rsid w:val="00DB3FB4"/>
    <w:rsid w:val="00DB51BF"/>
    <w:rsid w:val="00DB62F2"/>
    <w:rsid w:val="00DC38F0"/>
    <w:rsid w:val="00DC538D"/>
    <w:rsid w:val="00DC7F4B"/>
    <w:rsid w:val="00DD11F7"/>
    <w:rsid w:val="00DD197B"/>
    <w:rsid w:val="00DD54B4"/>
    <w:rsid w:val="00DD567E"/>
    <w:rsid w:val="00DD7A33"/>
    <w:rsid w:val="00DE18A7"/>
    <w:rsid w:val="00DE321C"/>
    <w:rsid w:val="00DE5555"/>
    <w:rsid w:val="00DE7126"/>
    <w:rsid w:val="00DE71D0"/>
    <w:rsid w:val="00DF5E80"/>
    <w:rsid w:val="00E01301"/>
    <w:rsid w:val="00E02B35"/>
    <w:rsid w:val="00E03C4D"/>
    <w:rsid w:val="00E054D3"/>
    <w:rsid w:val="00E06492"/>
    <w:rsid w:val="00E11802"/>
    <w:rsid w:val="00E14064"/>
    <w:rsid w:val="00E15918"/>
    <w:rsid w:val="00E21424"/>
    <w:rsid w:val="00E215FB"/>
    <w:rsid w:val="00E23F47"/>
    <w:rsid w:val="00E247DE"/>
    <w:rsid w:val="00E263B1"/>
    <w:rsid w:val="00E27178"/>
    <w:rsid w:val="00E3378E"/>
    <w:rsid w:val="00E352EE"/>
    <w:rsid w:val="00E3562B"/>
    <w:rsid w:val="00E358A6"/>
    <w:rsid w:val="00E40136"/>
    <w:rsid w:val="00E40A84"/>
    <w:rsid w:val="00E40E0C"/>
    <w:rsid w:val="00E41F8A"/>
    <w:rsid w:val="00E429C7"/>
    <w:rsid w:val="00E42AE5"/>
    <w:rsid w:val="00E42CAA"/>
    <w:rsid w:val="00E46A6F"/>
    <w:rsid w:val="00E51B3E"/>
    <w:rsid w:val="00E533A1"/>
    <w:rsid w:val="00E53F62"/>
    <w:rsid w:val="00E548C0"/>
    <w:rsid w:val="00E565F9"/>
    <w:rsid w:val="00E56C13"/>
    <w:rsid w:val="00E56CB7"/>
    <w:rsid w:val="00E60413"/>
    <w:rsid w:val="00E64CE7"/>
    <w:rsid w:val="00E66AAC"/>
    <w:rsid w:val="00E71B58"/>
    <w:rsid w:val="00E75D8A"/>
    <w:rsid w:val="00E77FF9"/>
    <w:rsid w:val="00E81170"/>
    <w:rsid w:val="00E83903"/>
    <w:rsid w:val="00E870B6"/>
    <w:rsid w:val="00E87D65"/>
    <w:rsid w:val="00E91383"/>
    <w:rsid w:val="00E91A52"/>
    <w:rsid w:val="00E92C81"/>
    <w:rsid w:val="00E9661A"/>
    <w:rsid w:val="00E96805"/>
    <w:rsid w:val="00EA05DF"/>
    <w:rsid w:val="00EA06B7"/>
    <w:rsid w:val="00EA3310"/>
    <w:rsid w:val="00EA7C25"/>
    <w:rsid w:val="00EB130F"/>
    <w:rsid w:val="00EB1BE9"/>
    <w:rsid w:val="00EB1DC5"/>
    <w:rsid w:val="00EB250F"/>
    <w:rsid w:val="00EB53AF"/>
    <w:rsid w:val="00EB77C4"/>
    <w:rsid w:val="00EC37FA"/>
    <w:rsid w:val="00EC3869"/>
    <w:rsid w:val="00EC4F18"/>
    <w:rsid w:val="00EC74EE"/>
    <w:rsid w:val="00EE0FB2"/>
    <w:rsid w:val="00EE21A4"/>
    <w:rsid w:val="00EE272C"/>
    <w:rsid w:val="00EE31BA"/>
    <w:rsid w:val="00EE6EC0"/>
    <w:rsid w:val="00EE7842"/>
    <w:rsid w:val="00EF15A5"/>
    <w:rsid w:val="00EF1CE6"/>
    <w:rsid w:val="00EF53A9"/>
    <w:rsid w:val="00EF5D34"/>
    <w:rsid w:val="00EF68A0"/>
    <w:rsid w:val="00F006C7"/>
    <w:rsid w:val="00F01E5D"/>
    <w:rsid w:val="00F03597"/>
    <w:rsid w:val="00F04A8A"/>
    <w:rsid w:val="00F110B4"/>
    <w:rsid w:val="00F11E82"/>
    <w:rsid w:val="00F134F4"/>
    <w:rsid w:val="00F140FE"/>
    <w:rsid w:val="00F1504D"/>
    <w:rsid w:val="00F15F24"/>
    <w:rsid w:val="00F21255"/>
    <w:rsid w:val="00F226AE"/>
    <w:rsid w:val="00F26F81"/>
    <w:rsid w:val="00F273A9"/>
    <w:rsid w:val="00F274CB"/>
    <w:rsid w:val="00F30A7C"/>
    <w:rsid w:val="00F339A2"/>
    <w:rsid w:val="00F3496B"/>
    <w:rsid w:val="00F519D2"/>
    <w:rsid w:val="00F521D0"/>
    <w:rsid w:val="00F528B4"/>
    <w:rsid w:val="00F5483F"/>
    <w:rsid w:val="00F57ABC"/>
    <w:rsid w:val="00F6005C"/>
    <w:rsid w:val="00F652C9"/>
    <w:rsid w:val="00F67707"/>
    <w:rsid w:val="00F71BFF"/>
    <w:rsid w:val="00F722C1"/>
    <w:rsid w:val="00F72608"/>
    <w:rsid w:val="00F73B08"/>
    <w:rsid w:val="00F73D87"/>
    <w:rsid w:val="00F7400E"/>
    <w:rsid w:val="00F76337"/>
    <w:rsid w:val="00F771E6"/>
    <w:rsid w:val="00F77358"/>
    <w:rsid w:val="00F776B5"/>
    <w:rsid w:val="00F77F13"/>
    <w:rsid w:val="00F83332"/>
    <w:rsid w:val="00F842A4"/>
    <w:rsid w:val="00F84EF1"/>
    <w:rsid w:val="00F90112"/>
    <w:rsid w:val="00F922D0"/>
    <w:rsid w:val="00F95238"/>
    <w:rsid w:val="00F9624B"/>
    <w:rsid w:val="00FA1644"/>
    <w:rsid w:val="00FA6DC8"/>
    <w:rsid w:val="00FB0B6D"/>
    <w:rsid w:val="00FB556C"/>
    <w:rsid w:val="00FB6DC9"/>
    <w:rsid w:val="00FB74A1"/>
    <w:rsid w:val="00FC5F24"/>
    <w:rsid w:val="00FC6897"/>
    <w:rsid w:val="00FD0CBA"/>
    <w:rsid w:val="00FD127D"/>
    <w:rsid w:val="00FD48FB"/>
    <w:rsid w:val="00FD4AD4"/>
    <w:rsid w:val="00FE0EBC"/>
    <w:rsid w:val="00FE5EAB"/>
    <w:rsid w:val="00FF1B6D"/>
    <w:rsid w:val="00FF2299"/>
    <w:rsid w:val="00FF25F2"/>
    <w:rsid w:val="00FF26FC"/>
    <w:rsid w:val="00FF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CC186"/>
  <w15:docId w15:val="{F0AA00F5-0BA2-44A7-B61A-72EE900D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352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648"/>
    <w:rPr>
      <w:color w:val="0563C1" w:themeColor="hyperlink"/>
      <w:u w:val="single"/>
    </w:rPr>
  </w:style>
  <w:style w:type="character" w:customStyle="1" w:styleId="UnresolvedMention1">
    <w:name w:val="Unresolved Mention1"/>
    <w:basedOn w:val="DefaultParagraphFont"/>
    <w:uiPriority w:val="99"/>
    <w:semiHidden/>
    <w:unhideWhenUsed/>
    <w:rsid w:val="00B27648"/>
    <w:rPr>
      <w:color w:val="605E5C"/>
      <w:shd w:val="clear" w:color="auto" w:fill="E1DFDD"/>
    </w:rPr>
  </w:style>
  <w:style w:type="paragraph" w:customStyle="1" w:styleId="Default">
    <w:name w:val="Default"/>
    <w:rsid w:val="006A0B0F"/>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5B0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52A"/>
    <w:pPr>
      <w:tabs>
        <w:tab w:val="center" w:pos="4680"/>
        <w:tab w:val="right" w:pos="9360"/>
      </w:tabs>
    </w:pPr>
  </w:style>
  <w:style w:type="character" w:customStyle="1" w:styleId="HeaderChar">
    <w:name w:val="Header Char"/>
    <w:basedOn w:val="DefaultParagraphFont"/>
    <w:link w:val="Header"/>
    <w:uiPriority w:val="99"/>
    <w:rsid w:val="00B3352A"/>
    <w:rPr>
      <w:rFonts w:ascii="Times New Roman" w:hAnsi="Times New Roman"/>
      <w:sz w:val="24"/>
    </w:rPr>
  </w:style>
  <w:style w:type="paragraph" w:styleId="Footer">
    <w:name w:val="footer"/>
    <w:basedOn w:val="Normal"/>
    <w:link w:val="FooterChar"/>
    <w:uiPriority w:val="99"/>
    <w:unhideWhenUsed/>
    <w:rsid w:val="00B3352A"/>
    <w:pPr>
      <w:tabs>
        <w:tab w:val="center" w:pos="4680"/>
        <w:tab w:val="right" w:pos="9360"/>
      </w:tabs>
    </w:pPr>
  </w:style>
  <w:style w:type="character" w:customStyle="1" w:styleId="FooterChar">
    <w:name w:val="Footer Char"/>
    <w:basedOn w:val="DefaultParagraphFont"/>
    <w:link w:val="Footer"/>
    <w:uiPriority w:val="99"/>
    <w:rsid w:val="00B3352A"/>
    <w:rPr>
      <w:rFonts w:ascii="Times New Roman" w:hAnsi="Times New Roman"/>
      <w:sz w:val="24"/>
    </w:rPr>
  </w:style>
  <w:style w:type="paragraph" w:styleId="ListParagraph">
    <w:name w:val="List Paragraph"/>
    <w:basedOn w:val="Normal"/>
    <w:uiPriority w:val="99"/>
    <w:qFormat/>
    <w:rsid w:val="000626CC"/>
    <w:pPr>
      <w:ind w:left="720"/>
      <w:contextualSpacing/>
    </w:pPr>
  </w:style>
  <w:style w:type="character" w:styleId="PageNumber">
    <w:name w:val="page number"/>
    <w:basedOn w:val="DefaultParagraphFont"/>
    <w:semiHidden/>
    <w:rsid w:val="00F45581"/>
  </w:style>
  <w:style w:type="paragraph" w:styleId="FootnoteText">
    <w:name w:val="footnote text"/>
    <w:basedOn w:val="Normal"/>
    <w:link w:val="FootnoteTextChar"/>
    <w:uiPriority w:val="99"/>
    <w:semiHidden/>
    <w:unhideWhenUsed/>
    <w:rsid w:val="00E62E0A"/>
    <w:rPr>
      <w:sz w:val="20"/>
      <w:szCs w:val="20"/>
    </w:rPr>
  </w:style>
  <w:style w:type="character" w:customStyle="1" w:styleId="FootnoteTextChar">
    <w:name w:val="Footnote Text Char"/>
    <w:basedOn w:val="DefaultParagraphFont"/>
    <w:link w:val="FootnoteText"/>
    <w:uiPriority w:val="99"/>
    <w:semiHidden/>
    <w:rsid w:val="00E62E0A"/>
    <w:rPr>
      <w:rFonts w:ascii="Times New Roman" w:hAnsi="Times New Roman"/>
      <w:sz w:val="20"/>
      <w:szCs w:val="20"/>
    </w:rPr>
  </w:style>
  <w:style w:type="character" w:styleId="FootnoteReference">
    <w:name w:val="footnote reference"/>
    <w:basedOn w:val="DefaultParagraphFont"/>
    <w:uiPriority w:val="99"/>
    <w:semiHidden/>
    <w:unhideWhenUsed/>
    <w:rsid w:val="00E62E0A"/>
    <w:rPr>
      <w:vertAlign w:val="superscript"/>
    </w:rPr>
  </w:style>
  <w:style w:type="paragraph" w:styleId="Revision">
    <w:name w:val="Revision"/>
    <w:hidden/>
    <w:uiPriority w:val="99"/>
    <w:semiHidden/>
    <w:rsid w:val="0090152B"/>
    <w:rPr>
      <w:rFonts w:ascii="Times New Roman" w:hAnsi="Times New Roman"/>
      <w:sz w:val="24"/>
    </w:rPr>
  </w:style>
  <w:style w:type="character" w:styleId="CommentReference">
    <w:name w:val="annotation reference"/>
    <w:basedOn w:val="DefaultParagraphFont"/>
    <w:uiPriority w:val="99"/>
    <w:semiHidden/>
    <w:unhideWhenUsed/>
    <w:rsid w:val="001770F8"/>
    <w:rPr>
      <w:sz w:val="16"/>
      <w:szCs w:val="16"/>
    </w:rPr>
  </w:style>
  <w:style w:type="paragraph" w:styleId="CommentText">
    <w:name w:val="annotation text"/>
    <w:basedOn w:val="Normal"/>
    <w:link w:val="CommentTextChar"/>
    <w:uiPriority w:val="99"/>
    <w:unhideWhenUsed/>
    <w:rsid w:val="001770F8"/>
    <w:rPr>
      <w:sz w:val="20"/>
      <w:szCs w:val="20"/>
    </w:rPr>
  </w:style>
  <w:style w:type="character" w:customStyle="1" w:styleId="CommentTextChar">
    <w:name w:val="Comment Text Char"/>
    <w:basedOn w:val="DefaultParagraphFont"/>
    <w:link w:val="CommentText"/>
    <w:uiPriority w:val="99"/>
    <w:rsid w:val="001770F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770F8"/>
    <w:rPr>
      <w:b/>
      <w:bCs/>
    </w:rPr>
  </w:style>
  <w:style w:type="character" w:customStyle="1" w:styleId="CommentSubjectChar">
    <w:name w:val="Comment Subject Char"/>
    <w:basedOn w:val="CommentTextChar"/>
    <w:link w:val="CommentSubject"/>
    <w:uiPriority w:val="99"/>
    <w:semiHidden/>
    <w:rsid w:val="001770F8"/>
    <w:rPr>
      <w:rFonts w:ascii="Times New Roman" w:hAnsi="Times New Roman"/>
      <w:b/>
      <w:bCs/>
      <w:sz w:val="20"/>
      <w:szCs w:val="20"/>
    </w:rPr>
  </w:style>
  <w:style w:type="character" w:styleId="UnresolvedMention">
    <w:name w:val="Unresolved Mention"/>
    <w:basedOn w:val="DefaultParagraphFont"/>
    <w:uiPriority w:val="99"/>
    <w:rsid w:val="009D6EEE"/>
    <w:rPr>
      <w:color w:val="605E5C"/>
      <w:shd w:val="clear" w:color="auto" w:fill="E1DFDD"/>
    </w:rPr>
  </w:style>
  <w:style w:type="paragraph" w:styleId="NormalWeb">
    <w:name w:val="Normal (Web)"/>
    <w:basedOn w:val="Normal"/>
    <w:uiPriority w:val="99"/>
    <w:unhideWhenUsed/>
    <w:rsid w:val="0039525A"/>
    <w:pPr>
      <w:spacing w:before="100" w:beforeAutospacing="1" w:after="100" w:afterAutospacing="1"/>
    </w:pPr>
    <w:rPr>
      <w:rFonts w:eastAsia="Times New Roman" w:cs="Times New Roman"/>
      <w:szCs w:val="24"/>
    </w:rPr>
  </w:style>
  <w:style w:type="paragraph" w:customStyle="1" w:styleId="00BodyText5">
    <w:name w:val="00 Body Text .5"/>
    <w:basedOn w:val="Normal"/>
    <w:qFormat/>
    <w:rsid w:val="000F6A04"/>
    <w:pPr>
      <w:spacing w:after="240"/>
      <w:ind w:firstLine="7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654">
      <w:bodyDiv w:val="1"/>
      <w:marLeft w:val="0"/>
      <w:marRight w:val="0"/>
      <w:marTop w:val="0"/>
      <w:marBottom w:val="0"/>
      <w:divBdr>
        <w:top w:val="none" w:sz="0" w:space="0" w:color="auto"/>
        <w:left w:val="none" w:sz="0" w:space="0" w:color="auto"/>
        <w:bottom w:val="none" w:sz="0" w:space="0" w:color="auto"/>
        <w:right w:val="none" w:sz="0" w:space="0" w:color="auto"/>
      </w:divBdr>
    </w:div>
    <w:div w:id="51270468">
      <w:bodyDiv w:val="1"/>
      <w:marLeft w:val="0"/>
      <w:marRight w:val="0"/>
      <w:marTop w:val="0"/>
      <w:marBottom w:val="0"/>
      <w:divBdr>
        <w:top w:val="none" w:sz="0" w:space="0" w:color="auto"/>
        <w:left w:val="none" w:sz="0" w:space="0" w:color="auto"/>
        <w:bottom w:val="none" w:sz="0" w:space="0" w:color="auto"/>
        <w:right w:val="none" w:sz="0" w:space="0" w:color="auto"/>
      </w:divBdr>
    </w:div>
    <w:div w:id="531303505">
      <w:bodyDiv w:val="1"/>
      <w:marLeft w:val="0"/>
      <w:marRight w:val="0"/>
      <w:marTop w:val="0"/>
      <w:marBottom w:val="0"/>
      <w:divBdr>
        <w:top w:val="none" w:sz="0" w:space="0" w:color="auto"/>
        <w:left w:val="none" w:sz="0" w:space="0" w:color="auto"/>
        <w:bottom w:val="none" w:sz="0" w:space="0" w:color="auto"/>
        <w:right w:val="none" w:sz="0" w:space="0" w:color="auto"/>
      </w:divBdr>
    </w:div>
    <w:div w:id="597907085">
      <w:bodyDiv w:val="1"/>
      <w:marLeft w:val="0"/>
      <w:marRight w:val="0"/>
      <w:marTop w:val="0"/>
      <w:marBottom w:val="0"/>
      <w:divBdr>
        <w:top w:val="none" w:sz="0" w:space="0" w:color="auto"/>
        <w:left w:val="none" w:sz="0" w:space="0" w:color="auto"/>
        <w:bottom w:val="none" w:sz="0" w:space="0" w:color="auto"/>
        <w:right w:val="none" w:sz="0" w:space="0" w:color="auto"/>
      </w:divBdr>
    </w:div>
    <w:div w:id="751505896">
      <w:bodyDiv w:val="1"/>
      <w:marLeft w:val="0"/>
      <w:marRight w:val="0"/>
      <w:marTop w:val="0"/>
      <w:marBottom w:val="0"/>
      <w:divBdr>
        <w:top w:val="none" w:sz="0" w:space="0" w:color="auto"/>
        <w:left w:val="none" w:sz="0" w:space="0" w:color="auto"/>
        <w:bottom w:val="none" w:sz="0" w:space="0" w:color="auto"/>
        <w:right w:val="none" w:sz="0" w:space="0" w:color="auto"/>
      </w:divBdr>
    </w:div>
    <w:div w:id="807935206">
      <w:bodyDiv w:val="1"/>
      <w:marLeft w:val="0"/>
      <w:marRight w:val="0"/>
      <w:marTop w:val="0"/>
      <w:marBottom w:val="0"/>
      <w:divBdr>
        <w:top w:val="none" w:sz="0" w:space="0" w:color="auto"/>
        <w:left w:val="none" w:sz="0" w:space="0" w:color="auto"/>
        <w:bottom w:val="none" w:sz="0" w:space="0" w:color="auto"/>
        <w:right w:val="none" w:sz="0" w:space="0" w:color="auto"/>
      </w:divBdr>
    </w:div>
    <w:div w:id="923952180">
      <w:bodyDiv w:val="1"/>
      <w:marLeft w:val="0"/>
      <w:marRight w:val="0"/>
      <w:marTop w:val="0"/>
      <w:marBottom w:val="0"/>
      <w:divBdr>
        <w:top w:val="none" w:sz="0" w:space="0" w:color="auto"/>
        <w:left w:val="none" w:sz="0" w:space="0" w:color="auto"/>
        <w:bottom w:val="none" w:sz="0" w:space="0" w:color="auto"/>
        <w:right w:val="none" w:sz="0" w:space="0" w:color="auto"/>
      </w:divBdr>
    </w:div>
    <w:div w:id="112600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ma.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fma.org/assets/documents/position.stmt/wp_statliens_final_d%20%20%20%20%20%20%20%20%20%20%20%20%20%20%20%20%20%20%20%20%20ec2017.%20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kutakrock.com/-/media/files/pdf-downloads/chapter-9-summary-memo-bruce-wilson.pdf?la=en&amp;hash=7C76AAA6E3E7790C38C2D6CB11B7ED42F363473D" TargetMode="External"/><Relationship Id="rId3" Type="http://schemas.openxmlformats.org/officeDocument/2006/relationships/hyperlink" Target="https://www.bankrate.com/real-estate/what-is-fee-simple/" TargetMode="External"/><Relationship Id="rId7" Type="http://schemas.openxmlformats.org/officeDocument/2006/relationships/hyperlink" Target="https://www.nfma.org/assets/documents/position.stmt/wp_statliens_final_dec2017.pdf" TargetMode="External"/><Relationship Id="rId2" Type="http://schemas.openxmlformats.org/officeDocument/2006/relationships/hyperlink" Target="https://www.rocketlawyer.com/real-estate/home-ownership/real-estate-financing/document/deed-of-trust" TargetMode="External"/><Relationship Id="rId1" Type="http://schemas.openxmlformats.org/officeDocument/2006/relationships/hyperlink" Target="https://www.bankrate.com/mortgages/deed-of-trust/" TargetMode="External"/><Relationship Id="rId6" Type="http://schemas.openxmlformats.org/officeDocument/2006/relationships/hyperlink" Target="https://www.nfma.org/assets/documents/position.stmt/wp_statliens_final_dec2017.pdf" TargetMode="External"/><Relationship Id="rId5" Type="http://schemas.openxmlformats.org/officeDocument/2006/relationships/hyperlink" Target="https://www.govinfo.gov/content/pkg/USCODE-2021-title11/pdf/USCODE-2021-title11-chap1-sec101.pdf" TargetMode="External"/><Relationship Id="rId4" Type="http://schemas.openxmlformats.org/officeDocument/2006/relationships/hyperlink" Target="https://www.lsd.law/define/leasehold-interest" TargetMode="External"/><Relationship Id="rId9" Type="http://schemas.openxmlformats.org/officeDocument/2006/relationships/hyperlink" Target="https://www.mondaq.com/canada/real-estate/45530/financing-leasehold-interests-how-to-manage-the-risk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A08946FB7740518333AFAB3181AA9D"/>
        <w:category>
          <w:name w:val="General"/>
          <w:gallery w:val="placeholder"/>
        </w:category>
        <w:types>
          <w:type w:val="bbPlcHdr"/>
        </w:types>
        <w:behaviors>
          <w:behavior w:val="content"/>
        </w:behaviors>
        <w:guid w:val="{FFBAF0C5-55DC-4510-A63C-0C43D897458E}"/>
      </w:docPartPr>
      <w:docPartBody>
        <w:p w:rsidR="00C215E4" w:rsidRDefault="00C215E4" w:rsidP="00C215E4">
          <w:pPr>
            <w:pStyle w:val="52A08946FB7740518333AFAB3181AA9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E4"/>
    <w:rsid w:val="004342A9"/>
    <w:rsid w:val="006E31C5"/>
    <w:rsid w:val="009619A8"/>
    <w:rsid w:val="009F7234"/>
    <w:rsid w:val="00AC37A8"/>
    <w:rsid w:val="00C2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A08946FB7740518333AFAB3181AA9D">
    <w:name w:val="52A08946FB7740518333AFAB3181AA9D"/>
    <w:rsid w:val="00C215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9742F-DCD9-4510-A159-4EDF50C66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14418</Words>
  <Characters>82188</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Gilbert Southwell</dc:creator>
  <cp:lastModifiedBy>Gilbert Southwell</cp:lastModifiedBy>
  <cp:revision>2</cp:revision>
  <dcterms:created xsi:type="dcterms:W3CDTF">2025-01-23T14:38:00Z</dcterms:created>
  <dcterms:modified xsi:type="dcterms:W3CDTF">2025-01-23T14:38:00Z</dcterms:modified>
</cp:coreProperties>
</file>