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885" w:rsidRDefault="002509D0">
      <w:pPr>
        <w:pStyle w:val="Balk1"/>
      </w:pPr>
      <w:bookmarkStart w:id="0" w:name="_GoBack"/>
      <w:bookmarkEnd w:id="0"/>
      <w:r>
        <w:t>Enerji Ölçüm Sapması (Kalibrasyon Manipülasyonu) Simülasyon Raporu</w:t>
      </w:r>
    </w:p>
    <w:p w:rsidR="00F62885" w:rsidRDefault="002509D0">
      <w:r>
        <w:t>Oluşturulma Tarihi: 2025-11-11 15:46:52</w:t>
      </w:r>
    </w:p>
    <w:p w:rsidR="00F62885" w:rsidRDefault="002509D0">
      <w:pPr>
        <w:pStyle w:val="Balk2"/>
      </w:pPr>
      <w:r>
        <w:t>1. Simülasyon Özeti</w:t>
      </w:r>
    </w:p>
    <w:p w:rsidR="00F62885" w:rsidRDefault="002509D0">
      <w:r>
        <w:t xml:space="preserve">Bu rapor, OCPP tabanlı bir şarj istasyonunda sayaç kalibrasyon katsayısının manipülasyonu sonucu oluşan enerji ölçüm sapmasını </w:t>
      </w:r>
      <w:r>
        <w:t>göstermektedir. Simülasyonda 30. saniyede scale_factor değeri 1.0'dan 0.85'e düşürülmüş, bu da faturalandırma açısından yaklaşık %15 enerji farkı yaratmıştır.</w:t>
      </w:r>
    </w:p>
    <w:p w:rsidR="00F62885" w:rsidRDefault="002509D0">
      <w:pPr>
        <w:pStyle w:val="Balk2"/>
      </w:pPr>
      <w:r>
        <w:t>2. Ölçüm Değerleri Grafiği</w:t>
      </w:r>
    </w:p>
    <w:p w:rsidR="00F62885" w:rsidRDefault="002509D0">
      <w:r>
        <w:rPr>
          <w:noProof/>
          <w:lang w:val="tr-TR" w:eastAsia="tr-TR"/>
        </w:rPr>
        <w:drawing>
          <wp:inline distT="0" distB="0" distL="0" distR="0">
            <wp:extent cx="73152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885" w:rsidRDefault="002509D0">
      <w:pPr>
        <w:pStyle w:val="Balk2"/>
      </w:pPr>
      <w:r>
        <w:t>3. Bulgular</w:t>
      </w:r>
    </w:p>
    <w:p w:rsidR="00F62885" w:rsidRDefault="002509D0">
      <w:r>
        <w:t>• 0–30 saniye arası sistem normal çalışmıştır.</w:t>
      </w:r>
      <w:r>
        <w:br/>
        <w:t>• 30. san</w:t>
      </w:r>
      <w:r>
        <w:t>iyeden itibaren scale_factor manipülasyonu uygulanmıştır.</w:t>
      </w:r>
      <w:r>
        <w:br/>
        <w:t>• CSMS tarafında ölçülen enerji değeri gerçek değerden kademeli olarak sapmıştır.</w:t>
      </w:r>
      <w:r>
        <w:br/>
        <w:t>• Sapma oranı 8%% eşiğini aştığında 'BillingAnomalyDetected' uyarısı üretilmiştir.</w:t>
      </w:r>
    </w:p>
    <w:p w:rsidR="00F62885" w:rsidRDefault="002509D0">
      <w:pPr>
        <w:pStyle w:val="Balk2"/>
      </w:pPr>
      <w:r>
        <w:lastRenderedPageBreak/>
        <w:t>4. Sonuç</w:t>
      </w:r>
    </w:p>
    <w:p w:rsidR="00F62885" w:rsidRDefault="002509D0">
      <w:r>
        <w:t>Bu simülasyon, kalibrasy</w:t>
      </w:r>
      <w:r>
        <w:t xml:space="preserve">on manipülasyonu saldırısının enerji ölçümlerine etkisini ve anomali tespit mekanizmasının nasıl devreye girdiğini göstermektedir. Gelecekte bu tür saldırılara karşı immutable calibration zone, hash tabanlı doğrulama ve SOC/SIEM entegrasyonu gibi önlemler </w:t>
      </w:r>
      <w:r>
        <w:t>önerilmektedir.</w:t>
      </w:r>
    </w:p>
    <w:sectPr w:rsidR="00F628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09D0"/>
    <w:rsid w:val="0029639D"/>
    <w:rsid w:val="00326F90"/>
    <w:rsid w:val="00446A2E"/>
    <w:rsid w:val="00AA1D8D"/>
    <w:rsid w:val="00B47730"/>
    <w:rsid w:val="00CB0664"/>
    <w:rsid w:val="00F62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2ECB6AF-44E6-48EA-93DF-44095E26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C5D4CB-FC95-48BF-80AE-3EA7D3712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Elit</cp:lastModifiedBy>
  <cp:revision>2</cp:revision>
  <dcterms:created xsi:type="dcterms:W3CDTF">2025-11-11T15:50:00Z</dcterms:created>
  <dcterms:modified xsi:type="dcterms:W3CDTF">2025-11-11T15:50:00Z</dcterms:modified>
  <cp:category/>
</cp:coreProperties>
</file>