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fiche de lancement du projet est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de synthèse</w:t>
      </w:r>
      <w:r w:rsidDel="00000000" w:rsidR="00000000" w:rsidRPr="00000000">
        <w:rPr>
          <w:sz w:val="20"/>
          <w:szCs w:val="20"/>
          <w:rtl w:val="0"/>
        </w:rPr>
        <w:t xml:space="preserve"> qui a pour but de présenter le projet de manière claire et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compréhensible par tous</w:t>
      </w:r>
      <w:r w:rsidDel="00000000" w:rsidR="00000000" w:rsidRPr="00000000">
        <w:rPr>
          <w:sz w:val="20"/>
          <w:szCs w:val="20"/>
          <w:rtl w:val="0"/>
        </w:rPr>
        <w:t xml:space="preserve">. Elle définit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contour du projet</w:t>
      </w:r>
      <w:r w:rsidDel="00000000" w:rsidR="00000000" w:rsidRPr="00000000">
        <w:rPr>
          <w:sz w:val="20"/>
          <w:szCs w:val="20"/>
          <w:rtl w:val="0"/>
        </w:rPr>
        <w:t xml:space="preserve">, 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objectifs visés</w:t>
      </w:r>
      <w:r w:rsidDel="00000000" w:rsidR="00000000" w:rsidRPr="00000000">
        <w:rPr>
          <w:sz w:val="20"/>
          <w:szCs w:val="20"/>
          <w:rtl w:val="0"/>
        </w:rPr>
        <w:t xml:space="preserve">, 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cibles</w:t>
      </w:r>
      <w:r w:rsidDel="00000000" w:rsidR="00000000" w:rsidRPr="00000000">
        <w:rPr>
          <w:sz w:val="20"/>
          <w:szCs w:val="20"/>
          <w:rtl w:val="0"/>
        </w:rPr>
        <w:t xml:space="preserve"> et 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contraintes</w:t>
      </w:r>
      <w:r w:rsidDel="00000000" w:rsidR="00000000" w:rsidRPr="00000000">
        <w:rPr>
          <w:sz w:val="20"/>
          <w:szCs w:val="20"/>
          <w:rtl w:val="0"/>
        </w:rPr>
        <w:t xml:space="preserve"> s’exerçant sur le projet. Elle nécessite de prendre du recul, d’avoir une vision globale et synthétique du projet et de son environnement, ainsi que des éléments clés du projet.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rédaction de cette fiche est une étape primordiale qui conditionne le bon lancement du projet. </w:t>
      </w:r>
      <w:r w:rsidDel="00000000" w:rsidR="00000000" w:rsidRPr="00000000">
        <w:rPr>
          <w:sz w:val="20"/>
          <w:szCs w:val="20"/>
          <w:rtl w:val="0"/>
        </w:rPr>
        <w:t xml:space="preserve">Elle est commune aux trois types de projets proposés à l’École Centrale de Lyon : PE, PAi et PAr.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3.9955403804615"/>
        <w:gridCol w:w="7361.516270643161"/>
        <w:tblGridChange w:id="0">
          <w:tblGrid>
            <w:gridCol w:w="1663.9955403804615"/>
            <w:gridCol w:w="7361.516270643161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Fiche d’identité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Titre et éventuel acronyme : Hourra les Echecs Yalta ! (acronyme HEY!)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Tuteur ou Commanditaire : Philippe Michel, Cédric Gamelon, Alexandre Said, Abdel-malek Zine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Contexte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Origine du besoin :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Apprendre le travail en équipe (communication, décomplexification et répartition de tâches)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Apprendre de l’informatique sur les IA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6.850585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Enjeux : 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Fournir un livrable : jeu d’échecs Yalta numérique, facile à prendre en main et ergonomique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Objectifs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Objectif général :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Faire découvrir le jeu à un grand public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d’IA à plusieurs niveaux de difficulté et aux stratégies variées (traître, solo…)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Pouvoir faire s’affronter des joueurs humains entre eux en ligne et avec l’ordinateur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Indicateurs mesurables de réussite : 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Temps pour une machine “classique”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L’IA peut battre : quelqu’un qui découvre le jeu, quelqu’un qui a déjà fait plusieurs parties, quelqu’un qui joue souvent aux échecs classiques, quelqu’un qui joue régulièrement aux échecs Yalta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Nature du livrable principal :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commenté et réutilisable (mis en accès libre)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Périmètre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Acteurs : 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Bêta-testeurs</w:t>
            </w:r>
          </w:p>
        </w:tc>
      </w:tr>
      <w:tr>
        <w:trPr>
          <w:cantSplit w:val="0"/>
          <w:trHeight w:val="1112.775878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: ressource informatique personnelle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Serveurs de calcul de la DSI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Environnement et interfaces du projet :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rHeight w:val="1433.70117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Coûts :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Coût fictif (espace de travail) / cash-prize pour bêta test </w:t>
              <w:br w:type="textWrapping"/>
              <w:t xml:space="preserve">Coût en temps humain</w:t>
            </w:r>
          </w:p>
        </w:tc>
      </w:tr>
      <w:tr>
        <w:trPr>
          <w:cantSplit w:val="0"/>
          <w:trHeight w:val="1553.70117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Délais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 de deadlines claires : à déterminer en fonction des tâches qui viennent avec l’avancement du projet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Autres contraintes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widowControl w:val="0"/>
      <w:rPr>
        <w:rFonts w:ascii="Calibri" w:cs="Calibri" w:eastAsia="Calibri" w:hAnsi="Calibri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10194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5097"/>
      <w:gridCol w:w="5097"/>
      <w:tblGridChange w:id="0">
        <w:tblGrid>
          <w:gridCol w:w="5097"/>
          <w:gridCol w:w="509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B">
          <w:pPr>
            <w:tabs>
              <w:tab w:val="center" w:leader="none" w:pos="4550"/>
              <w:tab w:val="left" w:leader="none" w:pos="5818"/>
            </w:tabs>
            <w:ind w:right="260"/>
            <w:rPr>
              <w:rFonts w:ascii="Calibri" w:cs="Calibri" w:eastAsia="Calibri" w:hAnsi="Calibri"/>
              <w:color w:val="222a35"/>
            </w:rPr>
          </w:pPr>
          <w:r w:rsidDel="00000000" w:rsidR="00000000" w:rsidRPr="00000000">
            <w:rPr>
              <w:rFonts w:ascii="Calibri" w:cs="Calibri" w:eastAsia="Calibri" w:hAnsi="Calibri"/>
              <w:color w:val="222a35"/>
              <w:rtl w:val="0"/>
            </w:rPr>
            <w:t xml:space="preserve">UE-Pro</w:t>
          </w:r>
        </w:p>
      </w:tc>
      <w:tc>
        <w:tcPr/>
        <w:p w:rsidR="00000000" w:rsidDel="00000000" w:rsidP="00000000" w:rsidRDefault="00000000" w:rsidRPr="00000000" w14:paraId="0000003C">
          <w:pPr>
            <w:tabs>
              <w:tab w:val="center" w:leader="none" w:pos="4550"/>
              <w:tab w:val="left" w:leader="none" w:pos="5818"/>
            </w:tabs>
            <w:ind w:right="260"/>
            <w:jc w:val="right"/>
            <w:rPr>
              <w:rFonts w:ascii="Calibri" w:cs="Calibri" w:eastAsia="Calibri" w:hAnsi="Calibri"/>
              <w:color w:val="222a35"/>
            </w:rPr>
          </w:pPr>
          <w:r w:rsidDel="00000000" w:rsidR="00000000" w:rsidRPr="00000000">
            <w:rPr>
              <w:rFonts w:ascii="Calibri" w:cs="Calibri" w:eastAsia="Calibri" w:hAnsi="Calibri"/>
              <w:color w:val="222a35"/>
              <w:rtl w:val="0"/>
            </w:rPr>
            <w:t xml:space="preserve">v2025-07-22</w:t>
          </w:r>
        </w:p>
      </w:tc>
    </w:tr>
  </w:tbl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tbl>
    <w:tblPr>
      <w:tblStyle w:val="Table2"/>
      <w:tblW w:w="88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7680"/>
      <w:gridCol w:w="1215"/>
      <w:tblGridChange w:id="0">
        <w:tblGrid>
          <w:gridCol w:w="7680"/>
          <w:gridCol w:w="1215"/>
        </w:tblGrid>
      </w:tblGridChange>
    </w:tblGrid>
    <w:tr>
      <w:trPr>
        <w:cantSplit w:val="0"/>
        <w:trHeight w:val="4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spacing w:after="240" w:before="240" w:lineRule="auto"/>
            <w:rPr>
              <w:smallCaps w:val="1"/>
              <w:sz w:val="40"/>
              <w:szCs w:val="40"/>
              <w:u w:val="single"/>
            </w:rPr>
          </w:pPr>
          <w:r w:rsidDel="00000000" w:rsidR="00000000" w:rsidRPr="00000000">
            <w:rPr>
              <w:smallCaps w:val="1"/>
              <w:sz w:val="40"/>
              <w:szCs w:val="40"/>
              <w:u w:val="single"/>
              <w:rtl w:val="0"/>
            </w:rPr>
            <w:t xml:space="preserve">Fiche de Lancement de Projet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638175" cy="635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