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ТЗ-001: Реализация MVP — AI-помощник абонента водоканала</w:t>
      </w:r>
    </w:p>
    <w:p>
      <w:r>
        <w:rPr>
          <w:i/>
        </w:rPr>
        <w:t>Статус: draft    Дата: 2026-09-16</w:t>
      </w:r>
    </w:p>
    <w:p>
      <w:r>
        <w:rPr>
          <w:i/>
        </w:rPr>
        <w:t>техническое задание на реализацию MVP — требования бизнеса и критерии приёмки для перехода прототип → MVP</w:t>
      </w:r>
    </w:p>
    <w:p/>
    <w:p>
      <w:pPr>
        <w:pStyle w:val="Heading2"/>
      </w:pPr>
      <w:r>
        <w:t>0. Статус и основание</w:t>
      </w:r>
    </w:p>
    <w:p>
      <w:r>
        <w:rPr>
          <w:b/>
        </w:rPr>
        <w:t>Draft</w:t>
      </w:r>
      <w:r>
        <w:t xml:space="preserve"> — черновик для согласования с владельцем продукта, не утверждённый документ. Составлен на основании принятых архитектурных решений (</w:t>
      </w:r>
      <w:r>
        <w:rPr>
          <w:rFonts w:ascii="Consolas" w:hAnsi="Consolas"/>
          <w:sz w:val="20"/>
        </w:rPr>
        <w:t>AI_docs/ADR/ADR-002…015</w:t>
      </w:r>
      <w:r>
        <w:t>) и сводного пакета для сдачи (</w:t>
      </w:r>
      <w:r>
        <w:rPr>
          <w:rFonts w:ascii="Consolas" w:hAnsi="Consolas"/>
          <w:sz w:val="20"/>
        </w:rPr>
        <w:t>AI_docs/Сдача/ADR-016…021</w:t>
      </w:r>
      <w:r>
        <w:t>). Числа стоимости и сроков — прогнозная модель, не смета (см. раздел 9).</w:t>
      </w:r>
    </w:p>
    <w:p>
      <w:r>
        <w:t xml:space="preserve">Это ТЗ описывает </w:t>
      </w:r>
      <w:r>
        <w:rPr>
          <w:b/>
        </w:rPr>
        <w:t>переход контура развёртывания</w:t>
      </w:r>
      <w:r>
        <w:t xml:space="preserve"> «прототип» → «MVP» при неизменной функциональности «Этап 1» (см. §1). Реализация функционального «Этап 2» (агент, операции записи) в объём этого ТЗ не входит — см. §5.</w:t>
      </w:r>
    </w:p>
    <w:p>
      <w:pPr>
        <w:pStyle w:val="Heading2"/>
      </w:pPr>
      <w:r>
        <w:t>1. Назначение и бизнес-цели</w:t>
      </w:r>
    </w:p>
    <w:p>
      <w:r>
        <w:t xml:space="preserve">AI-помощник встроен в существующий Личный кабинет абонента водоканала. Конечный пользователь — </w:t>
      </w:r>
      <w:r>
        <w:rPr>
          <w:b/>
        </w:rPr>
        <w:t>только абонент</w:t>
      </w:r>
      <w:r>
        <w:t>; операторы колл-центра и внутренние сотрудники пользователями чат-интерфейса не являются.</w:t>
      </w:r>
    </w:p>
    <w:p>
      <w:r>
        <w:t>Абонент часто не знает: какое обращение выбрать, как его заполнить, какие документы нужны, что делать после отправки. Бизнес-цели MVP:</w:t>
      </w:r>
    </w:p>
    <w:p>
      <w:pPr>
        <w:pStyle w:val="ListBullet"/>
      </w:pPr>
      <w:r>
        <w:t>сократить время поиска ответа;</w:t>
      </w:r>
    </w:p>
    <w:p>
      <w:pPr>
        <w:pStyle w:val="ListBullet"/>
      </w:pPr>
      <w:r>
        <w:t>снизить долю неверно оформленных обращений;</w:t>
      </w:r>
    </w:p>
    <w:p>
      <w:pPr>
        <w:pStyle w:val="ListBullet"/>
      </w:pPr>
      <w:r>
        <w:t>снизить количество повторных обращений;</w:t>
      </w:r>
    </w:p>
    <w:p>
      <w:pPr>
        <w:pStyle w:val="ListBullet"/>
      </w:pPr>
      <w:r>
        <w:t>улучшить пользовательский опыт в личном кабинете.</w:t>
      </w:r>
    </w:p>
    <w:p>
      <w:r>
        <w:t xml:space="preserve">MVP — первая версия, доступная </w:t>
      </w:r>
      <w:r>
        <w:rPr>
          <w:b/>
        </w:rPr>
        <w:t>реальным абонентам</w:t>
      </w:r>
      <w:r>
        <w:t xml:space="preserve"> в production-контуре (не демо-стенду и не команде разработки), в границах функциональности «Этап 1»: консультация и поиск информации, без операций записи.</w:t>
      </w:r>
    </w:p>
    <w:p>
      <w:pPr>
        <w:pStyle w:val="Heading2"/>
      </w:pPr>
      <w:r>
        <w:t>2. Что уже сдано на прототипе (базовая точка)</w:t>
      </w:r>
    </w:p>
    <w:p>
      <w:r>
        <w:t>Работающий путь: вопрос абонента → классификация темы → один из шести путей ответа. Пять путей отвечают без модели (график плановых отключений, регламентная формулировка о качестве воды, таблица тарифов, факты лицевого счёта, выдача бланка заявления); шестой — поиск по базе знаний и генерация через LLM Gateway. На данных без синтетики, со сквозным тестовым покрытием.</w:t>
      </w:r>
    </w:p>
    <w:p>
      <w:r>
        <w:t xml:space="preserve">Полный список сдано/отложено — </w:t>
      </w:r>
      <w:hyperlink r:id="rId9">
        <w:r>
          <w:rPr>
            <w:color w:val="1F5C8B"/>
            <w:u w:val="single"/>
          </w:rPr>
          <w:t>ADR-016</w:t>
        </w:r>
      </w:hyperlink>
      <w:r>
        <w:t>. Это ТЗ строится поверх него: MVP не меняет функциональный состав, меняет контур — с одной машины разработки на production-инфраструктуру с реальными абонентами и реальными интеграциями вместо демо-стенда.</w:t>
      </w:r>
    </w:p>
    <w:p>
      <w:pPr>
        <w:pStyle w:val="Heading2"/>
      </w:pPr>
      <w:r>
        <w:t>3. Функциональные требования к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Все шесть путей ответа (§2) работают в production-контуре на реальном трафике абонентов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Поиск по базе знаний — через Qdrant (не in-memory корпус прототипа)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ADR-006, ADR-017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Переранжирование топ-20 → топ-3 кандидатов — кросс-энкодер BGE-M3/BGE-reranker-v2-m3 на GPU (на прототипе выключено по бюджету задержки на CPU)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ADR-014, ADR-018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Генерация ответа — GigaChat Pro как основной провайдер, YandexGPT — резерв с автопереключением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Каждый ответ возвращает источники, </w:t>
            </w:r>
            <w:r>
              <w:rPr>
                <w:rFonts w:ascii="Consolas" w:hAnsi="Consolas"/>
                <w:sz w:val="19"/>
              </w:rPr>
              <w:t>confidence_score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suggested_actions</w:t>
            </w:r>
            <w:r>
              <w:rPr>
                <w:sz w:val="19"/>
              </w:rPr>
              <w:t>, disclaimer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контекст, §3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Факты лицевого счёта (задолженность, начисления, показания, поверка) — из реальной интеграции с Биллингом, не из слепка Postgres прототипа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ADR-016, §"Границы"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Регистрация обращения — целевой путь через внешний микросервис обращений (на прототипе — временная запись напрямую в таблицу)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Идентификация абонента — через настоящую SSO-сессию Платформы ЛК (на прототипе — метаданные демо-стенда)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ADR-019, §"Не входит в объём"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Ф9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Запасной классификатор типа обращения расширен минимум до покрытия, согласованного с владельцем продукта (сейчас 7 из 16 типов)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ADR-018, ADR-021</w:t>
            </w:r>
          </w:p>
        </w:tc>
      </w:tr>
    </w:tbl>
    <w:p/>
    <w:p>
      <w:r>
        <w:rPr>
          <w:b/>
        </w:rPr>
        <w:t>Явно вне объёма MVP:</w:t>
      </w:r>
      <w:r>
        <w:t xml:space="preserve"> операции записи (заявки, показания, документы, изменения данных абонента) — функциональный Этап 2, отдельный stage-gate (§5).</w:t>
      </w:r>
    </w:p>
    <w:p>
      <w:pPr>
        <w:pStyle w:val="Heading2"/>
      </w:pPr>
      <w:r>
        <w:t>4.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Расчёт NFR (TTFT, P99) под конкретную GPU-конфигурацию MVP — до запуска, не после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ADR-021, "Блокирует защиту бюджета"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Бюджет задержки поиска (эмбеддинг + переранжирование) — в рамках, подтверждённых на GPU-конфигурации MVP (на CPU прототипа переранжирование превышает бюджет в 2–58 раз)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Лимиты запросов — fail-closed: недоступность хранилища квот (Redis) отклоняет запросы (503 + </w:t>
            </w:r>
            <w:r>
              <w:rPr>
                <w:rFonts w:ascii="Consolas" w:hAnsi="Consolas"/>
                <w:sz w:val="19"/>
              </w:rPr>
              <w:t>Retry-After</w:t>
            </w:r>
            <w:r>
              <w:rPr>
                <w:sz w:val="19"/>
              </w:rPr>
              <w:t>), не пропускает их без учёта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ADR-019, ADR-008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Kubernetes на своём железе, отказ узла не должен останавливать сервис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ADR-004, ADR-017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Персональные данные не покидают периметр РФ (152-ФЗ) — соблюдается выбором провайдера (GigaChat/YandexGPT, управляемые API на территории РФ)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НФ6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PII-фильтрация текста неизвестного происхождения (вопрос абонента, ответ модели) — до отправки в LLM Provider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ADR-019, контекст §4.2</w:t>
            </w:r>
          </w:p>
        </w:tc>
      </w:tr>
    </w:tbl>
    <w:p/>
    <w:p>
      <w:pPr>
        <w:pStyle w:val="Heading2"/>
      </w:pPr>
      <w:r>
        <w:t>5. Границы объёма — что явно НЕ входит в MVP</w:t>
      </w:r>
    </w:p>
    <w:p>
      <w:pPr>
        <w:pStyle w:val="ListBullet"/>
      </w:pPr>
      <w:r>
        <w:rPr>
          <w:b/>
        </w:rPr>
        <w:t>Функциональный Этап 2</w:t>
      </w:r>
      <w:r>
        <w:t xml:space="preserve"> (агент, операции записи) — отдельный набор работ, начинается только после выполнения одновременно всех четырёх условий: стабильные метрики качества Этапа 1, подтверждённый бизнес-эффект, согласование ИБ, готовность интеграций. Календарной даты у перехода нет (</w:t>
      </w:r>
      <w:hyperlink r:id="rId10">
        <w:r>
          <w:rPr>
            <w:color w:val="1F5C8B"/>
            <w:u w:val="single"/>
          </w:rPr>
          <w:t>ADR-021</w:t>
        </w:r>
      </w:hyperlink>
      <w:r>
        <w:t>).</w:t>
      </w:r>
    </w:p>
    <w:p>
      <w:pPr>
        <w:pStyle w:val="ListBullet"/>
      </w:pPr>
      <w:r>
        <w:rPr>
          <w:b/>
        </w:rPr>
        <w:t>Контур «тираж»</w:t>
      </w:r>
      <w:r>
        <w:t xml:space="preserve"> (90 000 абонентов, собственная GPU-инфраструктура для генерации) — включается по триггеру (рост нагрузки, требование ИБ, деградация SLA провайдера), не по объёму MVP.</w:t>
      </w:r>
    </w:p>
    <w:p>
      <w:pPr>
        <w:pStyle w:val="ListBullet"/>
      </w:pPr>
      <w:r>
        <w:t>Официальная смета CAPEX/OPEX — по этому ТЗ подготавливается (§8, задача "смета"), но не утверждена заранее его написанием.</w:t>
      </w:r>
    </w:p>
    <w:p>
      <w:pPr>
        <w:pStyle w:val="Heading2"/>
      </w:pPr>
      <w:r>
        <w:t>6. Архитектура и технологический стек MVP</w:t>
      </w:r>
    </w:p>
    <w:p>
      <w:r>
        <w:t xml:space="preserve">Целевой стек по слоям — таблица с альтернативами в </w:t>
      </w:r>
      <w:hyperlink r:id="rId11">
        <w:r>
          <w:rPr>
            <w:color w:val="1F5C8B"/>
            <w:u w:val="single"/>
          </w:rPr>
          <w:t>ADR-017</w:t>
        </w:r>
      </w:hyperlink>
      <w:r>
        <w:t>. Сводно для MVP: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Компонент MVP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Было на прототипе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Оркестрация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Kubernetes на своём железе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docker compose</w:t>
            </w:r>
            <w:r>
              <w:rPr>
                <w:sz w:val="19"/>
              </w:rPr>
              <w:t>, один хост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Векторный поиск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Qdrant, self-hosted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Корпус в памяти процесса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Телеметрия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ClickHouse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Переранжирование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BGE-reranker-v2-m3 на GPU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Выключено (не тянет CPU-бюджет)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Секреты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Vault Agent Injector в Kubernetes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 / Vault dev-mode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Генерация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GigaChat Pro + резерв YandexGPT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YandexGPT (GigaChat недоступен без корневых сертификатов НУЦ на машине прототипа)</w:t>
            </w:r>
          </w:p>
        </w:tc>
      </w:tr>
    </w:tbl>
    <w:p/>
    <w:p>
      <w:r>
        <w:t xml:space="preserve">Диаграмма развёртывания — </w:t>
      </w:r>
      <w:hyperlink r:id="rId12">
        <w:r>
          <w:rPr>
            <w:color w:val="1F5C8B"/>
            <w:u w:val="single"/>
          </w:rPr>
          <w:t>`C4_Deployment.html`</w:t>
        </w:r>
      </w:hyperlink>
      <w:r>
        <w:t xml:space="preserve"> (рабочая, полная) и </w:t>
      </w:r>
      <w:hyperlink r:id="rId13">
        <w:r>
          <w:rPr>
            <w:color w:val="1F5C8B"/>
            <w:u w:val="single"/>
          </w:rPr>
          <w:t>`C4_Deployment_presentation.svg`</w:t>
        </w:r>
      </w:hyperlink>
      <w:r>
        <w:t xml:space="preserve"> (презентационная версия).</w:t>
      </w:r>
    </w:p>
    <w:p>
      <w:pPr>
        <w:pStyle w:val="Heading2"/>
      </w:pPr>
      <w:r>
        <w:t>7. Безопасность</w:t>
      </w:r>
    </w:p>
    <w:p>
      <w:r>
        <w:t xml:space="preserve">Полная сводка — </w:t>
      </w:r>
      <w:hyperlink r:id="rId14">
        <w:r>
          <w:rPr>
            <w:color w:val="1F5C8B"/>
            <w:u w:val="single"/>
          </w:rPr>
          <w:t>ADR-019</w:t>
        </w:r>
      </w:hyperlink>
      <w:r>
        <w:t>. Обязательные для MVP пункты:</w:t>
      </w:r>
    </w:p>
    <w:p>
      <w:pPr>
        <w:pStyle w:val="ListBullet"/>
      </w:pPr>
      <w:r>
        <w:t>Vault Agent Injector вместо переменных окружения, заданных вручную — единый источник истины, отзыв доступа без пересборки образа.</w:t>
      </w:r>
    </w:p>
    <w:p>
      <w:pPr>
        <w:pStyle w:val="ListBullet"/>
      </w:pPr>
      <w:r>
        <w:t>Наименьшие привилегии доступа к внешним системам — только через их собственные API (XML-RPC у Биллинга, REST у Диспетчерской), без прямого доступа к чужой БД.</w:t>
      </w:r>
    </w:p>
    <w:p>
      <w:pPr>
        <w:pStyle w:val="ListBullet"/>
      </w:pPr>
      <w:r>
        <w:t>Проверка TLS не отключается ни при каких обстоятельствах (по каналу идут ПДн).</w:t>
      </w:r>
    </w:p>
    <w:p>
      <w:pPr>
        <w:pStyle w:val="ListBullet"/>
      </w:pPr>
      <w:r>
        <w:t>SSO-интеграция с Платформой ЛК — заменяет метаданные демо-стенда (Ф8 выше).</w:t>
      </w:r>
    </w:p>
    <w:p>
      <w:pPr>
        <w:pStyle w:val="Heading2"/>
      </w:pPr>
      <w:r>
        <w:t>8. Состав работ и оценка (переход прототип → MVP)</w:t>
      </w:r>
    </w:p>
    <w:p>
      <w:r>
        <w:t xml:space="preserve">Источник — </w:t>
      </w:r>
      <w:hyperlink r:id="rId10">
        <w:r>
          <w:rPr>
            <w:color w:val="1F5C8B"/>
            <w:u w:val="single"/>
          </w:rPr>
          <w:t>ADR-021</w:t>
        </w:r>
      </w:hyperlink>
      <w:r>
        <w:t>, раздел «Переход прототип → MVP». Приведено без изменений по существу, только как чек-лист ТЗ: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Оценка разработки</w:t>
            </w:r>
          </w:p>
        </w:tc>
        <w:tc>
          <w:tcPr>
            <w:tcW w:type="dxa" w:w="2880"/>
            <w:shd w:val="clear" w:fill="16324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Вне контроля команды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P0: смета CAPEX/OPEX, расчёт NFR, подтверждение допущений о нагрузке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1,5–2 недели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Цены поставщика, статистика ЛК и колл-центра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Согласования с владельцами систем (коды типов обращений, текст о качестве воды, бланки, сигнатуры внешних API)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1–2 дня на пункт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Скорость ответа водоканала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Качество поиска и классификации (Golden Set, e5-small/BGE-M3, устранение ложных срабатываний)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2–3 недели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Корпус для 9 оставшихся типов </w:t>
            </w:r>
            <w:r>
              <w:rPr>
                <w:rFonts w:ascii="Consolas" w:hAnsi="Consolas"/>
                <w:sz w:val="19"/>
              </w:rPr>
              <w:t>InquiryType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Реальные интеграции (Биллинг, SSO ЛК, микросервис обращений)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входит в объём Ф6–Ф8 выше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Сигнатуры и готовность внешних API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Документация и согласование ИБ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1–1,5 недели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Согласование службы ИБ водоканала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Итого разработка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≈9–13 недель (≈2–3 месяца)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Календарный срок может быть больше — три блока зависят от внешних сторон</w:t>
            </w:r>
          </w:p>
        </w:tc>
      </w:tr>
    </w:tbl>
    <w:p/>
    <w:p>
      <w:pPr>
        <w:pStyle w:val="Heading2"/>
      </w:pPr>
      <w:r>
        <w:t>9. Ресурсы и стоимость MVP (прогнозная модель)</w:t>
      </w:r>
    </w:p>
    <w:p>
      <w:r>
        <w:t xml:space="preserve">Полный расчёт — </w:t>
      </w:r>
      <w:hyperlink r:id="rId15">
        <w:r>
          <w:rPr>
            <w:color w:val="1F5C8B"/>
            <w:u w:val="single"/>
          </w:rPr>
          <w:t>ADR-020</w:t>
        </w:r>
      </w:hyperlink>
      <w:r>
        <w:t>. Ключевые цифры для ТЗ:</w:t>
      </w:r>
    </w:p>
    <w:p>
      <w:pPr>
        <w:pStyle w:val="ListBullet"/>
      </w:pPr>
      <w:r>
        <w:t>Инфраструктура: Kubernetes-кластер + GPU-пул под эмбеддинги/переранжирование (сам GPU-сервер отдельной строкой сметы не оценён).</w:t>
      </w:r>
    </w:p>
    <w:p>
      <w:pPr>
        <w:pStyle w:val="ListBullet"/>
      </w:pPr>
      <w:r>
        <w:t>Токены генерации при 8 000 абонентах: ≈150 ₽/мес (базовый сценарий 10% визитов через AI-чат) до ≈1 700 ₽/мес (максимальное вовлечение 50%) — на порядки меньше стоимости инфраструктуры.</w:t>
      </w:r>
    </w:p>
    <w:p>
      <w:pPr>
        <w:pStyle w:val="ListBullet"/>
      </w:pPr>
      <w:r>
        <w:rPr>
          <w:b/>
        </w:rPr>
        <w:t>Официальная смета CAPEX/OPEX не утверждена владельцем — открытый пункт P0 №1 проекта.</w:t>
      </w:r>
      <w:r>
        <w:t xml:space="preserve"> Числа выше требуют защиты перед финальным утверждением.</w:t>
      </w:r>
    </w:p>
    <w:p>
      <w:pPr>
        <w:pStyle w:val="Heading2"/>
      </w:pPr>
      <w:r>
        <w:t>10. Критерии приёмки MVP (Definition of Done)</w:t>
      </w:r>
    </w:p>
    <w:p>
      <w:r>
        <w:t>MVP считается принятым, когда одновременно выполнено:</w:t>
      </w:r>
    </w:p>
    <w:p>
      <w:pPr>
        <w:pStyle w:val="ListNumber"/>
      </w:pPr>
      <w:r>
        <w:t>Все шесть путей ответа (§3, Ф1) работают в production-контуре на реальном трафике абонентов, не на демо-стенде.</w:t>
      </w:r>
    </w:p>
    <w:p>
      <w:pPr>
        <w:pStyle w:val="ListNumber"/>
      </w:pPr>
      <w:r>
        <w:t>Реальные интеграции подключены (Ф6–Ф8) — Биллинг, SSO ЛК, микросервис обращений; временные замены прототипа (прямая запись в Postgres, метаданные демо-стенда) выведены из эксплуатации.</w:t>
      </w:r>
    </w:p>
    <w:p>
      <w:pPr>
        <w:pStyle w:val="ListNumber"/>
      </w:pPr>
      <w:r>
        <w:t>NFR (TTFT, P99) измерены на целевой GPU-конфигурации и подтверждены в рамках бюджета (НФ1, НФ2).</w:t>
      </w:r>
    </w:p>
    <w:p>
      <w:pPr>
        <w:pStyle w:val="ListNumber"/>
      </w:pPr>
      <w:r>
        <w:t>Смета CAPEX/OPEX утверждена владельцем продукта (закрывает P0 №1).</w:t>
      </w:r>
    </w:p>
    <w:p>
      <w:pPr>
        <w:pStyle w:val="ListNumber"/>
      </w:pPr>
      <w:r>
        <w:t>Чек-лист безопасности §7 закрыт, включая согласование с ИБ перечня триггеров self-hosted-перехода.</w:t>
      </w:r>
    </w:p>
    <w:p>
      <w:pPr>
        <w:pStyle w:val="ListNumber"/>
      </w:pPr>
      <w:r>
        <w:t xml:space="preserve">Диаграммы C1–C3 и </w:t>
      </w:r>
      <w:r>
        <w:rPr>
          <w:rFonts w:ascii="Consolas" w:hAnsi="Consolas"/>
          <w:sz w:val="20"/>
        </w:rPr>
        <w:t>C4_Deployment.html</w:t>
      </w:r>
      <w:r>
        <w:t xml:space="preserve"> синхронизированы с фактическим состоянием (условие приёмки ADR-016 переносится на состояние MVP).</w:t>
      </w:r>
    </w:p>
    <w:p>
      <w:pPr>
        <w:pStyle w:val="Heading2"/>
      </w:pPr>
      <w:r>
        <w:t>11. Риски и зависимости</w:t>
      </w:r>
    </w:p>
    <w:p>
      <w:r>
        <w:t>Оба ключевых блока работы (§8, §5) содержат этапы вне контроля команды разработки: сроки ответа водоканала (согласования, статистика нагрузки, сигнатуры внешних API), сроки поставщика (цены на коммерческое предложение, лид-тайм оборудования), сроки службы ИБ (согласование архитектуры безопасности). Календарный срок раздела 8 — нижняя граница при условии, что эти блокеры не задерживают начало соответствующей работы.</w:t>
      </w:r>
    </w:p>
    <w:p>
      <w:pPr>
        <w:pStyle w:val="Heading2"/>
      </w:pPr>
      <w:r>
        <w:t>12. Источники</w:t>
      </w:r>
    </w:p>
    <w:p>
      <w:r>
        <w:rPr>
          <w:rFonts w:ascii="Consolas" w:hAnsi="Consolas"/>
          <w:sz w:val="20"/>
        </w:rPr>
        <w:t>AI_docs/Сдача/ADR-016</w:t>
      </w:r>
      <w:r>
        <w:t xml:space="preserve"> (объём и ограничения), </w:t>
      </w:r>
      <w:r>
        <w:rPr>
          <w:rFonts w:ascii="Consolas" w:hAnsi="Consolas"/>
          <w:sz w:val="20"/>
        </w:rPr>
        <w:t>ADR-017</w:t>
      </w:r>
      <w:r>
        <w:t xml:space="preserve"> (стек), </w:t>
      </w:r>
      <w:r>
        <w:rPr>
          <w:rFonts w:ascii="Consolas" w:hAnsi="Consolas"/>
          <w:sz w:val="20"/>
        </w:rPr>
        <w:t>ADR-018</w:t>
      </w:r>
      <w:r>
        <w:t xml:space="preserve"> (модели), </w:t>
      </w:r>
      <w:r>
        <w:rPr>
          <w:rFonts w:ascii="Consolas" w:hAnsi="Consolas"/>
          <w:sz w:val="20"/>
        </w:rPr>
        <w:t>ADR-019</w:t>
      </w:r>
      <w:r>
        <w:t xml:space="preserve"> (безопасность), </w:t>
      </w:r>
      <w:r>
        <w:rPr>
          <w:rFonts w:ascii="Consolas" w:hAnsi="Consolas"/>
          <w:sz w:val="20"/>
        </w:rPr>
        <w:t>ADR-020</w:t>
      </w:r>
      <w:r>
        <w:t xml:space="preserve"> (ресурсы и стоимость), </w:t>
      </w:r>
      <w:r>
        <w:rPr>
          <w:rFonts w:ascii="Consolas" w:hAnsi="Consolas"/>
          <w:sz w:val="20"/>
        </w:rPr>
        <w:t>ADR-021</w:t>
      </w:r>
      <w:r>
        <w:t xml:space="preserve"> (дорожная карта); </w:t>
      </w:r>
      <w:r>
        <w:rPr>
          <w:rFonts w:ascii="Consolas" w:hAnsi="Consolas"/>
          <w:sz w:val="20"/>
        </w:rPr>
        <w:t>AI_docs/TODO.md</w:t>
      </w:r>
      <w:r>
        <w:t xml:space="preserve"> (полный список открытых задач, единственный источник актуального статуса); </w:t>
      </w:r>
      <w:r>
        <w:rPr>
          <w:rFonts w:ascii="Consolas" w:hAnsi="Consolas"/>
          <w:sz w:val="20"/>
        </w:rPr>
        <w:t>контекст_4.md</w:t>
      </w:r>
      <w:r>
        <w:t xml:space="preserve"> (бизнес-цели, правила</w:t>
      </w:r>
    </w:p>
    <w:p>
      <w:r>
        <w:t xml:space="preserve">4.2/4.7); </w:t>
      </w:r>
      <w:r>
        <w:rPr>
          <w:rFonts w:ascii="Consolas" w:hAnsi="Consolas"/>
          <w:sz w:val="20"/>
        </w:rPr>
        <w:t>AI_docs/ADR/ADR-002…015</w:t>
      </w:r>
      <w:r>
        <w:t xml:space="preserve"> (детальные решения).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C8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DR-016-scope-and-limitations.md" TargetMode="External"/><Relationship Id="rId10" Type="http://schemas.openxmlformats.org/officeDocument/2006/relationships/hyperlink" Target="ADR-021-roadmap-and-migration.md" TargetMode="External"/><Relationship Id="rId11" Type="http://schemas.openxmlformats.org/officeDocument/2006/relationships/hyperlink" Target="ADR-017-tech-stack-by-stage.md" TargetMode="External"/><Relationship Id="rId12" Type="http://schemas.openxmlformats.org/officeDocument/2006/relationships/hyperlink" Target="../C4_Deployment.html" TargetMode="External"/><Relationship Id="rId13" Type="http://schemas.openxmlformats.org/officeDocument/2006/relationships/hyperlink" Target="../C4_Deployment_presentation.svg" TargetMode="External"/><Relationship Id="rId14" Type="http://schemas.openxmlformats.org/officeDocument/2006/relationships/hyperlink" Target="ADR-019-security-by-stage.md" TargetMode="External"/><Relationship Id="rId15" Type="http://schemas.openxmlformats.org/officeDocument/2006/relationships/hyperlink" Target="ADR-020-resources-and-cos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