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ТЗ-002: Разработка AI-виджета в Личном кабинете абонента водоканала</w:t>
      </w:r>
    </w:p>
    <w:p>
      <w:r>
        <w:rPr>
          <w:i/>
        </w:rPr>
        <w:t>Статус: draft    Дата: 2026-09-16</w:t>
      </w:r>
    </w:p>
    <w:p>
      <w:r>
        <w:rPr>
          <w:i/>
        </w:rPr>
        <w:t>техническое задание на разработку AI-виджета в Личном кабинете абонента — бизнес-требования к функционалу</w:t>
      </w:r>
    </w:p>
    <w:p/>
    <w:p>
      <w:pPr>
        <w:pStyle w:val="Heading2"/>
      </w:pPr>
      <w:r>
        <w:t>0. Статус и основание</w:t>
      </w:r>
    </w:p>
    <w:p>
      <w:r>
        <w:rPr>
          <w:b/>
        </w:rPr>
        <w:t>Draft</w:t>
      </w:r>
      <w:r>
        <w:t xml:space="preserve"> — черновик для согласования с владельцем продукта, не утверждённый документ. Составлен на основании принятых архитектурных решений: </w:t>
      </w:r>
      <w:r>
        <w:rPr>
          <w:rFonts w:ascii="Consolas" w:hAnsi="Consolas"/>
          <w:sz w:val="20"/>
        </w:rPr>
        <w:t>контекст_4.md</w:t>
      </w:r>
      <w:r>
        <w:t xml:space="preserve"> (правила 4.3, 4.4, 4.7; раздел 7 — API-контракт; раздел 18 — DoD Этапа 1), диаграммы компонентов </w:t>
      </w:r>
      <w:hyperlink r:id="rId9">
        <w:r>
          <w:rPr>
            <w:color w:val="1F5C8B"/>
            <w:u w:val="single"/>
          </w:rPr>
          <w:t>`C4_L3_Widget.drawio`</w:t>
        </w:r>
      </w:hyperlink>
      <w:r>
        <w:t xml:space="preserve"> и пакета </w:t>
      </w:r>
      <w:hyperlink r:id="rId10">
        <w:r>
          <w:rPr>
            <w:color w:val="1F5C8B"/>
            <w:u w:val="single"/>
          </w:rPr>
          <w:t>ТЗ-001</w:t>
        </w:r>
      </w:hyperlink>
      <w:r>
        <w:t xml:space="preserve"> (реализация MVP целиком). Числа сроков — не даны там, где источник проекта их не содержит (см. §9) — это не оценка «на глаз», а честное отсутствие данных до решения открытого вопроса §6.</w:t>
      </w:r>
    </w:p>
    <w:p>
      <w:pPr>
        <w:pStyle w:val="Heading2"/>
      </w:pPr>
      <w:r>
        <w:t>1. Назначение и бизнес-цели</w:t>
      </w:r>
    </w:p>
    <w:p>
      <w:r>
        <w:t xml:space="preserve">AI-виджет — единственная точка контакта абонента с AI-помощником: элемент интерфейса, встраиваемый в уже существующий Личный кабинет, а не отдельное приложение. Конечный пользователь виджета — </w:t>
      </w:r>
      <w:r>
        <w:rPr>
          <w:b/>
        </w:rPr>
        <w:t>только абонент</w:t>
      </w:r>
      <w:r>
        <w:t>; у операторов колл-центра и внутренних сотрудников своего чат-интерфейса нет.</w:t>
      </w:r>
    </w:p>
    <w:p>
      <w:r>
        <w:t>Бизнес-цели, которые виджет обязан обеспечивать на уровне UI/UX (те же цели проекта, в проекции на интерфейс):</w:t>
      </w:r>
    </w:p>
    <w:p>
      <w:pPr>
        <w:pStyle w:val="ListBullet"/>
      </w:pPr>
      <w:r>
        <w:t>абонент получает ответ на вопрос без обращения к оператору — экономия времени поиска;</w:t>
      </w:r>
    </w:p>
    <w:p>
      <w:pPr>
        <w:pStyle w:val="ListBullet"/>
      </w:pPr>
      <w:r>
        <w:t>абонент понимает, какое обращение выбрать и как его заполнить — снижение доли неверно оформленных обращений;</w:t>
      </w:r>
    </w:p>
    <w:p>
      <w:pPr>
        <w:pStyle w:val="ListBullet"/>
      </w:pPr>
      <w:r>
        <w:t>абонент видит, что делать после отправки (</w:t>
      </w:r>
      <w:r>
        <w:rPr>
          <w:rFonts w:ascii="Consolas" w:hAnsi="Consolas"/>
          <w:sz w:val="20"/>
        </w:rPr>
        <w:t>suggested_actions</w:t>
      </w:r>
      <w:r>
        <w:t>) — снижение повторных обращений;</w:t>
      </w:r>
    </w:p>
    <w:p>
      <w:pPr>
        <w:pStyle w:val="ListBullet"/>
      </w:pPr>
      <w:r>
        <w:t>диалог ощущается как живой ответ, а не задержка загрузки страницы — поток печатается по мере генерации (правило 4.3).</w:t>
      </w:r>
    </w:p>
    <w:p>
      <w:pPr>
        <w:pStyle w:val="Heading2"/>
      </w:pPr>
      <w:r>
        <w:t>2. Пользователь и сценарии использования</w:t>
      </w:r>
    </w:p>
    <w:p>
      <w:r>
        <w:rPr>
          <w:b/>
        </w:rPr>
        <w:t>Единственный пользователь — абонент</w:t>
      </w:r>
      <w:r>
        <w:t>, уже аутентифицированный в Личном кабинете (виджет не имеет собственного экрана входа — использует SSO-сессию ЛК, §7).</w:t>
      </w:r>
    </w:p>
    <w:p>
      <w:r>
        <w:t>Сценарии Этапа 1 (объём этого ТЗ, см. §8):</w:t>
      </w:r>
    </w:p>
    <w:p>
      <w:pPr>
        <w:pStyle w:val="ListNumber"/>
      </w:pPr>
      <w:r>
        <w:t>Абонент задаёт вопрос → видит потоковый ответ с источниками, оценкой уверенности и рекомендуемыми следующими действиями.</w:t>
      </w:r>
    </w:p>
    <w:p>
      <w:pPr>
        <w:pStyle w:val="ListNumber"/>
      </w:pPr>
      <w:r>
        <w:t xml:space="preserve">Абонент выбирает готовое действие из </w:t>
      </w:r>
      <w:r>
        <w:rPr>
          <w:rFonts w:ascii="Consolas" w:hAnsi="Consolas"/>
          <w:sz w:val="20"/>
        </w:rPr>
        <w:t>suggested_actions</w:t>
      </w:r>
      <w:r>
        <w:t xml:space="preserve"> → отправляется новый запрос с учётом выбора.</w:t>
      </w:r>
    </w:p>
    <w:p>
      <w:pPr>
        <w:pStyle w:val="ListNumber"/>
      </w:pPr>
      <w:r>
        <w:t>Ответа нет или уверенность низкая → абонент видит понятный fallback-текст, а не пустой экран или техническую ошибку.</w:t>
      </w:r>
    </w:p>
    <w:p>
      <w:r>
        <w:t xml:space="preserve">Сценарии функционального Этапа 2 (архитектурно заложены в компонент виджета, но не активируются, пока Этап 2 не пройдёт stage-gate — см. </w:t>
      </w:r>
      <w:hyperlink r:id="rId11">
        <w:r>
          <w:rPr>
            <w:color w:val="1F5C8B"/>
            <w:u w:val="single"/>
          </w:rPr>
          <w:t>ADR-016</w:t>
        </w:r>
      </w:hyperlink>
      <w:r>
        <w:t>):</w:t>
      </w:r>
    </w:p>
    <w:p>
      <w:pPr>
        <w:pStyle w:val="ListNumber"/>
      </w:pPr>
      <w:r>
        <w:t>Абонент запрашивает операцию записи (заявка, показания, документ) → видит черновик и подтверждает или отклоняет его (HITL, правило 4.7) → при подтверждении видит готовый документ/результат.</w:t>
      </w:r>
    </w:p>
    <w:p>
      <w:pPr>
        <w:pStyle w:val="Heading2"/>
      </w:pPr>
      <w:r>
        <w:t>3. Место виджета в архитектуре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32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Контейнер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AI-виджет в ЛК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Технология (целевая)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React / TypeScript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Точка встраивания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Существующий Личный кабинет абонента (Платформа ЛК — внешняя система, не часть этого ТЗ)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С кем общается напрямую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API Gateway / Backend — </w:t>
            </w:r>
            <w:r>
              <w:rPr>
                <w:rFonts w:ascii="Consolas" w:hAnsi="Consolas"/>
                <w:sz w:val="19"/>
              </w:rPr>
              <w:t>POST /v1/generate</w:t>
            </w:r>
            <w:r>
              <w:rPr>
                <w:sz w:val="19"/>
              </w:rPr>
              <w:t>, SSE-поток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С кем НЕ общается напрямую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LLM Provider, Vector DB, Биллинг — всё через Backend; виджет не хранит и не обрабатывает бизнес-логику, только отображает и собирает подтверждения</w:t>
            </w:r>
          </w:p>
        </w:tc>
      </w:tr>
    </w:tbl>
    <w:p/>
    <w:p>
      <w:r>
        <w:t xml:space="preserve">Виджет не вводит новых контейнеров на уровне C2 — контракт с Backend уже зафиксирован (раздел 7 контекста, </w:t>
      </w:r>
      <w:hyperlink r:id="rId10">
        <w:r>
          <w:rPr>
            <w:color w:val="1F5C8B"/>
            <w:u w:val="single"/>
          </w:rPr>
          <w:t>ТЗ-001</w:t>
        </w:r>
      </w:hyperlink>
      <w:r>
        <w:t xml:space="preserve"> §6).</w:t>
      </w:r>
    </w:p>
    <w:p>
      <w:pPr>
        <w:pStyle w:val="Heading2"/>
      </w:pPr>
      <w:r>
        <w:t>4. Функциональные требования к виджету</w:t>
      </w:r>
    </w:p>
    <w:p>
      <w:r>
        <w:t xml:space="preserve">Состав — четыре компонента, зафиксированные на </w:t>
      </w:r>
      <w:hyperlink r:id="rId9">
        <w:r>
          <w:rPr>
            <w:color w:val="1F5C8B"/>
            <w:u w:val="single"/>
          </w:rPr>
          <w:t>`C4_L3_Widget`</w:t>
        </w:r>
      </w:hyperlink>
      <w:r>
        <w:t>. Ниже — требования к каждому в терминах бизнес-функционала, не реализации.</w:t>
      </w:r>
    </w:p>
    <w:p>
      <w:pPr>
        <w:pStyle w:val="Heading3"/>
      </w:pPr>
      <w:r>
        <w:t>4.1. Widget Shell / Session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432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Виджет монтируется в существующую страницу ЛК, не открывает отдельный маршрут/окно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Получает </w:t>
            </w:r>
            <w:r>
              <w:rPr>
                <w:rFonts w:ascii="Consolas" w:hAnsi="Consolas"/>
                <w:sz w:val="19"/>
              </w:rPr>
              <w:t>subscriber_id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session_id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channel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lk_web</w:t>
            </w:r>
            <w:r>
              <w:rPr>
                <w:sz w:val="19"/>
              </w:rPr>
              <w:t xml:space="preserve"> \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Эти метаданные обязательны в каждом запросе к Backend — без них аудит и квоты (раздел 7.2 контекста) не работают</w:t>
            </w:r>
          </w:p>
        </w:tc>
      </w:tr>
    </w:tbl>
    <w:p/>
    <w:p>
      <w:pPr>
        <w:pStyle w:val="Heading3"/>
      </w:pPr>
      <w:r>
        <w:t>4.2. Transport (канал обмена с 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432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Запрос — </w:t>
            </w:r>
            <w:r>
              <w:rPr>
                <w:rFonts w:ascii="Consolas" w:hAnsi="Consolas"/>
                <w:sz w:val="19"/>
              </w:rPr>
              <w:t>POST /v1/generate</w:t>
            </w:r>
            <w:r>
              <w:rPr>
                <w:sz w:val="19"/>
              </w:rPr>
              <w:t xml:space="preserve"> с </w:t>
            </w:r>
            <w:r>
              <w:rPr>
                <w:rFonts w:ascii="Consolas" w:hAnsi="Consolas"/>
                <w:sz w:val="19"/>
              </w:rPr>
              <w:t>stream:true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Ответ читается как поток SSE: </w:t>
            </w:r>
            <w:r>
              <w:rPr>
                <w:rFonts w:ascii="Consolas" w:hAnsi="Consolas"/>
                <w:sz w:val="19"/>
              </w:rPr>
              <w:t>token</w:t>
            </w:r>
            <w:r>
              <w:rPr>
                <w:sz w:val="19"/>
              </w:rPr>
              <w:t xml:space="preserve"> (печатать по мере поступления), </w:t>
            </w:r>
            <w:r>
              <w:rPr>
                <w:rFonts w:ascii="Consolas" w:hAnsi="Consolas"/>
                <w:sz w:val="19"/>
              </w:rPr>
              <w:t>metadata</w:t>
            </w:r>
            <w:r>
              <w:rPr>
                <w:sz w:val="19"/>
              </w:rPr>
              <w:t xml:space="preserve"> (источники, оценка уверенности, кнопки действий), </w:t>
            </w:r>
            <w:r>
              <w:rPr>
                <w:rFonts w:ascii="Consolas" w:hAnsi="Consolas"/>
                <w:sz w:val="19"/>
              </w:rPr>
              <w:t>done</w:t>
            </w:r>
            <w:r>
              <w:rPr>
                <w:sz w:val="19"/>
              </w:rPr>
              <w:t xml:space="preserve"> (поток завершён), </w:t>
            </w:r>
            <w:r>
              <w:rPr>
                <w:rFonts w:ascii="Consolas" w:hAnsi="Consolas"/>
                <w:sz w:val="19"/>
              </w:rP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Ошибки — понятное сообщение абоненту на основе </w:t>
            </w:r>
            <w:r>
              <w:rPr>
                <w:rFonts w:ascii="Consolas" w:hAnsi="Consolas"/>
                <w:sz w:val="19"/>
              </w:rPr>
              <w:t>type/title/detail</w:t>
            </w:r>
            <w:r>
              <w:rPr>
                <w:sz w:val="19"/>
              </w:rPr>
              <w:t xml:space="preserve"> (RFC 7807), не техническая заглушка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При ответе 429 (превышена квота) — повтор с учётом заголовка </w:t>
            </w:r>
            <w:r>
              <w:rPr>
                <w:rFonts w:ascii="Consolas" w:hAnsi="Consolas"/>
                <w:sz w:val="19"/>
              </w:rPr>
              <w:t>Retry-After</w:t>
            </w:r>
            <w:r>
              <w:rPr>
                <w:sz w:val="19"/>
              </w:rPr>
              <w:t>, не мгновенный повтор и не бесконечный retry</w:t>
            </w:r>
          </w:p>
        </w:tc>
      </w:tr>
    </w:tbl>
    <w:p/>
    <w:p>
      <w:pPr>
        <w:pStyle w:val="Heading3"/>
      </w:pPr>
      <w:r>
        <w:t>4.3. Chat View (лента диалога)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432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Ответ печатается по мере поступления токенов (правило 4.3) — абонент видит, что система отвечает, а не ждёт готовый текст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Индикатор набора (typing indicator) во время ожидания первого токена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В10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История диалога видна абоненту в пределах сессии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В11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По завершении ответа показываются: источники, </w:t>
            </w:r>
            <w:r>
              <w:rPr>
                <w:rFonts w:ascii="Consolas" w:hAnsi="Consolas"/>
                <w:sz w:val="19"/>
              </w:rPr>
              <w:t>confidence_score</w:t>
            </w:r>
            <w:r>
              <w:rPr>
                <w:sz w:val="19"/>
              </w:rPr>
              <w:t>, disclaimer (обязательное условие DoD Этапа 1, §10)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В12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Кнопки </w:t>
            </w:r>
            <w:r>
              <w:rPr>
                <w:rFonts w:ascii="Consolas" w:hAnsi="Consolas"/>
                <w:sz w:val="19"/>
              </w:rPr>
              <w:t>suggested_actions</w:t>
            </w:r>
            <w:r>
              <w:rPr>
                <w:sz w:val="19"/>
              </w:rPr>
              <w:t xml:space="preserve"> — абонент может продолжить диалог выбором готового действия, не только свободным текстом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В13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Панель готового бланка (</w:t>
            </w:r>
            <w:r>
              <w:rPr>
                <w:rFonts w:ascii="Consolas" w:hAnsi="Consolas"/>
                <w:sz w:val="19"/>
              </w:rPr>
              <w:t>document_url</w:t>
            </w:r>
            <w:r>
              <w:rPr>
                <w:sz w:val="19"/>
              </w:rPr>
              <w:t>) — когда путь ответа выдаёт документ на печать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В14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Черновик ввода абонента хранится только в памяти интерфейса — не кэшируется и не сохраняется локально (персональные данные абонента не должны оседать в браузере)</w:t>
            </w:r>
          </w:p>
        </w:tc>
      </w:tr>
    </w:tbl>
    <w:p/>
    <w:p>
      <w:pPr>
        <w:pStyle w:val="Heading3"/>
      </w:pPr>
      <w:r>
        <w:t>4.4. Блок Этапа 2 (архитектурно заложен, не включается на MVP Этапа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Когда активируется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Confirmation Dialog — черновик операции + явные кнопки «подтвердить» / «отклонить» (HITL-гейт, правило 4.7)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Только с функциональным Этапом 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В16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Panel — готовый документ/результат после подтверждения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Только с функциональным Этапом 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В17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Slot Form — сбор недостающих обязательных полей, когда они не закрыты профилем Биллинга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Только с функциональным Этапом 2</w:t>
            </w:r>
          </w:p>
        </w:tc>
      </w:tr>
    </w:tbl>
    <w:p/>
    <w:p>
      <w:r>
        <w:rPr>
          <w:b/>
        </w:rPr>
        <w:t>Важно для планирования разработки:</w:t>
      </w:r>
      <w:r>
        <w:t xml:space="preserve"> эти три состояния стоит проектировать в интерфейсе виджета уже на MVP (чтобы не переделывать компонент при включении Этапа 2), но их видимость и активность в проде — под функциональным флагом, синхронным со stage-gate Этапа 2 (</w:t>
      </w:r>
      <w:hyperlink r:id="rId11">
        <w:r>
          <w:rPr>
            <w:color w:val="1F5C8B"/>
            <w:u w:val="single"/>
          </w:rPr>
          <w:t>ADR-016</w:t>
        </w:r>
      </w:hyperlink>
      <w:r>
        <w:t>).</w:t>
      </w:r>
    </w:p>
    <w:p>
      <w:pPr>
        <w:pStyle w:val="Heading2"/>
      </w:pPr>
      <w:r>
        <w:t>5.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Источник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НФ1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TTFT (время до первого токена) &lt; 500 мс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контекст §18, DoD Этапа 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НФ2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Полный ответ &lt; 3 сек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контекст §18, DoD Этапа 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НФ3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Поток обязан доходить до виджета целиком — без буферизации всего ответа на промежуточном слое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правило 4.3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НФ4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Персональные данные абонента не кэшируются в браузере (черновик ввода, история)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В14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НФ5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Понятная деградация при ошибке backend/LLM — сообщение по схеме RFC 7807, не пустой экран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В6, контекст §18</w:t>
            </w:r>
          </w:p>
        </w:tc>
      </w:tr>
    </w:tbl>
    <w:p/>
    <w:p>
      <w:r>
        <w:rPr>
          <w:b/>
        </w:rPr>
        <w:t>Оговорка источника.</w:t>
      </w:r>
      <w:r>
        <w:t xml:space="preserve"> Цифры НФ1–НФ2 в самом контексте помечены как не подкреплённые расчётом производительности под конкретную инфраструктуру MVP — открытый пункт, закрывается НФ1 из </w:t>
      </w:r>
      <w:hyperlink r:id="rId10">
        <w:r>
          <w:rPr>
            <w:color w:val="1F5C8B"/>
            <w:u w:val="single"/>
          </w:rPr>
          <w:t>ТЗ-001</w:t>
        </w:r>
      </w:hyperlink>
      <w:r>
        <w:t xml:space="preserve"> §4.</w:t>
      </w:r>
    </w:p>
    <w:p>
      <w:pPr>
        <w:pStyle w:val="Heading2"/>
      </w:pPr>
      <w:r>
        <w:t>6. Открытый вопрос, критичный для начала разработки: способ встраивания</w:t>
      </w:r>
    </w:p>
    <w:p>
      <w:r>
        <w:rPr>
          <w:b/>
        </w:rPr>
        <w:t>Не выбран</w:t>
      </w:r>
      <w:r>
        <w:t xml:space="preserve"> ни один из трёх вариантов — раздел 16 контекста фиксирует это явно как открытый вопрос: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Вариант</w:t>
            </w:r>
          </w:p>
        </w:tc>
        <w:tc>
          <w:tcPr>
            <w:tcW w:type="dxa" w:w="432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Что затрагивает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Widget (React-компонент внутри существующего фронтенда ЛК)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Общий бандл, общий DOM — минимум изоляции, максимум интеграции с существующим стилем и SSO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iframe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Полная изоляция стилей и рантайма ценой сложности передачи SSO-сессии и document-высоты; собственный CSP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Micro-frontend (Module Federation и т.п.)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Независимый деплой виджета от релизного цикла ЛК, но требует согласования со стеком/версией существующего фронтенда ЛК</w:t>
            </w:r>
          </w:p>
        </w:tc>
      </w:tr>
    </w:tbl>
    <w:p/>
    <w:p>
      <w:r>
        <w:rPr>
          <w:b/>
        </w:rPr>
        <w:t>Это решение блокирует старт разработки виджета</w:t>
      </w:r>
      <w:r>
        <w:t>, а не деталь реализации: от него зависят изоляция стилей, способ передачи SSO-сессии (В2), политика CSP и то, на каком фронтенд-стеке фактически пишется ЛК (не задокументирован в этом проекте — внешняя система). Решение принимает владелец продукта совместно с командой, отвечающей за Личный кабинет, до начала работ по этому ТЗ.</w:t>
      </w:r>
    </w:p>
    <w:p>
      <w:pPr>
        <w:pStyle w:val="Heading2"/>
      </w:pPr>
      <w:r>
        <w:t>7. Интеграция с Платформой ЛК</w:t>
      </w:r>
    </w:p>
    <w:p>
      <w:r>
        <w:t xml:space="preserve">Платформа ЛК — внешняя система по отношению к этому проекту (диаграмма </w:t>
      </w:r>
      <w:r>
        <w:rPr>
          <w:rFonts w:ascii="Consolas" w:hAnsi="Consolas"/>
          <w:sz w:val="20"/>
        </w:rPr>
        <w:t>C4_L3_Widget</w:t>
      </w:r>
      <w:r>
        <w:t>). Обязанности на стороне ЛК, не входящие в разработку виджета, но блокирующие её:</w:t>
      </w:r>
    </w:p>
    <w:p>
      <w:pPr>
        <w:pStyle w:val="ListBullet"/>
      </w:pPr>
      <w:r>
        <w:t xml:space="preserve">предоставить SSO-сессию, из которой виджет получает </w:t>
      </w:r>
      <w:r>
        <w:rPr>
          <w:rFonts w:ascii="Consolas" w:hAnsi="Consolas"/>
          <w:sz w:val="20"/>
        </w:rPr>
        <w:t>subscriber_id</w:t>
      </w:r>
      <w:r>
        <w:t xml:space="preserve">, </w:t>
      </w:r>
      <w:r>
        <w:rPr>
          <w:rFonts w:ascii="Consolas" w:hAnsi="Consolas"/>
          <w:sz w:val="20"/>
        </w:rPr>
        <w:t>session_id</w:t>
      </w:r>
      <w:r>
        <w:t>;</w:t>
      </w:r>
    </w:p>
    <w:p>
      <w:pPr>
        <w:pStyle w:val="ListBullet"/>
      </w:pPr>
      <w:r>
        <w:t>определить и согласовать точку встраивания (см. §6);</w:t>
      </w:r>
    </w:p>
    <w:p>
      <w:pPr>
        <w:pStyle w:val="ListBullet"/>
      </w:pPr>
      <w:r>
        <w:t xml:space="preserve">подтвердить </w:t>
      </w:r>
      <w:r>
        <w:rPr>
          <w:rFonts w:ascii="Consolas" w:hAnsi="Consolas"/>
          <w:sz w:val="20"/>
        </w:rPr>
        <w:t>channel</w:t>
      </w:r>
      <w:r>
        <w:t xml:space="preserve"> — </w:t>
      </w:r>
      <w:r>
        <w:rPr>
          <w:rFonts w:ascii="Consolas" w:hAnsi="Consolas"/>
          <w:sz w:val="20"/>
        </w:rPr>
        <w:t>lk_web</w:t>
      </w:r>
      <w:r>
        <w:t xml:space="preserve"> и/или </w:t>
      </w:r>
      <w:r>
        <w:rPr>
          <w:rFonts w:ascii="Consolas" w:hAnsi="Consolas"/>
          <w:sz w:val="20"/>
        </w:rPr>
        <w:t>lk_mobile</w:t>
      </w:r>
      <w:r>
        <w:t>, если мобильная версия ЛК тоже получает виджет на MVP.</w:t>
      </w:r>
    </w:p>
    <w:p>
      <w:pPr>
        <w:pStyle w:val="Heading2"/>
      </w:pPr>
      <w:r>
        <w:t>8. Границы объёма — что явно НЕ входит в это ТЗ</w:t>
      </w:r>
    </w:p>
    <w:p>
      <w:pPr>
        <w:pStyle w:val="ListBullet"/>
      </w:pPr>
      <w:r>
        <w:t xml:space="preserve">Реализация Backend, LLM Gateway, поиска по базе знаний — отдельный объём, описан в </w:t>
      </w:r>
      <w:hyperlink r:id="rId10">
        <w:r>
          <w:rPr>
            <w:color w:val="1F5C8B"/>
            <w:u w:val="single"/>
          </w:rPr>
          <w:t>ТЗ-001</w:t>
        </w:r>
      </w:hyperlink>
      <w:r>
        <w:t>; виджет — только клиент их API.</w:t>
      </w:r>
    </w:p>
    <w:p>
      <w:pPr>
        <w:pStyle w:val="ListBullet"/>
      </w:pPr>
      <w:r>
        <w:t>Активация экранов Этапа 2 (В15–В17) в проде — отдельный stage-gate, не решается разработкой виджета.</w:t>
      </w:r>
    </w:p>
    <w:p>
      <w:pPr>
        <w:pStyle w:val="ListBullet"/>
      </w:pPr>
      <w:r>
        <w:t>Изменения на стороне Платформы ЛК (её фронтенд-стек, релизный процесс) — ответственность владельца ЛК, не этого проекта.</w:t>
      </w:r>
    </w:p>
    <w:p>
      <w:pPr>
        <w:pStyle w:val="ListBullet"/>
      </w:pPr>
      <w:r>
        <w:t>Мобильное нативное приложение — если у ЛК есть отдельное мобильное приложение (не мобильная веб-версия), вопрос его охвата не поднят ни в одном источнике проекта и требует отдельного уточнения у бизнеса.</w:t>
      </w:r>
    </w:p>
    <w:p>
      <w:pPr>
        <w:pStyle w:val="Heading2"/>
      </w:pPr>
      <w:r>
        <w:t>9. Состав работ и сроки</w:t>
      </w:r>
    </w:p>
    <w:p>
      <w:r>
        <w:rPr>
          <w:b/>
        </w:rPr>
        <w:t>Оценка не дана намеренно.</w:t>
      </w:r>
      <w:r>
        <w:t xml:space="preserve"> Ни один источник проекта (</w:t>
      </w:r>
      <w:r>
        <w:rPr>
          <w:rFonts w:ascii="Consolas" w:hAnsi="Consolas"/>
          <w:sz w:val="20"/>
        </w:rPr>
        <w:t>ADR-021</w:t>
      </w:r>
      <w:r>
        <w:t xml:space="preserve">, журнал разработки) не содержит оценку трудозатрат именно на виджет отдельно от Backend — фронтенд ЛК не входил в объём прототипа (демо-стенд на статике заменял его, раздел 8.5 журнала, зафиксировано как осознанный пробел, не готовая оценка). Трудозатраты виджета обязаны быть переоценены отдельно </w:t>
      </w:r>
      <w:r>
        <w:rPr>
          <w:b/>
        </w:rPr>
        <w:t>после</w:t>
      </w:r>
      <w:r>
        <w:t xml:space="preserve"> решения открытого вопроса §6 — варианты различаются по сложности реализации на порядок (React-компонент в существующем бандле — недели; micro-frontend с независимым деплоем — совсем другой объём инфраструктурной работы на стороне ЛК).</w:t>
      </w:r>
    </w:p>
    <w:p>
      <w:pPr>
        <w:pStyle w:val="Heading2"/>
      </w:pPr>
      <w:r>
        <w:t>10. Критерии приёмки виджета (Definition of Done)</w:t>
      </w:r>
    </w:p>
    <w:p>
      <w:r>
        <w:t>Адаптация функциональных и нефункциональных критериев DoD Этапа 1 (контекст §18) применительно к виджету:</w:t>
      </w:r>
    </w:p>
    <w:p>
      <w:pPr>
        <w:pStyle w:val="ListNumber"/>
      </w:pPr>
      <w:r>
        <w:t>Абонент получает потоковый ответ, который печатается по мере генерации (В8).</w:t>
      </w:r>
    </w:p>
    <w:p>
      <w:pPr>
        <w:pStyle w:val="ListNumber"/>
      </w:pPr>
      <w:r>
        <w:t xml:space="preserve">Ответ сопровождается источниками, </w:t>
      </w:r>
      <w:r>
        <w:rPr>
          <w:rFonts w:ascii="Consolas" w:hAnsi="Consolas"/>
          <w:sz w:val="20"/>
        </w:rPr>
        <w:t>confidence_score</w:t>
      </w:r>
      <w:r>
        <w:t>, disclaimer (В11).</w:t>
      </w:r>
    </w:p>
    <w:p>
      <w:pPr>
        <w:pStyle w:val="ListNumber"/>
      </w:pPr>
      <w:r>
        <w:t>Есть понятный экран/сообщение при пустом результате поиска и при низкой уверенности модели.</w:t>
      </w:r>
    </w:p>
    <w:p>
      <w:pPr>
        <w:pStyle w:val="ListNumber"/>
      </w:pPr>
      <w:r>
        <w:t xml:space="preserve">Кнопки </w:t>
      </w:r>
      <w:r>
        <w:rPr>
          <w:rFonts w:ascii="Consolas" w:hAnsi="Consolas"/>
          <w:sz w:val="20"/>
        </w:rPr>
        <w:t>suggested_actions</w:t>
      </w:r>
      <w:r>
        <w:t xml:space="preserve"> кликабельны и инициируют новый запрос с учётом выбора (В12).</w:t>
      </w:r>
    </w:p>
    <w:p>
      <w:pPr>
        <w:pStyle w:val="ListNumber"/>
      </w:pPr>
      <w:r>
        <w:t>Ошибки любого типа (429, 5xx, обрыв потока) показывают абоненту понятный текст, не техническую заглушку и не пустой экран (В6, НФ5).</w:t>
      </w:r>
    </w:p>
    <w:p>
      <w:pPr>
        <w:pStyle w:val="ListNumber"/>
      </w:pPr>
      <w:r>
        <w:t>TTFT и полный ответ уложены в бюджет §5 на реальной production-инфраструктуре, не на стенде.</w:t>
      </w:r>
    </w:p>
    <w:p>
      <w:pPr>
        <w:pStyle w:val="ListNumber"/>
      </w:pPr>
      <w:r>
        <w:t>Черновик ввода и история диалога не сохраняются в локальном хранилище браузера между сессиями (В14, НФ4).</w:t>
      </w:r>
    </w:p>
    <w:p>
      <w:pPr>
        <w:pStyle w:val="ListNumber"/>
      </w:pPr>
      <w:r>
        <w:t>Экраны Этапа 2 (В15–В17) реализованы в компоненте, но скрыты/неактивны до прохождения stage-gate Этапа 2.</w:t>
      </w:r>
    </w:p>
    <w:p>
      <w:pPr>
        <w:pStyle w:val="Heading2"/>
      </w:pPr>
      <w:r>
        <w:t>11. Источники</w:t>
      </w:r>
    </w:p>
    <w:p>
      <w:r>
        <w:rPr>
          <w:rFonts w:ascii="Consolas" w:hAnsi="Consolas"/>
          <w:sz w:val="20"/>
        </w:rPr>
        <w:t>контекст_4.md</w:t>
      </w:r>
      <w:r>
        <w:t xml:space="preserve"> — правила 4.3 (Streaming Loop), 4.4 (минимальный API-контракт), 4.7 (HITL), раздел 7 (API-контракт), раздел 16 (открытые вопросы, пункт 3 — способ встраивания), раздел 18 (DoD Этапа 1); </w:t>
      </w:r>
      <w:hyperlink r:id="rId9">
        <w:r>
          <w:rPr>
            <w:color w:val="1F5C8B"/>
            <w:u w:val="single"/>
          </w:rPr>
          <w:t>`AI_docs/C3/C4_L3_Widget.drawio`</w:t>
        </w:r>
      </w:hyperlink>
      <w:r>
        <w:t xml:space="preserve"> (компонентная диаграмма виджета, источник истины по составу — четыре компонента); </w:t>
      </w:r>
      <w:hyperlink r:id="rId11">
        <w:r>
          <w:rPr>
            <w:color w:val="1F5C8B"/>
            <w:u w:val="single"/>
          </w:rPr>
          <w:t>ADR-016</w:t>
        </w:r>
      </w:hyperlink>
      <w:r>
        <w:t xml:space="preserve"> (границы Этапа 1/Этапа 2); </w:t>
      </w:r>
      <w:hyperlink r:id="rId10">
        <w:r>
          <w:rPr>
            <w:color w:val="1F5C8B"/>
            <w:u w:val="single"/>
          </w:rPr>
          <w:t>ТЗ-001</w:t>
        </w:r>
      </w:hyperlink>
      <w:r>
        <w:t xml:space="preserve"> (реализация MVP целиком, частью которой является этот документ); журнал разработки, раздел 8.5 (демо-стенд вместо личного кабинета — почему оценка виджета отдельно не существует).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324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C8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C3/C4_L3_Widget.html" TargetMode="External"/><Relationship Id="rId10" Type="http://schemas.openxmlformats.org/officeDocument/2006/relationships/hyperlink" Target="TZ-001-mvp-implementation.md" TargetMode="External"/><Relationship Id="rId11" Type="http://schemas.openxmlformats.org/officeDocument/2006/relationships/hyperlink" Target="ADR-016-scope-and-limitatio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