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300E6" w14:textId="77777777" w:rsidR="00572D71" w:rsidRDefault="00000000">
      <w:pPr>
        <w:pStyle w:val="Title1"/>
      </w:pPr>
      <w:r>
        <w:t>COMP438/538 Reinforcement Learning</w:t>
      </w:r>
    </w:p>
    <w:p w14:paraId="26663D04" w14:textId="77777777" w:rsidR="00572D71" w:rsidRDefault="00000000">
      <w:pPr>
        <w:pStyle w:val="Subtitle1"/>
      </w:pPr>
      <w:r>
        <w:t>Fall 2026</w:t>
      </w:r>
    </w:p>
    <w:p w14:paraId="3B3F848A" w14:textId="77777777" w:rsidR="00572D71" w:rsidRDefault="00000000">
      <w:pPr>
        <w:pStyle w:val="Heading11"/>
      </w:pPr>
      <w:r>
        <w:t>Class</w:t>
      </w:r>
    </w:p>
    <w:p w14:paraId="0ECC83EB" w14:textId="77777777" w:rsidR="00572D71" w:rsidRDefault="00000000">
      <w:r>
        <w:t>Times: Tuesdays and Thursdays between 14.30 and 15:40</w:t>
      </w:r>
    </w:p>
    <w:p w14:paraId="56ED836B" w14:textId="77777777" w:rsidR="00572D71" w:rsidRDefault="00000000">
      <w:r>
        <w:t>Location: CASEZ27</w:t>
      </w:r>
    </w:p>
    <w:p w14:paraId="70D790C9" w14:textId="77777777" w:rsidR="00572D71" w:rsidRDefault="00000000">
      <w:r>
        <w:t xml:space="preserve">Website: https://learn.hub.ku.edu.tr </w:t>
      </w:r>
    </w:p>
    <w:p w14:paraId="18DA64F6" w14:textId="77777777" w:rsidR="00572D71" w:rsidRDefault="00000000">
      <w:r>
        <w:t>E-mail policy: Students are responsible for checking their account frequently and consistently.</w:t>
      </w:r>
    </w:p>
    <w:p w14:paraId="0D5FE11A" w14:textId="77777777" w:rsidR="00572D71" w:rsidRDefault="00000000">
      <w:pPr>
        <w:pStyle w:val="Heading11"/>
      </w:pPr>
      <w:r>
        <w:t>Instructor</w:t>
      </w:r>
    </w:p>
    <w:p w14:paraId="324B4A9C" w14:textId="77777777" w:rsidR="00572D71" w:rsidRDefault="00000000">
      <w:r>
        <w:t>Barış Akgün</w:t>
      </w:r>
    </w:p>
    <w:p w14:paraId="0D7A03F0" w14:textId="77777777" w:rsidR="00572D71" w:rsidRDefault="00000000">
      <w:r>
        <w:t>Office Hours: By appointment (both online or face-to-face) or open door especially after lectures</w:t>
      </w:r>
    </w:p>
    <w:p w14:paraId="1CF5C9AF" w14:textId="77777777" w:rsidR="00572D71" w:rsidRDefault="00000000">
      <w:r>
        <w:t>E-mail: baakgun@ku.edu.tr</w:t>
      </w:r>
    </w:p>
    <w:p w14:paraId="1C46FA98" w14:textId="77777777" w:rsidR="00572D71" w:rsidRDefault="00000000">
      <w:pPr>
        <w:pStyle w:val="Heading11"/>
      </w:pPr>
      <w:r>
        <w:t>Teaching Assistants</w:t>
      </w:r>
    </w:p>
    <w:tbl>
      <w:tblPr>
        <w:tblW w:w="0" w:type="auto"/>
        <w:tblLayout w:type="fixed"/>
        <w:tblLook w:val="04A0" w:firstRow="1" w:lastRow="0" w:firstColumn="1" w:lastColumn="0" w:noHBand="0" w:noVBand="1"/>
      </w:tblPr>
      <w:tblGrid>
        <w:gridCol w:w="3024"/>
        <w:gridCol w:w="3600"/>
        <w:gridCol w:w="3312"/>
      </w:tblGrid>
      <w:tr w:rsidR="00572D71" w14:paraId="35630E61" w14:textId="77777777">
        <w:trPr>
          <w:cantSplit/>
          <w:tblHeader/>
        </w:trPr>
        <w:tc>
          <w:tcPr>
            <w:tcW w:w="3024" w:type="dxa"/>
            <w:tcBorders>
              <w:top w:val="single" w:sz="4" w:space="0" w:color="C0C0C0"/>
              <w:left w:val="single" w:sz="4" w:space="0" w:color="C0C0C0"/>
              <w:bottom w:val="single" w:sz="4" w:space="0" w:color="C0C0C0"/>
              <w:right w:val="single" w:sz="4" w:space="0" w:color="C0C0C0"/>
            </w:tcBorders>
            <w:shd w:val="clear" w:color="auto" w:fill="EDEDED"/>
          </w:tcPr>
          <w:p w14:paraId="6A085FA6" w14:textId="77777777" w:rsidR="00572D71" w:rsidRDefault="00000000">
            <w:pPr>
              <w:keepNext/>
              <w:spacing w:before="60" w:after="60" w:line="240" w:lineRule="auto"/>
            </w:pPr>
            <w:r>
              <w:rPr>
                <w:b/>
                <w:sz w:val="19"/>
              </w:rPr>
              <w:t>Name</w:t>
            </w:r>
          </w:p>
        </w:tc>
        <w:tc>
          <w:tcPr>
            <w:tcW w:w="3600" w:type="dxa"/>
            <w:tcBorders>
              <w:top w:val="single" w:sz="4" w:space="0" w:color="C0C0C0"/>
              <w:left w:val="single" w:sz="4" w:space="0" w:color="C0C0C0"/>
              <w:bottom w:val="single" w:sz="4" w:space="0" w:color="C0C0C0"/>
              <w:right w:val="single" w:sz="4" w:space="0" w:color="C0C0C0"/>
            </w:tcBorders>
            <w:shd w:val="clear" w:color="auto" w:fill="EDEDED"/>
          </w:tcPr>
          <w:p w14:paraId="5E4A599D" w14:textId="77777777" w:rsidR="00572D71" w:rsidRDefault="00000000">
            <w:pPr>
              <w:keepNext/>
              <w:spacing w:before="60" w:after="60" w:line="240" w:lineRule="auto"/>
            </w:pPr>
            <w:r>
              <w:rPr>
                <w:b/>
                <w:sz w:val="19"/>
              </w:rPr>
              <w:t>Email</w:t>
            </w:r>
          </w:p>
        </w:tc>
        <w:tc>
          <w:tcPr>
            <w:tcW w:w="3312" w:type="dxa"/>
            <w:tcBorders>
              <w:top w:val="single" w:sz="4" w:space="0" w:color="C0C0C0"/>
              <w:left w:val="single" w:sz="4" w:space="0" w:color="C0C0C0"/>
              <w:bottom w:val="single" w:sz="4" w:space="0" w:color="C0C0C0"/>
              <w:right w:val="single" w:sz="4" w:space="0" w:color="C0C0C0"/>
            </w:tcBorders>
            <w:shd w:val="clear" w:color="auto" w:fill="EDEDED"/>
          </w:tcPr>
          <w:p w14:paraId="655CD4F8" w14:textId="77777777" w:rsidR="00572D71" w:rsidRDefault="00000000">
            <w:pPr>
              <w:keepNext/>
              <w:spacing w:before="60" w:after="60" w:line="240" w:lineRule="auto"/>
            </w:pPr>
            <w:r>
              <w:rPr>
                <w:b/>
                <w:sz w:val="19"/>
              </w:rPr>
              <w:t>Office hours</w:t>
            </w:r>
          </w:p>
        </w:tc>
      </w:tr>
      <w:tr w:rsidR="00572D71" w14:paraId="25C74B8E" w14:textId="77777777">
        <w:trPr>
          <w:cantSplit/>
        </w:trPr>
        <w:tc>
          <w:tcPr>
            <w:tcW w:w="3024" w:type="dxa"/>
            <w:tcBorders>
              <w:top w:val="single" w:sz="4" w:space="0" w:color="C0C0C0"/>
              <w:left w:val="single" w:sz="4" w:space="0" w:color="C0C0C0"/>
              <w:bottom w:val="single" w:sz="4" w:space="0" w:color="C0C0C0"/>
              <w:right w:val="single" w:sz="4" w:space="0" w:color="C0C0C0"/>
            </w:tcBorders>
          </w:tcPr>
          <w:p w14:paraId="342B6260" w14:textId="77777777" w:rsidR="00572D71" w:rsidRDefault="00000000">
            <w:pPr>
              <w:spacing w:before="60" w:after="60" w:line="240" w:lineRule="auto"/>
            </w:pPr>
            <w:r>
              <w:rPr>
                <w:sz w:val="19"/>
              </w:rPr>
              <w:t>TBA</w:t>
            </w:r>
          </w:p>
        </w:tc>
        <w:tc>
          <w:tcPr>
            <w:tcW w:w="3600" w:type="dxa"/>
            <w:tcBorders>
              <w:top w:val="single" w:sz="4" w:space="0" w:color="C0C0C0"/>
              <w:left w:val="single" w:sz="4" w:space="0" w:color="C0C0C0"/>
              <w:bottom w:val="single" w:sz="4" w:space="0" w:color="C0C0C0"/>
              <w:right w:val="single" w:sz="4" w:space="0" w:color="C0C0C0"/>
            </w:tcBorders>
          </w:tcPr>
          <w:p w14:paraId="7F69CD1F" w14:textId="77777777" w:rsidR="00572D71" w:rsidRDefault="00000000">
            <w:pPr>
              <w:spacing w:before="60" w:after="60" w:line="240" w:lineRule="auto"/>
            </w:pPr>
            <w:r>
              <w:rPr>
                <w:sz w:val="19"/>
              </w:rPr>
              <w:t>TBA</w:t>
            </w:r>
          </w:p>
        </w:tc>
        <w:tc>
          <w:tcPr>
            <w:tcW w:w="3312" w:type="dxa"/>
            <w:tcBorders>
              <w:top w:val="single" w:sz="4" w:space="0" w:color="C0C0C0"/>
              <w:left w:val="single" w:sz="4" w:space="0" w:color="C0C0C0"/>
              <w:bottom w:val="single" w:sz="4" w:space="0" w:color="C0C0C0"/>
              <w:right w:val="single" w:sz="4" w:space="0" w:color="C0C0C0"/>
            </w:tcBorders>
          </w:tcPr>
          <w:p w14:paraId="18EF0CB5" w14:textId="77777777" w:rsidR="00572D71" w:rsidRDefault="00000000">
            <w:pPr>
              <w:spacing w:before="60" w:after="60" w:line="240" w:lineRule="auto"/>
            </w:pPr>
            <w:r>
              <w:rPr>
                <w:sz w:val="19"/>
              </w:rPr>
              <w:t>TBA</w:t>
            </w:r>
          </w:p>
        </w:tc>
      </w:tr>
    </w:tbl>
    <w:p w14:paraId="69AA4B38" w14:textId="77777777" w:rsidR="00572D71" w:rsidRDefault="00000000">
      <w:pPr>
        <w:pStyle w:val="Heading11"/>
      </w:pPr>
      <w:r>
        <w:t>Prerequisites</w:t>
      </w:r>
    </w:p>
    <w:p w14:paraId="45148BDE" w14:textId="77777777" w:rsidR="00572D71" w:rsidRDefault="00000000">
      <w:pPr>
        <w:keepNext/>
        <w:spacing w:after="60"/>
      </w:pPr>
      <w:r>
        <w:rPr>
          <w:b/>
        </w:rPr>
        <w:t xml:space="preserve">Comp341: Intro to Artificial Intelligence </w:t>
      </w:r>
    </w:p>
    <w:p w14:paraId="4046AC66" w14:textId="77777777" w:rsidR="00572D71" w:rsidRDefault="00000000">
      <w:pPr>
        <w:spacing w:after="60"/>
      </w:pPr>
      <w:r>
        <w:t>The student should know agent-based modeling, rationality, utility and decision-making concepts and have a sense of what state, action and reward/cost mean.</w:t>
      </w:r>
    </w:p>
    <w:p w14:paraId="72509C58" w14:textId="77777777" w:rsidR="00572D71" w:rsidRDefault="00000000">
      <w:pPr>
        <w:spacing w:after="60"/>
      </w:pPr>
      <w:r>
        <w:t>This pre-req also indirectly enforces probability and statistics, and to a lesser extent Python Programming</w:t>
      </w:r>
    </w:p>
    <w:p w14:paraId="198ACD43" w14:textId="1D61F7AD" w:rsidR="00572D71" w:rsidRDefault="00000000">
      <w:pPr>
        <w:keepNext/>
        <w:spacing w:after="60"/>
      </w:pPr>
      <w:r>
        <w:rPr>
          <w:b/>
        </w:rPr>
        <w:t>Co</w:t>
      </w:r>
      <w:r w:rsidR="00801564">
        <w:rPr>
          <w:b/>
        </w:rPr>
        <w:t>m</w:t>
      </w:r>
      <w:r>
        <w:rPr>
          <w:b/>
        </w:rPr>
        <w:t>p421/521: Machine Learning</w:t>
      </w:r>
    </w:p>
    <w:p w14:paraId="7CF14F63" w14:textId="77777777" w:rsidR="00572D71" w:rsidRDefault="00000000">
      <w:pPr>
        <w:spacing w:after="60"/>
      </w:pPr>
      <w:r>
        <w:t>The student should be familiar with general machine learning concepts, stochastic gradient descent, linear regression, and neural networks.</w:t>
      </w:r>
    </w:p>
    <w:p w14:paraId="507F972E" w14:textId="77777777" w:rsidR="00572D71" w:rsidRDefault="00000000">
      <w:pPr>
        <w:keepNext/>
        <w:spacing w:after="60"/>
      </w:pPr>
      <w:r>
        <w:rPr>
          <w:b/>
        </w:rPr>
        <w:t>Deep Learning</w:t>
      </w:r>
    </w:p>
    <w:p w14:paraId="49D7901C" w14:textId="77777777" w:rsidR="00572D71" w:rsidRDefault="00000000">
      <w:pPr>
        <w:spacing w:after="60"/>
      </w:pPr>
      <w:r>
        <w:t>No prerequisite but knowing deep learning would help the students.</w:t>
      </w:r>
    </w:p>
    <w:p w14:paraId="6DC05830" w14:textId="77777777" w:rsidR="00572D71" w:rsidRDefault="00000000">
      <w:pPr>
        <w:keepNext/>
        <w:spacing w:after="60"/>
      </w:pPr>
      <w:r>
        <w:rPr>
          <w:b/>
        </w:rPr>
        <w:t>Basics of Probability &amp; Statistics and Linear Algebra (e.g., ENGR200 and MATH107)</w:t>
      </w:r>
    </w:p>
    <w:p w14:paraId="0704175C" w14:textId="77777777" w:rsidR="00572D71" w:rsidRDefault="00000000">
      <w:pPr>
        <w:spacing w:after="60"/>
      </w:pPr>
      <w:r>
        <w:t>No prerequisite, but students are expected to know or learn the relevant topics.</w:t>
      </w:r>
    </w:p>
    <w:p w14:paraId="4300E9E1" w14:textId="77777777" w:rsidR="00572D71" w:rsidRDefault="00000000">
      <w:pPr>
        <w:keepNext/>
        <w:spacing w:after="60"/>
      </w:pPr>
      <w:r>
        <w:rPr>
          <w:b/>
        </w:rPr>
        <w:t>Python Programming</w:t>
      </w:r>
    </w:p>
    <w:p w14:paraId="15194531" w14:textId="77777777" w:rsidR="00572D71" w:rsidRDefault="00000000">
      <w:pPr>
        <w:spacing w:after="60"/>
      </w:pPr>
      <w:r>
        <w:t>No prerequisite, but if you don’t know Python, I recommend not taking this course.</w:t>
      </w:r>
    </w:p>
    <w:p w14:paraId="05802439" w14:textId="77777777" w:rsidR="00572D71" w:rsidRDefault="00000000">
      <w:pPr>
        <w:pStyle w:val="Heading11"/>
      </w:pPr>
      <w:r>
        <w:t>Catalog Description</w:t>
      </w:r>
    </w:p>
    <w:p w14:paraId="1FFA53C2" w14:textId="77777777" w:rsidR="00572D71" w:rsidRDefault="00000000">
      <w:r>
        <w:t>Introduction to the Reinforcement Learning, Markov Decision Processes, Value and Policy Iteration, Q-Learning and SARSA, Policy Search and Policy Gradients, Actor-Critic Approaches, Deep Reinforcement Learning, Model-Based Methods, Exploration, Applications</w:t>
      </w:r>
    </w:p>
    <w:p w14:paraId="616C0407" w14:textId="77777777" w:rsidR="00572D71" w:rsidRDefault="00000000">
      <w:pPr>
        <w:pStyle w:val="Heading11"/>
        <w:pageBreakBefore/>
      </w:pPr>
      <w:r>
        <w:lastRenderedPageBreak/>
        <w:t>Course Objectives</w:t>
      </w:r>
    </w:p>
    <w:p w14:paraId="07E3767C" w14:textId="77777777" w:rsidR="00572D71" w:rsidRDefault="00000000">
      <w:r>
        <w:t>Build a coherent foundation in reinforcement learning, formulate sequential decision problems, and design and evaluate learning agents. Connect tabular and approximate methods to deep, model-based and offline RL, then use these foundations to understand RL-based LLM post-training.</w:t>
      </w:r>
    </w:p>
    <w:p w14:paraId="3C4522C7" w14:textId="77777777" w:rsidR="00572D71" w:rsidRDefault="00000000">
      <w:pPr>
        <w:pStyle w:val="Heading11"/>
      </w:pPr>
      <w:r>
        <w:t>Learning Outcomes</w:t>
      </w:r>
    </w:p>
    <w:p w14:paraId="4353FAD1" w14:textId="77777777" w:rsidR="00572D71" w:rsidRDefault="00000000">
      <w:pPr>
        <w:spacing w:after="60"/>
      </w:pPr>
      <w:r>
        <w:t>L01. Distinguish RL from other learning and planning settings</w:t>
      </w:r>
    </w:p>
    <w:p w14:paraId="07CA0B8E" w14:textId="77777777" w:rsidR="00572D71" w:rsidRDefault="00000000">
      <w:pPr>
        <w:spacing w:after="60"/>
      </w:pPr>
      <w:r>
        <w:t>L02. Explain and distinguish state, observation, action, reward, value, policy, model and partial observability</w:t>
      </w:r>
    </w:p>
    <w:p w14:paraId="6D2A0214" w14:textId="77777777" w:rsidR="00572D71" w:rsidRDefault="00000000">
      <w:pPr>
        <w:spacing w:after="60"/>
      </w:pPr>
      <w:r>
        <w:t>L03. Formulate sequential decision problems as MDPs</w:t>
      </w:r>
    </w:p>
    <w:p w14:paraId="7F9E9BA5" w14:textId="77777777" w:rsidR="00572D71" w:rsidRDefault="00000000">
      <w:pPr>
        <w:spacing w:after="60"/>
      </w:pPr>
      <w:r>
        <w:t>L04. Derive and implement representative RL methods</w:t>
      </w:r>
    </w:p>
    <w:p w14:paraId="02C5F5D1" w14:textId="77777777" w:rsidR="00572D71" w:rsidRDefault="00000000">
      <w:pPr>
        <w:spacing w:after="60"/>
      </w:pPr>
      <w:r>
        <w:t>L05. Select methods based on data, interaction and model availability</w:t>
      </w:r>
    </w:p>
    <w:p w14:paraId="7F74038D" w14:textId="77777777" w:rsidR="00572D71" w:rsidRDefault="00000000">
      <w:pPr>
        <w:spacing w:after="60"/>
      </w:pPr>
      <w:r>
        <w:t>L06. Diagnose important RL failure modes</w:t>
      </w:r>
    </w:p>
    <w:p w14:paraId="20B93402" w14:textId="77777777" w:rsidR="00572D71" w:rsidRDefault="00000000">
      <w:pPr>
        <w:spacing w:after="60"/>
      </w:pPr>
      <w:r>
        <w:t>L07. Design and evaluate RL experiments</w:t>
      </w:r>
    </w:p>
    <w:p w14:paraId="7C0CFDD3" w14:textId="77777777" w:rsidR="00572D71" w:rsidRDefault="00000000">
      <w:pPr>
        <w:spacing w:after="60"/>
      </w:pPr>
      <w:r>
        <w:t>L08. Connect modern RL methods to common RL foundations</w:t>
      </w:r>
    </w:p>
    <w:p w14:paraId="19728456" w14:textId="77777777" w:rsidR="00572D71" w:rsidRDefault="00000000">
      <w:pPr>
        <w:pStyle w:val="Heading11"/>
      </w:pPr>
      <w:r>
        <w:t>Topic Outline</w:t>
      </w:r>
    </w:p>
    <w:p w14:paraId="594B944F" w14:textId="77777777" w:rsidR="00572D71" w:rsidRDefault="00000000">
      <w:r>
        <w:t>The course retains 26 lectures in the sequence below. Teaching units describe progression, not booked calendar weeks. Timing may be adjusted within the topic scope.</w:t>
      </w:r>
    </w:p>
    <w:tbl>
      <w:tblPr>
        <w:tblW w:w="0" w:type="auto"/>
        <w:tblLayout w:type="fixed"/>
        <w:tblLook w:val="04A0" w:firstRow="1" w:lastRow="0" w:firstColumn="1" w:lastColumn="0" w:noHBand="0" w:noVBand="1"/>
      </w:tblPr>
      <w:tblGrid>
        <w:gridCol w:w="1440"/>
        <w:gridCol w:w="8496"/>
      </w:tblGrid>
      <w:tr w:rsidR="00572D71" w14:paraId="34D6CB26" w14:textId="77777777">
        <w:trPr>
          <w:cantSplit/>
          <w:tblHeader/>
        </w:trPr>
        <w:tc>
          <w:tcPr>
            <w:tcW w:w="1440" w:type="dxa"/>
            <w:tcBorders>
              <w:top w:val="single" w:sz="4" w:space="0" w:color="C0C0C0"/>
              <w:left w:val="single" w:sz="4" w:space="0" w:color="C0C0C0"/>
              <w:bottom w:val="single" w:sz="4" w:space="0" w:color="C0C0C0"/>
              <w:right w:val="single" w:sz="4" w:space="0" w:color="C0C0C0"/>
            </w:tcBorders>
            <w:shd w:val="clear" w:color="auto" w:fill="EDEDED"/>
          </w:tcPr>
          <w:p w14:paraId="438575F6" w14:textId="77777777" w:rsidR="00572D71" w:rsidRDefault="00000000">
            <w:pPr>
              <w:keepNext/>
              <w:spacing w:before="60" w:after="60" w:line="240" w:lineRule="auto"/>
            </w:pPr>
            <w:r>
              <w:rPr>
                <w:b/>
                <w:sz w:val="19"/>
              </w:rPr>
              <w:t>Teaching units</w:t>
            </w:r>
          </w:p>
        </w:tc>
        <w:tc>
          <w:tcPr>
            <w:tcW w:w="8496" w:type="dxa"/>
            <w:tcBorders>
              <w:top w:val="single" w:sz="4" w:space="0" w:color="C0C0C0"/>
              <w:left w:val="single" w:sz="4" w:space="0" w:color="C0C0C0"/>
              <w:bottom w:val="single" w:sz="4" w:space="0" w:color="C0C0C0"/>
              <w:right w:val="single" w:sz="4" w:space="0" w:color="C0C0C0"/>
            </w:tcBorders>
            <w:shd w:val="clear" w:color="auto" w:fill="EDEDED"/>
          </w:tcPr>
          <w:p w14:paraId="720B4158" w14:textId="77777777" w:rsidR="00572D71" w:rsidRDefault="00000000">
            <w:pPr>
              <w:keepNext/>
              <w:spacing w:before="60" w:after="60" w:line="240" w:lineRule="auto"/>
            </w:pPr>
            <w:r>
              <w:rPr>
                <w:b/>
                <w:sz w:val="19"/>
              </w:rPr>
              <w:t>Topics</w:t>
            </w:r>
          </w:p>
        </w:tc>
      </w:tr>
      <w:tr w:rsidR="00572D71" w14:paraId="00E127FD"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2F3C4626" w14:textId="77777777" w:rsidR="00572D71" w:rsidRDefault="00000000">
            <w:pPr>
              <w:spacing w:before="60" w:after="60" w:line="240" w:lineRule="auto"/>
            </w:pPr>
            <w:r>
              <w:rPr>
                <w:sz w:val="19"/>
              </w:rPr>
              <w:t>1–2</w:t>
            </w:r>
          </w:p>
        </w:tc>
        <w:tc>
          <w:tcPr>
            <w:tcW w:w="8496" w:type="dxa"/>
            <w:tcBorders>
              <w:top w:val="single" w:sz="4" w:space="0" w:color="C0C0C0"/>
              <w:left w:val="single" w:sz="4" w:space="0" w:color="C0C0C0"/>
              <w:bottom w:val="single" w:sz="4" w:space="0" w:color="C0C0C0"/>
              <w:right w:val="single" w:sz="4" w:space="0" w:color="C0C0C0"/>
            </w:tcBorders>
          </w:tcPr>
          <w:p w14:paraId="365BF560" w14:textId="77777777" w:rsidR="00572D71" w:rsidRDefault="00000000">
            <w:pPr>
              <w:spacing w:before="60" w:after="60" w:line="240" w:lineRule="auto"/>
            </w:pPr>
            <w:r>
              <w:rPr>
                <w:sz w:val="19"/>
              </w:rPr>
              <w:t>RL formulation and MDPs; returns and values; Bellman equations; policy evaluation, value iteration and policy iteration.</w:t>
            </w:r>
          </w:p>
        </w:tc>
      </w:tr>
      <w:tr w:rsidR="00572D71" w14:paraId="082C98D7"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58C7CCA8" w14:textId="77777777" w:rsidR="00572D71" w:rsidRDefault="00000000">
            <w:pPr>
              <w:spacing w:before="60" w:after="60" w:line="240" w:lineRule="auto"/>
            </w:pPr>
            <w:r>
              <w:rPr>
                <w:sz w:val="19"/>
              </w:rPr>
              <w:t>3–4</w:t>
            </w:r>
          </w:p>
        </w:tc>
        <w:tc>
          <w:tcPr>
            <w:tcW w:w="8496" w:type="dxa"/>
            <w:tcBorders>
              <w:top w:val="single" w:sz="4" w:space="0" w:color="C0C0C0"/>
              <w:left w:val="single" w:sz="4" w:space="0" w:color="C0C0C0"/>
              <w:bottom w:val="single" w:sz="4" w:space="0" w:color="C0C0C0"/>
              <w:right w:val="single" w:sz="4" w:space="0" w:color="C0C0C0"/>
            </w:tcBorders>
          </w:tcPr>
          <w:p w14:paraId="04032845" w14:textId="77777777" w:rsidR="00572D71" w:rsidRDefault="00000000">
            <w:pPr>
              <w:spacing w:before="60" w:after="60" w:line="240" w:lineRule="auto"/>
            </w:pPr>
            <w:r>
              <w:rPr>
                <w:sz w:val="19"/>
              </w:rPr>
              <w:t>MC and TD prediction; bias, variance and n-step returns; exploration; SARSA and Q-learning; control failure modes.</w:t>
            </w:r>
          </w:p>
        </w:tc>
      </w:tr>
      <w:tr w:rsidR="00572D71" w14:paraId="33240159"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31F0254E" w14:textId="77777777" w:rsidR="00572D71" w:rsidRDefault="00000000">
            <w:pPr>
              <w:spacing w:before="60" w:after="60" w:line="240" w:lineRule="auto"/>
            </w:pPr>
            <w:r>
              <w:rPr>
                <w:sz w:val="19"/>
              </w:rPr>
              <w:t>5–6</w:t>
            </w:r>
          </w:p>
        </w:tc>
        <w:tc>
          <w:tcPr>
            <w:tcW w:w="8496" w:type="dxa"/>
            <w:tcBorders>
              <w:top w:val="single" w:sz="4" w:space="0" w:color="C0C0C0"/>
              <w:left w:val="single" w:sz="4" w:space="0" w:color="C0C0C0"/>
              <w:bottom w:val="single" w:sz="4" w:space="0" w:color="C0C0C0"/>
              <w:right w:val="single" w:sz="4" w:space="0" w:color="C0C0C0"/>
            </w:tcBorders>
          </w:tcPr>
          <w:p w14:paraId="64D3F9D3" w14:textId="77777777" w:rsidR="00572D71" w:rsidRDefault="00000000">
            <w:pPr>
              <w:spacing w:before="60" w:after="60" w:line="240" w:lineRule="auto"/>
            </w:pPr>
            <w:r>
              <w:rPr>
                <w:sz w:val="19"/>
              </w:rPr>
              <w:t>Linear approximation and semi-gradients; instability and the deadly triad; DQN, replay, target networks and Double DQN.</w:t>
            </w:r>
          </w:p>
        </w:tc>
      </w:tr>
      <w:tr w:rsidR="00572D71" w14:paraId="784454CB"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07548A2D" w14:textId="77777777" w:rsidR="00572D71" w:rsidRDefault="00000000">
            <w:pPr>
              <w:spacing w:before="60" w:after="60" w:line="240" w:lineRule="auto"/>
            </w:pPr>
            <w:r>
              <w:rPr>
                <w:sz w:val="19"/>
              </w:rPr>
              <w:t>7–9.1</w:t>
            </w:r>
          </w:p>
        </w:tc>
        <w:tc>
          <w:tcPr>
            <w:tcW w:w="8496" w:type="dxa"/>
            <w:tcBorders>
              <w:top w:val="single" w:sz="4" w:space="0" w:color="C0C0C0"/>
              <w:left w:val="single" w:sz="4" w:space="0" w:color="C0C0C0"/>
              <w:bottom w:val="single" w:sz="4" w:space="0" w:color="C0C0C0"/>
              <w:right w:val="single" w:sz="4" w:space="0" w:color="C0C0C0"/>
            </w:tcBorders>
          </w:tcPr>
          <w:p w14:paraId="5145A7D4" w14:textId="77777777" w:rsidR="00572D71" w:rsidRDefault="00000000">
            <w:pPr>
              <w:spacing w:before="60" w:after="60" w:line="240" w:lineRule="auto"/>
            </w:pPr>
            <w:r>
              <w:rPr>
                <w:sz w:val="19"/>
              </w:rPr>
              <w:t>REINFORCE and baselines; actor-critic and GAE; importance ratios, PPO, entropy and SAC.</w:t>
            </w:r>
          </w:p>
        </w:tc>
      </w:tr>
      <w:tr w:rsidR="00572D71" w14:paraId="0E3C828F"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7075D559" w14:textId="77777777" w:rsidR="00572D71" w:rsidRDefault="00000000">
            <w:pPr>
              <w:spacing w:before="60" w:after="60" w:line="240" w:lineRule="auto"/>
            </w:pPr>
            <w:r>
              <w:rPr>
                <w:sz w:val="19"/>
              </w:rPr>
              <w:t>9.2–10</w:t>
            </w:r>
          </w:p>
        </w:tc>
        <w:tc>
          <w:tcPr>
            <w:tcW w:w="8496" w:type="dxa"/>
            <w:tcBorders>
              <w:top w:val="single" w:sz="4" w:space="0" w:color="C0C0C0"/>
              <w:left w:val="single" w:sz="4" w:space="0" w:color="C0C0C0"/>
              <w:bottom w:val="single" w:sz="4" w:space="0" w:color="C0C0C0"/>
              <w:right w:val="single" w:sz="4" w:space="0" w:color="C0C0C0"/>
            </w:tcBorders>
          </w:tcPr>
          <w:p w14:paraId="73869CDB" w14:textId="77777777" w:rsidR="00572D71" w:rsidRDefault="00000000">
            <w:pPr>
              <w:spacing w:before="60" w:after="60" w:line="240" w:lineRule="auto"/>
            </w:pPr>
            <w:r>
              <w:rPr>
                <w:sz w:val="19"/>
              </w:rPr>
              <w:t>Bandits and UCB; contextual decisions; MCTS, guided search and Dyna.</w:t>
            </w:r>
          </w:p>
        </w:tc>
      </w:tr>
      <w:tr w:rsidR="00572D71" w14:paraId="6CAF7F46"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42696B4F" w14:textId="77777777" w:rsidR="00572D71" w:rsidRDefault="00000000">
            <w:pPr>
              <w:spacing w:before="60" w:after="60" w:line="240" w:lineRule="auto"/>
            </w:pPr>
            <w:r>
              <w:rPr>
                <w:sz w:val="19"/>
              </w:rPr>
              <w:t>11</w:t>
            </w:r>
          </w:p>
        </w:tc>
        <w:tc>
          <w:tcPr>
            <w:tcW w:w="8496" w:type="dxa"/>
            <w:tcBorders>
              <w:top w:val="single" w:sz="4" w:space="0" w:color="C0C0C0"/>
              <w:left w:val="single" w:sz="4" w:space="0" w:color="C0C0C0"/>
              <w:bottom w:val="single" w:sz="4" w:space="0" w:color="C0C0C0"/>
              <w:right w:val="single" w:sz="4" w:space="0" w:color="C0C0C0"/>
            </w:tcBorders>
          </w:tcPr>
          <w:p w14:paraId="61469ADA" w14:textId="77777777" w:rsidR="00572D71" w:rsidRDefault="00000000">
            <w:pPr>
              <w:spacing w:before="60" w:after="60" w:line="240" w:lineRule="auto"/>
            </w:pPr>
            <w:r>
              <w:rPr>
                <w:sz w:val="19"/>
              </w:rPr>
              <w:t>Learned models, MPC, horizon choice, uncertainty and model error; representative world-model ideas.</w:t>
            </w:r>
          </w:p>
        </w:tc>
      </w:tr>
      <w:tr w:rsidR="00572D71" w14:paraId="7DCF0D14"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23B297B8" w14:textId="77777777" w:rsidR="00572D71" w:rsidRDefault="00000000">
            <w:pPr>
              <w:spacing w:before="60" w:after="60" w:line="240" w:lineRule="auto"/>
            </w:pPr>
            <w:r>
              <w:rPr>
                <w:sz w:val="19"/>
              </w:rPr>
              <w:t>12</w:t>
            </w:r>
          </w:p>
        </w:tc>
        <w:tc>
          <w:tcPr>
            <w:tcW w:w="8496" w:type="dxa"/>
            <w:tcBorders>
              <w:top w:val="single" w:sz="4" w:space="0" w:color="C0C0C0"/>
              <w:left w:val="single" w:sz="4" w:space="0" w:color="C0C0C0"/>
              <w:bottom w:val="single" w:sz="4" w:space="0" w:color="C0C0C0"/>
              <w:right w:val="single" w:sz="4" w:space="0" w:color="C0C0C0"/>
            </w:tcBorders>
          </w:tcPr>
          <w:p w14:paraId="157327EB" w14:textId="77777777" w:rsidR="00572D71" w:rsidRDefault="00000000">
            <w:pPr>
              <w:spacing w:before="60" w:after="60" w:line="240" w:lineRule="auto"/>
            </w:pPr>
            <w:r>
              <w:rPr>
                <w:sz w:val="19"/>
              </w:rPr>
              <w:t>Offline data support and distribution shift; IQL value/policy fitting; brief conceptual CQL contrast.</w:t>
            </w:r>
          </w:p>
        </w:tc>
      </w:tr>
      <w:tr w:rsidR="00572D71" w14:paraId="404768FC" w14:textId="77777777">
        <w:trPr>
          <w:cantSplit/>
        </w:trPr>
        <w:tc>
          <w:tcPr>
            <w:tcW w:w="1440" w:type="dxa"/>
            <w:tcBorders>
              <w:top w:val="single" w:sz="4" w:space="0" w:color="C0C0C0"/>
              <w:left w:val="single" w:sz="4" w:space="0" w:color="C0C0C0"/>
              <w:bottom w:val="single" w:sz="4" w:space="0" w:color="C0C0C0"/>
              <w:right w:val="single" w:sz="4" w:space="0" w:color="C0C0C0"/>
            </w:tcBorders>
          </w:tcPr>
          <w:p w14:paraId="0B35A6A3" w14:textId="77777777" w:rsidR="00572D71" w:rsidRDefault="00000000">
            <w:pPr>
              <w:spacing w:before="60" w:after="60" w:line="240" w:lineRule="auto"/>
            </w:pPr>
            <w:r>
              <w:rPr>
                <w:sz w:val="19"/>
              </w:rPr>
              <w:t>13</w:t>
            </w:r>
          </w:p>
        </w:tc>
        <w:tc>
          <w:tcPr>
            <w:tcW w:w="8496" w:type="dxa"/>
            <w:tcBorders>
              <w:top w:val="single" w:sz="4" w:space="0" w:color="C0C0C0"/>
              <w:left w:val="single" w:sz="4" w:space="0" w:color="C0C0C0"/>
              <w:bottom w:val="single" w:sz="4" w:space="0" w:color="C0C0C0"/>
              <w:right w:val="single" w:sz="4" w:space="0" w:color="C0C0C0"/>
            </w:tcBorders>
          </w:tcPr>
          <w:p w14:paraId="2446841F" w14:textId="77777777" w:rsidR="00572D71" w:rsidRDefault="00000000">
            <w:pPr>
              <w:spacing w:before="60" w:after="60" w:line="240" w:lineRule="auto"/>
            </w:pPr>
            <w:r>
              <w:rPr>
                <w:sz w:val="19"/>
              </w:rPr>
              <w:t>RL for LLM post-training: policy updates, grouped estimators, rewards, failure modes and evaluation.</w:t>
            </w:r>
          </w:p>
        </w:tc>
      </w:tr>
    </w:tbl>
    <w:p w14:paraId="0E936F94" w14:textId="77777777" w:rsidR="00572D71" w:rsidRDefault="00000000">
      <w:pPr>
        <w:pStyle w:val="Heading11"/>
      </w:pPr>
      <w:r>
        <w:t>Teaching and Preparation</w:t>
      </w:r>
    </w:p>
    <w:p w14:paraId="492C470C" w14:textId="77777777" w:rsidR="00572D71" w:rsidRDefault="00000000">
      <w:r>
        <w:t>Teaching is mainly through lectures and worked examples. Lecture attendance is not tracked; participation, questions and discussion are encouraged. Two required background videos prepare you for search/MCTS and LLM RL. Videos are tentatively released seven days before use, with preparation reviewed in Weeks 4, 8 and 11.</w:t>
      </w:r>
    </w:p>
    <w:p w14:paraId="42AE7FBC" w14:textId="77777777" w:rsidR="00572D71" w:rsidRDefault="00000000">
      <w:r>
        <w:t>No student readings are assigned this semester and there are no reading-only exam requirements. Required work is designed for personal-laptop access; there is no mandatory LLM-training assignment.</w:t>
      </w:r>
    </w:p>
    <w:p w14:paraId="3B672A1C" w14:textId="77777777" w:rsidR="00572D71" w:rsidRDefault="00000000">
      <w:pPr>
        <w:pStyle w:val="Heading11"/>
        <w:pageBreakBefore/>
      </w:pPr>
      <w:r>
        <w:lastRenderedPageBreak/>
        <w:t>Assessment and Grading</w:t>
      </w:r>
    </w:p>
    <w:p w14:paraId="7FC753B4" w14:textId="77777777" w:rsidR="00572D71" w:rsidRDefault="00000000">
      <w:r>
        <w:t>Theory, implementation and experimental reasoning are assessed through individual assignments, three midterms and a semester project.</w:t>
      </w:r>
    </w:p>
    <w:tbl>
      <w:tblPr>
        <w:tblW w:w="0" w:type="auto"/>
        <w:tblLayout w:type="fixed"/>
        <w:tblLook w:val="04A0" w:firstRow="1" w:lastRow="0" w:firstColumn="1" w:lastColumn="0" w:noHBand="0" w:noVBand="1"/>
      </w:tblPr>
      <w:tblGrid>
        <w:gridCol w:w="1656"/>
        <w:gridCol w:w="6840"/>
        <w:gridCol w:w="1440"/>
      </w:tblGrid>
      <w:tr w:rsidR="00572D71" w14:paraId="240E2431" w14:textId="77777777">
        <w:trPr>
          <w:cantSplit/>
          <w:tblHeader/>
        </w:trPr>
        <w:tc>
          <w:tcPr>
            <w:tcW w:w="1656" w:type="dxa"/>
            <w:tcBorders>
              <w:top w:val="single" w:sz="4" w:space="0" w:color="C0C0C0"/>
              <w:left w:val="single" w:sz="4" w:space="0" w:color="C0C0C0"/>
              <w:bottom w:val="single" w:sz="4" w:space="0" w:color="C0C0C0"/>
              <w:right w:val="single" w:sz="4" w:space="0" w:color="C0C0C0"/>
            </w:tcBorders>
            <w:shd w:val="clear" w:color="auto" w:fill="EDEDED"/>
          </w:tcPr>
          <w:p w14:paraId="1CE310EF" w14:textId="77777777" w:rsidR="00572D71" w:rsidRDefault="00000000">
            <w:pPr>
              <w:keepNext/>
              <w:spacing w:before="60" w:after="60" w:line="240" w:lineRule="auto"/>
            </w:pPr>
            <w:r>
              <w:rPr>
                <w:b/>
                <w:sz w:val="19"/>
              </w:rPr>
              <w:t>Component</w:t>
            </w:r>
          </w:p>
        </w:tc>
        <w:tc>
          <w:tcPr>
            <w:tcW w:w="6840" w:type="dxa"/>
            <w:tcBorders>
              <w:top w:val="single" w:sz="4" w:space="0" w:color="C0C0C0"/>
              <w:left w:val="single" w:sz="4" w:space="0" w:color="C0C0C0"/>
              <w:bottom w:val="single" w:sz="4" w:space="0" w:color="C0C0C0"/>
              <w:right w:val="single" w:sz="4" w:space="0" w:color="C0C0C0"/>
            </w:tcBorders>
            <w:shd w:val="clear" w:color="auto" w:fill="EDEDED"/>
          </w:tcPr>
          <w:p w14:paraId="4E0D73EB" w14:textId="77777777" w:rsidR="00572D71" w:rsidRDefault="00000000">
            <w:pPr>
              <w:keepNext/>
              <w:spacing w:before="60" w:after="60" w:line="240" w:lineRule="auto"/>
            </w:pPr>
            <w:r>
              <w:rPr>
                <w:b/>
                <w:sz w:val="19"/>
              </w:rPr>
              <w:t>Assessment</w:t>
            </w:r>
          </w:p>
        </w:tc>
        <w:tc>
          <w:tcPr>
            <w:tcW w:w="1440" w:type="dxa"/>
            <w:tcBorders>
              <w:top w:val="single" w:sz="4" w:space="0" w:color="C0C0C0"/>
              <w:left w:val="single" w:sz="4" w:space="0" w:color="C0C0C0"/>
              <w:bottom w:val="single" w:sz="4" w:space="0" w:color="C0C0C0"/>
              <w:right w:val="single" w:sz="4" w:space="0" w:color="C0C0C0"/>
            </w:tcBorders>
            <w:shd w:val="clear" w:color="auto" w:fill="EDEDED"/>
          </w:tcPr>
          <w:p w14:paraId="7524E911" w14:textId="77777777" w:rsidR="00572D71" w:rsidRDefault="00000000">
            <w:pPr>
              <w:keepNext/>
              <w:spacing w:before="60" w:after="60" w:line="240" w:lineRule="auto"/>
            </w:pPr>
            <w:r>
              <w:rPr>
                <w:b/>
                <w:sz w:val="19"/>
              </w:rPr>
              <w:t>Course grade</w:t>
            </w:r>
          </w:p>
        </w:tc>
      </w:tr>
      <w:tr w:rsidR="00572D71" w14:paraId="2F20E526" w14:textId="77777777">
        <w:trPr>
          <w:cantSplit/>
        </w:trPr>
        <w:tc>
          <w:tcPr>
            <w:tcW w:w="1656" w:type="dxa"/>
            <w:tcBorders>
              <w:top w:val="single" w:sz="4" w:space="0" w:color="C0C0C0"/>
              <w:left w:val="single" w:sz="4" w:space="0" w:color="C0C0C0"/>
              <w:bottom w:val="single" w:sz="4" w:space="0" w:color="C0C0C0"/>
              <w:right w:val="single" w:sz="4" w:space="0" w:color="C0C0C0"/>
            </w:tcBorders>
          </w:tcPr>
          <w:p w14:paraId="4D8F3EBF" w14:textId="77777777" w:rsidR="00572D71" w:rsidRDefault="00000000">
            <w:pPr>
              <w:spacing w:before="60" w:after="60" w:line="240" w:lineRule="auto"/>
            </w:pPr>
            <w:r>
              <w:rPr>
                <w:sz w:val="19"/>
              </w:rPr>
              <w:t>Assignments</w:t>
            </w:r>
          </w:p>
        </w:tc>
        <w:tc>
          <w:tcPr>
            <w:tcW w:w="6840" w:type="dxa"/>
            <w:tcBorders>
              <w:top w:val="single" w:sz="4" w:space="0" w:color="C0C0C0"/>
              <w:left w:val="single" w:sz="4" w:space="0" w:color="C0C0C0"/>
              <w:bottom w:val="single" w:sz="4" w:space="0" w:color="C0C0C0"/>
              <w:right w:val="single" w:sz="4" w:space="0" w:color="C0C0C0"/>
            </w:tcBorders>
          </w:tcPr>
          <w:p w14:paraId="0B670227" w14:textId="77777777" w:rsidR="00572D71" w:rsidRDefault="00000000">
            <w:pPr>
              <w:spacing w:before="60" w:after="60" w:line="240" w:lineRule="auto"/>
            </w:pPr>
            <w:r>
              <w:rPr>
                <w:sz w:val="19"/>
              </w:rPr>
              <w:t>Four individual assignments; best three count</w:t>
            </w:r>
          </w:p>
        </w:tc>
        <w:tc>
          <w:tcPr>
            <w:tcW w:w="1440" w:type="dxa"/>
            <w:tcBorders>
              <w:top w:val="single" w:sz="4" w:space="0" w:color="C0C0C0"/>
              <w:left w:val="single" w:sz="4" w:space="0" w:color="C0C0C0"/>
              <w:bottom w:val="single" w:sz="4" w:space="0" w:color="C0C0C0"/>
              <w:right w:val="single" w:sz="4" w:space="0" w:color="C0C0C0"/>
            </w:tcBorders>
          </w:tcPr>
          <w:p w14:paraId="09CA40B4" w14:textId="77777777" w:rsidR="00572D71" w:rsidRDefault="00000000">
            <w:pPr>
              <w:spacing w:before="60" w:after="60" w:line="240" w:lineRule="auto"/>
            </w:pPr>
            <w:r>
              <w:rPr>
                <w:sz w:val="19"/>
              </w:rPr>
              <w:t>20%</w:t>
            </w:r>
          </w:p>
        </w:tc>
      </w:tr>
      <w:tr w:rsidR="00572D71" w14:paraId="098C5AF0" w14:textId="77777777">
        <w:trPr>
          <w:cantSplit/>
        </w:trPr>
        <w:tc>
          <w:tcPr>
            <w:tcW w:w="1656" w:type="dxa"/>
            <w:tcBorders>
              <w:top w:val="single" w:sz="4" w:space="0" w:color="C0C0C0"/>
              <w:left w:val="single" w:sz="4" w:space="0" w:color="C0C0C0"/>
              <w:bottom w:val="single" w:sz="4" w:space="0" w:color="C0C0C0"/>
              <w:right w:val="single" w:sz="4" w:space="0" w:color="C0C0C0"/>
            </w:tcBorders>
          </w:tcPr>
          <w:p w14:paraId="1C03BFA5" w14:textId="77777777" w:rsidR="00572D71" w:rsidRDefault="00000000">
            <w:pPr>
              <w:spacing w:before="60" w:after="60" w:line="240" w:lineRule="auto"/>
            </w:pPr>
            <w:r>
              <w:rPr>
                <w:sz w:val="19"/>
              </w:rPr>
              <w:t>Midterms</w:t>
            </w:r>
          </w:p>
        </w:tc>
        <w:tc>
          <w:tcPr>
            <w:tcW w:w="6840" w:type="dxa"/>
            <w:tcBorders>
              <w:top w:val="single" w:sz="4" w:space="0" w:color="C0C0C0"/>
              <w:left w:val="single" w:sz="4" w:space="0" w:color="C0C0C0"/>
              <w:bottom w:val="single" w:sz="4" w:space="0" w:color="C0C0C0"/>
              <w:right w:val="single" w:sz="4" w:space="0" w:color="C0C0C0"/>
            </w:tcBorders>
          </w:tcPr>
          <w:p w14:paraId="56DBD270" w14:textId="77777777" w:rsidR="00572D71" w:rsidRDefault="00000000">
            <w:pPr>
              <w:spacing w:before="60" w:after="60" w:line="240" w:lineRule="auto"/>
            </w:pPr>
            <w:r>
              <w:rPr>
                <w:sz w:val="19"/>
              </w:rPr>
              <w:t>Three midterms; 15% each</w:t>
            </w:r>
          </w:p>
        </w:tc>
        <w:tc>
          <w:tcPr>
            <w:tcW w:w="1440" w:type="dxa"/>
            <w:tcBorders>
              <w:top w:val="single" w:sz="4" w:space="0" w:color="C0C0C0"/>
              <w:left w:val="single" w:sz="4" w:space="0" w:color="C0C0C0"/>
              <w:bottom w:val="single" w:sz="4" w:space="0" w:color="C0C0C0"/>
              <w:right w:val="single" w:sz="4" w:space="0" w:color="C0C0C0"/>
            </w:tcBorders>
          </w:tcPr>
          <w:p w14:paraId="4A25070D" w14:textId="77777777" w:rsidR="00572D71" w:rsidRDefault="00000000">
            <w:pPr>
              <w:spacing w:before="60" w:after="60" w:line="240" w:lineRule="auto"/>
            </w:pPr>
            <w:r>
              <w:rPr>
                <w:sz w:val="19"/>
              </w:rPr>
              <w:t>45%</w:t>
            </w:r>
          </w:p>
        </w:tc>
      </w:tr>
      <w:tr w:rsidR="00572D71" w14:paraId="476896F1" w14:textId="77777777">
        <w:trPr>
          <w:cantSplit/>
        </w:trPr>
        <w:tc>
          <w:tcPr>
            <w:tcW w:w="1656" w:type="dxa"/>
            <w:tcBorders>
              <w:top w:val="single" w:sz="4" w:space="0" w:color="C0C0C0"/>
              <w:left w:val="single" w:sz="4" w:space="0" w:color="C0C0C0"/>
              <w:bottom w:val="single" w:sz="4" w:space="0" w:color="C0C0C0"/>
              <w:right w:val="single" w:sz="4" w:space="0" w:color="C0C0C0"/>
            </w:tcBorders>
          </w:tcPr>
          <w:p w14:paraId="68895B2A" w14:textId="77777777" w:rsidR="00572D71" w:rsidRDefault="00000000">
            <w:pPr>
              <w:spacing w:before="60" w:after="60" w:line="240" w:lineRule="auto"/>
            </w:pPr>
            <w:r>
              <w:rPr>
                <w:sz w:val="19"/>
              </w:rPr>
              <w:t>Project</w:t>
            </w:r>
          </w:p>
        </w:tc>
        <w:tc>
          <w:tcPr>
            <w:tcW w:w="6840" w:type="dxa"/>
            <w:tcBorders>
              <w:top w:val="single" w:sz="4" w:space="0" w:color="C0C0C0"/>
              <w:left w:val="single" w:sz="4" w:space="0" w:color="C0C0C0"/>
              <w:bottom w:val="single" w:sz="4" w:space="0" w:color="C0C0C0"/>
              <w:right w:val="single" w:sz="4" w:space="0" w:color="C0C0C0"/>
            </w:tcBorders>
          </w:tcPr>
          <w:p w14:paraId="787B3A03" w14:textId="77777777" w:rsidR="00572D71" w:rsidRDefault="00000000">
            <w:pPr>
              <w:spacing w:before="60" w:after="60" w:line="240" w:lineRule="auto"/>
            </w:pPr>
            <w:r>
              <w:rPr>
                <w:sz w:val="19"/>
              </w:rPr>
              <w:t>Staged reports and presentation</w:t>
            </w:r>
          </w:p>
        </w:tc>
        <w:tc>
          <w:tcPr>
            <w:tcW w:w="1440" w:type="dxa"/>
            <w:tcBorders>
              <w:top w:val="single" w:sz="4" w:space="0" w:color="C0C0C0"/>
              <w:left w:val="single" w:sz="4" w:space="0" w:color="C0C0C0"/>
              <w:bottom w:val="single" w:sz="4" w:space="0" w:color="C0C0C0"/>
              <w:right w:val="single" w:sz="4" w:space="0" w:color="C0C0C0"/>
            </w:tcBorders>
          </w:tcPr>
          <w:p w14:paraId="2A6D8A8A" w14:textId="77777777" w:rsidR="00572D71" w:rsidRDefault="00000000">
            <w:pPr>
              <w:spacing w:before="60" w:after="60" w:line="240" w:lineRule="auto"/>
            </w:pPr>
            <w:r>
              <w:rPr>
                <w:sz w:val="19"/>
              </w:rPr>
              <w:t>35%</w:t>
            </w:r>
          </w:p>
        </w:tc>
      </w:tr>
      <w:tr w:rsidR="00572D71" w14:paraId="09349243" w14:textId="77777777">
        <w:trPr>
          <w:cantSplit/>
        </w:trPr>
        <w:tc>
          <w:tcPr>
            <w:tcW w:w="1656" w:type="dxa"/>
            <w:tcBorders>
              <w:top w:val="single" w:sz="4" w:space="0" w:color="C0C0C0"/>
              <w:left w:val="single" w:sz="4" w:space="0" w:color="C0C0C0"/>
              <w:bottom w:val="single" w:sz="4" w:space="0" w:color="C0C0C0"/>
              <w:right w:val="single" w:sz="4" w:space="0" w:color="C0C0C0"/>
            </w:tcBorders>
          </w:tcPr>
          <w:p w14:paraId="127367FB" w14:textId="77777777" w:rsidR="00572D71" w:rsidRDefault="00000000">
            <w:pPr>
              <w:spacing w:before="60" w:after="60" w:line="240" w:lineRule="auto"/>
            </w:pPr>
            <w:r>
              <w:rPr>
                <w:sz w:val="19"/>
              </w:rPr>
              <w:t>Total</w:t>
            </w:r>
          </w:p>
        </w:tc>
        <w:tc>
          <w:tcPr>
            <w:tcW w:w="6840" w:type="dxa"/>
            <w:tcBorders>
              <w:top w:val="single" w:sz="4" w:space="0" w:color="C0C0C0"/>
              <w:left w:val="single" w:sz="4" w:space="0" w:color="C0C0C0"/>
              <w:bottom w:val="single" w:sz="4" w:space="0" w:color="C0C0C0"/>
              <w:right w:val="single" w:sz="4" w:space="0" w:color="C0C0C0"/>
            </w:tcBorders>
          </w:tcPr>
          <w:p w14:paraId="7068C626" w14:textId="77777777" w:rsidR="00572D71" w:rsidRDefault="00572D71">
            <w:pPr>
              <w:spacing w:before="60" w:after="60" w:line="240" w:lineRule="auto"/>
            </w:pPr>
          </w:p>
        </w:tc>
        <w:tc>
          <w:tcPr>
            <w:tcW w:w="1440" w:type="dxa"/>
            <w:tcBorders>
              <w:top w:val="single" w:sz="4" w:space="0" w:color="C0C0C0"/>
              <w:left w:val="single" w:sz="4" w:space="0" w:color="C0C0C0"/>
              <w:bottom w:val="single" w:sz="4" w:space="0" w:color="C0C0C0"/>
              <w:right w:val="single" w:sz="4" w:space="0" w:color="C0C0C0"/>
            </w:tcBorders>
          </w:tcPr>
          <w:p w14:paraId="7E8681F5" w14:textId="77777777" w:rsidR="00572D71" w:rsidRDefault="00000000">
            <w:pPr>
              <w:spacing w:before="60" w:after="60" w:line="240" w:lineRule="auto"/>
            </w:pPr>
            <w:r>
              <w:rPr>
                <w:sz w:val="19"/>
              </w:rPr>
              <w:t>100%</w:t>
            </w:r>
          </w:p>
        </w:tc>
      </w:tr>
    </w:tbl>
    <w:p w14:paraId="40DBCA5D" w14:textId="77777777" w:rsidR="00572D71" w:rsidRDefault="00000000">
      <w:pPr>
        <w:pStyle w:val="Heading11"/>
      </w:pPr>
      <w:r>
        <w:t>Calendar Targets</w:t>
      </w:r>
    </w:p>
    <w:p w14:paraId="4AEF2A33" w14:textId="77777777" w:rsidR="00572D71" w:rsidRDefault="00000000">
      <w:r>
        <w:t>Calendar Week 1 begins October 5, 2026. The expected end of classes is January 8, 2027. One makeup lecture is planned in each of October, November and December. Exact makeup, exam and submission dates and times are TBA. The week-level schedule will be reviewed after the first two weeks of classes when registration and attendance stabilize.</w:t>
      </w:r>
    </w:p>
    <w:p w14:paraId="5432CD41" w14:textId="77777777" w:rsidR="00572D71" w:rsidRDefault="00000000">
      <w:pPr>
        <w:pStyle w:val="Heading11"/>
      </w:pPr>
      <w:r>
        <w:t>Assignments</w:t>
      </w:r>
    </w:p>
    <w:p w14:paraId="3BF91194" w14:textId="77777777" w:rsidR="00572D71" w:rsidRDefault="00000000">
      <w:r>
        <w:t>The assignment category is 20% times the mean of your highest three normalized scores. Missing submissions count as zero; completing all four is not required. Each counted assignment can contribute up to 20/3 course percentage points.</w:t>
      </w:r>
    </w:p>
    <w:tbl>
      <w:tblPr>
        <w:tblW w:w="0" w:type="auto"/>
        <w:tblLayout w:type="fixed"/>
        <w:tblLook w:val="04A0" w:firstRow="1" w:lastRow="0" w:firstColumn="1" w:lastColumn="0" w:noHBand="0" w:noVBand="1"/>
      </w:tblPr>
      <w:tblGrid>
        <w:gridCol w:w="1008"/>
        <w:gridCol w:w="4752"/>
        <w:gridCol w:w="1584"/>
        <w:gridCol w:w="2592"/>
      </w:tblGrid>
      <w:tr w:rsidR="00572D71" w14:paraId="2BDB4BFE" w14:textId="77777777">
        <w:trPr>
          <w:cantSplit/>
          <w:tblHeader/>
        </w:trPr>
        <w:tc>
          <w:tcPr>
            <w:tcW w:w="1008" w:type="dxa"/>
            <w:tcBorders>
              <w:top w:val="single" w:sz="4" w:space="0" w:color="C0C0C0"/>
              <w:left w:val="single" w:sz="4" w:space="0" w:color="C0C0C0"/>
              <w:bottom w:val="single" w:sz="4" w:space="0" w:color="C0C0C0"/>
              <w:right w:val="single" w:sz="4" w:space="0" w:color="C0C0C0"/>
            </w:tcBorders>
            <w:shd w:val="clear" w:color="auto" w:fill="EDEDED"/>
          </w:tcPr>
          <w:p w14:paraId="5D2421DF" w14:textId="77777777" w:rsidR="00572D71" w:rsidRDefault="00000000">
            <w:pPr>
              <w:keepNext/>
              <w:spacing w:before="60" w:after="60" w:line="240" w:lineRule="auto"/>
            </w:pPr>
            <w:r>
              <w:rPr>
                <w:b/>
                <w:sz w:val="19"/>
              </w:rPr>
              <w:t>Task</w:t>
            </w:r>
          </w:p>
        </w:tc>
        <w:tc>
          <w:tcPr>
            <w:tcW w:w="4752" w:type="dxa"/>
            <w:tcBorders>
              <w:top w:val="single" w:sz="4" w:space="0" w:color="C0C0C0"/>
              <w:left w:val="single" w:sz="4" w:space="0" w:color="C0C0C0"/>
              <w:bottom w:val="single" w:sz="4" w:space="0" w:color="C0C0C0"/>
              <w:right w:val="single" w:sz="4" w:space="0" w:color="C0C0C0"/>
            </w:tcBorders>
            <w:shd w:val="clear" w:color="auto" w:fill="EDEDED"/>
          </w:tcPr>
          <w:p w14:paraId="4E345050" w14:textId="77777777" w:rsidR="00572D71" w:rsidRDefault="00000000">
            <w:pPr>
              <w:keepNext/>
              <w:spacing w:before="60" w:after="60" w:line="240" w:lineRule="auto"/>
            </w:pPr>
            <w:r>
              <w:rPr>
                <w:b/>
                <w:sz w:val="19"/>
              </w:rPr>
              <w:t>Focus</w:t>
            </w:r>
          </w:p>
        </w:tc>
        <w:tc>
          <w:tcPr>
            <w:tcW w:w="1584" w:type="dxa"/>
            <w:tcBorders>
              <w:top w:val="single" w:sz="4" w:space="0" w:color="C0C0C0"/>
              <w:left w:val="single" w:sz="4" w:space="0" w:color="C0C0C0"/>
              <w:bottom w:val="single" w:sz="4" w:space="0" w:color="C0C0C0"/>
              <w:right w:val="single" w:sz="4" w:space="0" w:color="C0C0C0"/>
            </w:tcBorders>
            <w:shd w:val="clear" w:color="auto" w:fill="EDEDED"/>
          </w:tcPr>
          <w:p w14:paraId="47F9E0E8" w14:textId="77777777" w:rsidR="00572D71" w:rsidRDefault="00000000">
            <w:pPr>
              <w:keepNext/>
              <w:spacing w:before="60" w:after="60" w:line="240" w:lineRule="auto"/>
            </w:pPr>
            <w:r>
              <w:rPr>
                <w:b/>
                <w:sz w:val="19"/>
              </w:rPr>
              <w:t>Release</w:t>
            </w:r>
          </w:p>
        </w:tc>
        <w:tc>
          <w:tcPr>
            <w:tcW w:w="2592" w:type="dxa"/>
            <w:tcBorders>
              <w:top w:val="single" w:sz="4" w:space="0" w:color="C0C0C0"/>
              <w:left w:val="single" w:sz="4" w:space="0" w:color="C0C0C0"/>
              <w:bottom w:val="single" w:sz="4" w:space="0" w:color="C0C0C0"/>
              <w:right w:val="single" w:sz="4" w:space="0" w:color="C0C0C0"/>
            </w:tcBorders>
            <w:shd w:val="clear" w:color="auto" w:fill="EDEDED"/>
          </w:tcPr>
          <w:p w14:paraId="583607EF" w14:textId="77777777" w:rsidR="00572D71" w:rsidRDefault="00000000">
            <w:pPr>
              <w:keepNext/>
              <w:spacing w:before="60" w:after="60" w:line="240" w:lineRule="auto"/>
            </w:pPr>
            <w:r>
              <w:rPr>
                <w:b/>
                <w:sz w:val="19"/>
              </w:rPr>
              <w:t>Due</w:t>
            </w:r>
          </w:p>
        </w:tc>
      </w:tr>
      <w:tr w:rsidR="00572D71" w14:paraId="5D4B5D95"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16FF25E5" w14:textId="77777777" w:rsidR="00572D71" w:rsidRDefault="00000000">
            <w:pPr>
              <w:spacing w:before="60" w:after="60" w:line="240" w:lineRule="auto"/>
            </w:pPr>
            <w:r>
              <w:rPr>
                <w:sz w:val="19"/>
              </w:rPr>
              <w:t>A1</w:t>
            </w:r>
          </w:p>
        </w:tc>
        <w:tc>
          <w:tcPr>
            <w:tcW w:w="4752" w:type="dxa"/>
            <w:tcBorders>
              <w:top w:val="single" w:sz="4" w:space="0" w:color="C0C0C0"/>
              <w:left w:val="single" w:sz="4" w:space="0" w:color="C0C0C0"/>
              <w:bottom w:val="single" w:sz="4" w:space="0" w:color="C0C0C0"/>
              <w:right w:val="single" w:sz="4" w:space="0" w:color="C0C0C0"/>
            </w:tcBorders>
          </w:tcPr>
          <w:p w14:paraId="555D74C4" w14:textId="77777777" w:rsidR="00572D71" w:rsidRDefault="00000000">
            <w:pPr>
              <w:spacing w:before="60" w:after="60" w:line="240" w:lineRule="auto"/>
            </w:pPr>
            <w:r>
              <w:rPr>
                <w:sz w:val="19"/>
              </w:rPr>
              <w:t>Planning and learning from sampled transitions</w:t>
            </w:r>
          </w:p>
        </w:tc>
        <w:tc>
          <w:tcPr>
            <w:tcW w:w="1584" w:type="dxa"/>
            <w:tcBorders>
              <w:top w:val="single" w:sz="4" w:space="0" w:color="C0C0C0"/>
              <w:left w:val="single" w:sz="4" w:space="0" w:color="C0C0C0"/>
              <w:bottom w:val="single" w:sz="4" w:space="0" w:color="C0C0C0"/>
              <w:right w:val="single" w:sz="4" w:space="0" w:color="C0C0C0"/>
            </w:tcBorders>
          </w:tcPr>
          <w:p w14:paraId="7D557457" w14:textId="77777777" w:rsidR="00572D71" w:rsidRDefault="00000000">
            <w:pPr>
              <w:spacing w:before="60" w:after="60" w:line="240" w:lineRule="auto"/>
            </w:pPr>
            <w:r>
              <w:rPr>
                <w:sz w:val="19"/>
              </w:rPr>
              <w:t>Week 4</w:t>
            </w:r>
          </w:p>
        </w:tc>
        <w:tc>
          <w:tcPr>
            <w:tcW w:w="2592" w:type="dxa"/>
            <w:tcBorders>
              <w:top w:val="single" w:sz="4" w:space="0" w:color="C0C0C0"/>
              <w:left w:val="single" w:sz="4" w:space="0" w:color="C0C0C0"/>
              <w:bottom w:val="single" w:sz="4" w:space="0" w:color="C0C0C0"/>
              <w:right w:val="single" w:sz="4" w:space="0" w:color="C0C0C0"/>
            </w:tcBorders>
          </w:tcPr>
          <w:p w14:paraId="525D3872" w14:textId="77777777" w:rsidR="00572D71" w:rsidRDefault="00000000">
            <w:pPr>
              <w:spacing w:before="60" w:after="60" w:line="240" w:lineRule="auto"/>
            </w:pPr>
            <w:r>
              <w:rPr>
                <w:sz w:val="19"/>
              </w:rPr>
              <w:t>Week 7 (early)</w:t>
            </w:r>
          </w:p>
        </w:tc>
      </w:tr>
      <w:tr w:rsidR="00572D71" w14:paraId="3A988A4D"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2F51F3BF" w14:textId="77777777" w:rsidR="00572D71" w:rsidRDefault="00000000">
            <w:pPr>
              <w:spacing w:before="60" w:after="60" w:line="240" w:lineRule="auto"/>
            </w:pPr>
            <w:r>
              <w:rPr>
                <w:sz w:val="19"/>
              </w:rPr>
              <w:t>A2</w:t>
            </w:r>
          </w:p>
        </w:tc>
        <w:tc>
          <w:tcPr>
            <w:tcW w:w="4752" w:type="dxa"/>
            <w:tcBorders>
              <w:top w:val="single" w:sz="4" w:space="0" w:color="C0C0C0"/>
              <w:left w:val="single" w:sz="4" w:space="0" w:color="C0C0C0"/>
              <w:bottom w:val="single" w:sz="4" w:space="0" w:color="C0C0C0"/>
              <w:right w:val="single" w:sz="4" w:space="0" w:color="C0C0C0"/>
            </w:tcBorders>
          </w:tcPr>
          <w:p w14:paraId="7600BF53" w14:textId="77777777" w:rsidR="00572D71" w:rsidRDefault="00000000">
            <w:pPr>
              <w:spacing w:before="60" w:after="60" w:line="240" w:lineRule="auto"/>
            </w:pPr>
            <w:r>
              <w:rPr>
                <w:sz w:val="19"/>
              </w:rPr>
              <w:t>Representation, instability and a small DQN</w:t>
            </w:r>
          </w:p>
        </w:tc>
        <w:tc>
          <w:tcPr>
            <w:tcW w:w="1584" w:type="dxa"/>
            <w:tcBorders>
              <w:top w:val="single" w:sz="4" w:space="0" w:color="C0C0C0"/>
              <w:left w:val="single" w:sz="4" w:space="0" w:color="C0C0C0"/>
              <w:bottom w:val="single" w:sz="4" w:space="0" w:color="C0C0C0"/>
              <w:right w:val="single" w:sz="4" w:space="0" w:color="C0C0C0"/>
            </w:tcBorders>
          </w:tcPr>
          <w:p w14:paraId="15B8C44C" w14:textId="77777777" w:rsidR="00572D71" w:rsidRDefault="00000000">
            <w:pPr>
              <w:spacing w:before="60" w:after="60" w:line="240" w:lineRule="auto"/>
            </w:pPr>
            <w:r>
              <w:rPr>
                <w:sz w:val="19"/>
              </w:rPr>
              <w:t>Week 6</w:t>
            </w:r>
          </w:p>
        </w:tc>
        <w:tc>
          <w:tcPr>
            <w:tcW w:w="2592" w:type="dxa"/>
            <w:tcBorders>
              <w:top w:val="single" w:sz="4" w:space="0" w:color="C0C0C0"/>
              <w:left w:val="single" w:sz="4" w:space="0" w:color="C0C0C0"/>
              <w:bottom w:val="single" w:sz="4" w:space="0" w:color="C0C0C0"/>
              <w:right w:val="single" w:sz="4" w:space="0" w:color="C0C0C0"/>
            </w:tcBorders>
          </w:tcPr>
          <w:p w14:paraId="6C4F55B9" w14:textId="77777777" w:rsidR="00572D71" w:rsidRDefault="00000000">
            <w:pPr>
              <w:spacing w:before="60" w:after="60" w:line="240" w:lineRule="auto"/>
            </w:pPr>
            <w:r>
              <w:rPr>
                <w:sz w:val="19"/>
              </w:rPr>
              <w:t>Week 9</w:t>
            </w:r>
          </w:p>
        </w:tc>
      </w:tr>
      <w:tr w:rsidR="00572D71" w14:paraId="7C83D353"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08FE7BA0" w14:textId="77777777" w:rsidR="00572D71" w:rsidRDefault="00000000">
            <w:pPr>
              <w:spacing w:before="60" w:after="60" w:line="240" w:lineRule="auto"/>
            </w:pPr>
            <w:r>
              <w:rPr>
                <w:sz w:val="19"/>
              </w:rPr>
              <w:t>A3</w:t>
            </w:r>
          </w:p>
        </w:tc>
        <w:tc>
          <w:tcPr>
            <w:tcW w:w="4752" w:type="dxa"/>
            <w:tcBorders>
              <w:top w:val="single" w:sz="4" w:space="0" w:color="C0C0C0"/>
              <w:left w:val="single" w:sz="4" w:space="0" w:color="C0C0C0"/>
              <w:bottom w:val="single" w:sz="4" w:space="0" w:color="C0C0C0"/>
              <w:right w:val="single" w:sz="4" w:space="0" w:color="C0C0C0"/>
            </w:tcBorders>
          </w:tcPr>
          <w:p w14:paraId="25D95FD3" w14:textId="77777777" w:rsidR="00572D71" w:rsidRDefault="00000000">
            <w:pPr>
              <w:spacing w:before="60" w:after="60" w:line="240" w:lineRule="auto"/>
            </w:pPr>
            <w:r>
              <w:rPr>
                <w:sz w:val="19"/>
              </w:rPr>
              <w:t>Policy-gradient estimators and update diagnosis</w:t>
            </w:r>
          </w:p>
        </w:tc>
        <w:tc>
          <w:tcPr>
            <w:tcW w:w="1584" w:type="dxa"/>
            <w:tcBorders>
              <w:top w:val="single" w:sz="4" w:space="0" w:color="C0C0C0"/>
              <w:left w:val="single" w:sz="4" w:space="0" w:color="C0C0C0"/>
              <w:bottom w:val="single" w:sz="4" w:space="0" w:color="C0C0C0"/>
              <w:right w:val="single" w:sz="4" w:space="0" w:color="C0C0C0"/>
            </w:tcBorders>
          </w:tcPr>
          <w:p w14:paraId="1F3DEC0F" w14:textId="77777777" w:rsidR="00572D71" w:rsidRDefault="00000000">
            <w:pPr>
              <w:spacing w:before="60" w:after="60" w:line="240" w:lineRule="auto"/>
            </w:pPr>
            <w:r>
              <w:rPr>
                <w:sz w:val="19"/>
              </w:rPr>
              <w:t>Week 8</w:t>
            </w:r>
          </w:p>
        </w:tc>
        <w:tc>
          <w:tcPr>
            <w:tcW w:w="2592" w:type="dxa"/>
            <w:tcBorders>
              <w:top w:val="single" w:sz="4" w:space="0" w:color="C0C0C0"/>
              <w:left w:val="single" w:sz="4" w:space="0" w:color="C0C0C0"/>
              <w:bottom w:val="single" w:sz="4" w:space="0" w:color="C0C0C0"/>
              <w:right w:val="single" w:sz="4" w:space="0" w:color="C0C0C0"/>
            </w:tcBorders>
          </w:tcPr>
          <w:p w14:paraId="2595BD17" w14:textId="77777777" w:rsidR="00572D71" w:rsidRDefault="00000000">
            <w:pPr>
              <w:spacing w:before="60" w:after="60" w:line="240" w:lineRule="auto"/>
            </w:pPr>
            <w:r>
              <w:rPr>
                <w:sz w:val="19"/>
              </w:rPr>
              <w:t>Week 11 (later)</w:t>
            </w:r>
          </w:p>
        </w:tc>
      </w:tr>
      <w:tr w:rsidR="00572D71" w14:paraId="11048AA9"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684F0B4A" w14:textId="77777777" w:rsidR="00572D71" w:rsidRDefault="00000000">
            <w:pPr>
              <w:spacing w:before="60" w:after="60" w:line="240" w:lineRule="auto"/>
            </w:pPr>
            <w:r>
              <w:rPr>
                <w:sz w:val="19"/>
              </w:rPr>
              <w:t>A4</w:t>
            </w:r>
          </w:p>
        </w:tc>
        <w:tc>
          <w:tcPr>
            <w:tcW w:w="4752" w:type="dxa"/>
            <w:tcBorders>
              <w:top w:val="single" w:sz="4" w:space="0" w:color="C0C0C0"/>
              <w:left w:val="single" w:sz="4" w:space="0" w:color="C0C0C0"/>
              <w:bottom w:val="single" w:sz="4" w:space="0" w:color="C0C0C0"/>
              <w:right w:val="single" w:sz="4" w:space="0" w:color="C0C0C0"/>
            </w:tcBorders>
          </w:tcPr>
          <w:p w14:paraId="3B71048D" w14:textId="77777777" w:rsidR="00572D71" w:rsidRDefault="00000000">
            <w:pPr>
              <w:spacing w:before="60" w:after="60" w:line="240" w:lineRule="auto"/>
            </w:pPr>
            <w:r>
              <w:rPr>
                <w:sz w:val="19"/>
              </w:rPr>
              <w:t>Scaffolded IQL and offline data support</w:t>
            </w:r>
          </w:p>
        </w:tc>
        <w:tc>
          <w:tcPr>
            <w:tcW w:w="1584" w:type="dxa"/>
            <w:tcBorders>
              <w:top w:val="single" w:sz="4" w:space="0" w:color="C0C0C0"/>
              <w:left w:val="single" w:sz="4" w:space="0" w:color="C0C0C0"/>
              <w:bottom w:val="single" w:sz="4" w:space="0" w:color="C0C0C0"/>
              <w:right w:val="single" w:sz="4" w:space="0" w:color="C0C0C0"/>
            </w:tcBorders>
          </w:tcPr>
          <w:p w14:paraId="79C879EC" w14:textId="77777777" w:rsidR="00572D71" w:rsidRDefault="00000000">
            <w:pPr>
              <w:spacing w:before="60" w:after="60" w:line="240" w:lineRule="auto"/>
            </w:pPr>
            <w:r>
              <w:rPr>
                <w:sz w:val="19"/>
              </w:rPr>
              <w:t>Week 12</w:t>
            </w:r>
          </w:p>
        </w:tc>
        <w:tc>
          <w:tcPr>
            <w:tcW w:w="2592" w:type="dxa"/>
            <w:tcBorders>
              <w:top w:val="single" w:sz="4" w:space="0" w:color="C0C0C0"/>
              <w:left w:val="single" w:sz="4" w:space="0" w:color="C0C0C0"/>
              <w:bottom w:val="single" w:sz="4" w:space="0" w:color="C0C0C0"/>
              <w:right w:val="single" w:sz="4" w:space="0" w:color="C0C0C0"/>
            </w:tcBorders>
          </w:tcPr>
          <w:p w14:paraId="1AFA57BC" w14:textId="77777777" w:rsidR="00572D71" w:rsidRDefault="00000000">
            <w:pPr>
              <w:spacing w:before="60" w:after="60" w:line="240" w:lineRule="auto"/>
            </w:pPr>
            <w:r>
              <w:rPr>
                <w:sz w:val="19"/>
              </w:rPr>
              <w:t>Week 15</w:t>
            </w:r>
          </w:p>
        </w:tc>
      </w:tr>
    </w:tbl>
    <w:p w14:paraId="7648342E" w14:textId="77777777" w:rsidR="00572D71" w:rsidRDefault="00000000">
      <w:r>
        <w:t>Each assignment is released after its relevant concepts have been taught and remains open for at least 21 days. One-week overlaps are allowed. The early Week 7 A1 target must retain the full window after prerequisites; exact dates will be announced. Rubrics and an example LLM-use report will be provided with concrete assignment instructions.</w:t>
      </w:r>
    </w:p>
    <w:p w14:paraId="4B06D128" w14:textId="77777777" w:rsidR="00572D71" w:rsidRDefault="00000000">
      <w:pPr>
        <w:pStyle w:val="Heading11"/>
      </w:pPr>
      <w:r>
        <w:t>Midterms</w:t>
      </w:r>
    </w:p>
    <w:tbl>
      <w:tblPr>
        <w:tblW w:w="0" w:type="auto"/>
        <w:tblLayout w:type="fixed"/>
        <w:tblLook w:val="04A0" w:firstRow="1" w:lastRow="0" w:firstColumn="1" w:lastColumn="0" w:noHBand="0" w:noVBand="1"/>
      </w:tblPr>
      <w:tblGrid>
        <w:gridCol w:w="1008"/>
        <w:gridCol w:w="1584"/>
        <w:gridCol w:w="7344"/>
      </w:tblGrid>
      <w:tr w:rsidR="00572D71" w14:paraId="7A5D5687" w14:textId="77777777">
        <w:trPr>
          <w:cantSplit/>
          <w:tblHeader/>
        </w:trPr>
        <w:tc>
          <w:tcPr>
            <w:tcW w:w="1008" w:type="dxa"/>
            <w:tcBorders>
              <w:top w:val="single" w:sz="4" w:space="0" w:color="C0C0C0"/>
              <w:left w:val="single" w:sz="4" w:space="0" w:color="C0C0C0"/>
              <w:bottom w:val="single" w:sz="4" w:space="0" w:color="C0C0C0"/>
              <w:right w:val="single" w:sz="4" w:space="0" w:color="C0C0C0"/>
            </w:tcBorders>
            <w:shd w:val="clear" w:color="auto" w:fill="EDEDED"/>
          </w:tcPr>
          <w:p w14:paraId="5F92BC87" w14:textId="77777777" w:rsidR="00572D71" w:rsidRDefault="00000000">
            <w:pPr>
              <w:keepNext/>
              <w:spacing w:before="60" w:after="60" w:line="240" w:lineRule="auto"/>
            </w:pPr>
            <w:r>
              <w:rPr>
                <w:b/>
                <w:sz w:val="19"/>
              </w:rPr>
              <w:t>Exam</w:t>
            </w:r>
          </w:p>
        </w:tc>
        <w:tc>
          <w:tcPr>
            <w:tcW w:w="1584" w:type="dxa"/>
            <w:tcBorders>
              <w:top w:val="single" w:sz="4" w:space="0" w:color="C0C0C0"/>
              <w:left w:val="single" w:sz="4" w:space="0" w:color="C0C0C0"/>
              <w:bottom w:val="single" w:sz="4" w:space="0" w:color="C0C0C0"/>
              <w:right w:val="single" w:sz="4" w:space="0" w:color="C0C0C0"/>
            </w:tcBorders>
            <w:shd w:val="clear" w:color="auto" w:fill="EDEDED"/>
          </w:tcPr>
          <w:p w14:paraId="1B576E72" w14:textId="77777777" w:rsidR="00572D71" w:rsidRDefault="00000000">
            <w:pPr>
              <w:keepNext/>
              <w:spacing w:before="60" w:after="60" w:line="240" w:lineRule="auto"/>
            </w:pPr>
            <w:r>
              <w:rPr>
                <w:b/>
                <w:sz w:val="19"/>
              </w:rPr>
              <w:t>Target</w:t>
            </w:r>
          </w:p>
        </w:tc>
        <w:tc>
          <w:tcPr>
            <w:tcW w:w="7344" w:type="dxa"/>
            <w:tcBorders>
              <w:top w:val="single" w:sz="4" w:space="0" w:color="C0C0C0"/>
              <w:left w:val="single" w:sz="4" w:space="0" w:color="C0C0C0"/>
              <w:bottom w:val="single" w:sz="4" w:space="0" w:color="C0C0C0"/>
              <w:right w:val="single" w:sz="4" w:space="0" w:color="C0C0C0"/>
            </w:tcBorders>
            <w:shd w:val="clear" w:color="auto" w:fill="EDEDED"/>
          </w:tcPr>
          <w:p w14:paraId="0434D85F" w14:textId="77777777" w:rsidR="00572D71" w:rsidRDefault="00000000">
            <w:pPr>
              <w:keepNext/>
              <w:spacing w:before="60" w:after="60" w:line="240" w:lineRule="auto"/>
            </w:pPr>
            <w:r>
              <w:rPr>
                <w:b/>
                <w:sz w:val="19"/>
              </w:rPr>
              <w:t>Coverage</w:t>
            </w:r>
          </w:p>
        </w:tc>
      </w:tr>
      <w:tr w:rsidR="00572D71" w14:paraId="376F642A"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69CD64B6" w14:textId="77777777" w:rsidR="00572D71" w:rsidRDefault="00000000">
            <w:pPr>
              <w:spacing w:before="60" w:after="60" w:line="240" w:lineRule="auto"/>
            </w:pPr>
            <w:r>
              <w:rPr>
                <w:sz w:val="19"/>
              </w:rPr>
              <w:t>MT1</w:t>
            </w:r>
          </w:p>
        </w:tc>
        <w:tc>
          <w:tcPr>
            <w:tcW w:w="1584" w:type="dxa"/>
            <w:tcBorders>
              <w:top w:val="single" w:sz="4" w:space="0" w:color="C0C0C0"/>
              <w:left w:val="single" w:sz="4" w:space="0" w:color="C0C0C0"/>
              <w:bottom w:val="single" w:sz="4" w:space="0" w:color="C0C0C0"/>
              <w:right w:val="single" w:sz="4" w:space="0" w:color="C0C0C0"/>
            </w:tcBorders>
          </w:tcPr>
          <w:p w14:paraId="079D9B13" w14:textId="77777777" w:rsidR="00572D71" w:rsidRDefault="00000000">
            <w:pPr>
              <w:spacing w:before="60" w:after="60" w:line="240" w:lineRule="auto"/>
            </w:pPr>
            <w:r>
              <w:rPr>
                <w:sz w:val="19"/>
              </w:rPr>
              <w:t>Week 6</w:t>
            </w:r>
          </w:p>
        </w:tc>
        <w:tc>
          <w:tcPr>
            <w:tcW w:w="7344" w:type="dxa"/>
            <w:tcBorders>
              <w:top w:val="single" w:sz="4" w:space="0" w:color="C0C0C0"/>
              <w:left w:val="single" w:sz="4" w:space="0" w:color="C0C0C0"/>
              <w:bottom w:val="single" w:sz="4" w:space="0" w:color="C0C0C0"/>
              <w:right w:val="single" w:sz="4" w:space="0" w:color="C0C0C0"/>
            </w:tcBorders>
          </w:tcPr>
          <w:p w14:paraId="4452CC2B" w14:textId="77777777" w:rsidR="00572D71" w:rsidRDefault="00000000">
            <w:pPr>
              <w:spacing w:before="60" w:after="60" w:line="240" w:lineRule="auto"/>
            </w:pPr>
            <w:r>
              <w:rPr>
                <w:sz w:val="19"/>
              </w:rPr>
              <w:t>Teaching units 1–5: formulation through linear approximation and instability, before deep RL.</w:t>
            </w:r>
          </w:p>
        </w:tc>
      </w:tr>
      <w:tr w:rsidR="00572D71" w14:paraId="4B033BCC"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4762713B" w14:textId="77777777" w:rsidR="00572D71" w:rsidRDefault="00000000">
            <w:pPr>
              <w:spacing w:before="60" w:after="60" w:line="240" w:lineRule="auto"/>
            </w:pPr>
            <w:r>
              <w:rPr>
                <w:sz w:val="19"/>
              </w:rPr>
              <w:t>MT2</w:t>
            </w:r>
          </w:p>
        </w:tc>
        <w:tc>
          <w:tcPr>
            <w:tcW w:w="1584" w:type="dxa"/>
            <w:tcBorders>
              <w:top w:val="single" w:sz="4" w:space="0" w:color="C0C0C0"/>
              <w:left w:val="single" w:sz="4" w:space="0" w:color="C0C0C0"/>
              <w:bottom w:val="single" w:sz="4" w:space="0" w:color="C0C0C0"/>
              <w:right w:val="single" w:sz="4" w:space="0" w:color="C0C0C0"/>
            </w:tcBorders>
          </w:tcPr>
          <w:p w14:paraId="269EB356" w14:textId="77777777" w:rsidR="00572D71" w:rsidRDefault="00000000">
            <w:pPr>
              <w:spacing w:before="60" w:after="60" w:line="240" w:lineRule="auto"/>
            </w:pPr>
            <w:r>
              <w:rPr>
                <w:sz w:val="19"/>
              </w:rPr>
              <w:t>Week 10</w:t>
            </w:r>
          </w:p>
        </w:tc>
        <w:tc>
          <w:tcPr>
            <w:tcW w:w="7344" w:type="dxa"/>
            <w:tcBorders>
              <w:top w:val="single" w:sz="4" w:space="0" w:color="C0C0C0"/>
              <w:left w:val="single" w:sz="4" w:space="0" w:color="C0C0C0"/>
              <w:bottom w:val="single" w:sz="4" w:space="0" w:color="C0C0C0"/>
              <w:right w:val="single" w:sz="4" w:space="0" w:color="C0C0C0"/>
            </w:tcBorders>
          </w:tcPr>
          <w:p w14:paraId="3152A7FC" w14:textId="77777777" w:rsidR="00572D71" w:rsidRDefault="00000000">
            <w:pPr>
              <w:spacing w:before="60" w:after="60" w:line="240" w:lineRule="auto"/>
            </w:pPr>
            <w:r>
              <w:rPr>
                <w:sz w:val="19"/>
              </w:rPr>
              <w:t>Teaching units 6–8 plus 9.1: DQN through SAC; excludes bandits.</w:t>
            </w:r>
          </w:p>
        </w:tc>
      </w:tr>
      <w:tr w:rsidR="00572D71" w14:paraId="5C74E688" w14:textId="77777777">
        <w:trPr>
          <w:cantSplit/>
        </w:trPr>
        <w:tc>
          <w:tcPr>
            <w:tcW w:w="1008" w:type="dxa"/>
            <w:tcBorders>
              <w:top w:val="single" w:sz="4" w:space="0" w:color="C0C0C0"/>
              <w:left w:val="single" w:sz="4" w:space="0" w:color="C0C0C0"/>
              <w:bottom w:val="single" w:sz="4" w:space="0" w:color="C0C0C0"/>
              <w:right w:val="single" w:sz="4" w:space="0" w:color="C0C0C0"/>
            </w:tcBorders>
          </w:tcPr>
          <w:p w14:paraId="5619E55D" w14:textId="77777777" w:rsidR="00572D71" w:rsidRDefault="00000000">
            <w:pPr>
              <w:spacing w:before="60" w:after="60" w:line="240" w:lineRule="auto"/>
            </w:pPr>
            <w:r>
              <w:rPr>
                <w:sz w:val="19"/>
              </w:rPr>
              <w:t>MT3</w:t>
            </w:r>
          </w:p>
        </w:tc>
        <w:tc>
          <w:tcPr>
            <w:tcW w:w="1584" w:type="dxa"/>
            <w:tcBorders>
              <w:top w:val="single" w:sz="4" w:space="0" w:color="C0C0C0"/>
              <w:left w:val="single" w:sz="4" w:space="0" w:color="C0C0C0"/>
              <w:bottom w:val="single" w:sz="4" w:space="0" w:color="C0C0C0"/>
              <w:right w:val="single" w:sz="4" w:space="0" w:color="C0C0C0"/>
            </w:tcBorders>
          </w:tcPr>
          <w:p w14:paraId="3A80FBF9" w14:textId="77777777" w:rsidR="00572D71" w:rsidRDefault="00000000">
            <w:pPr>
              <w:spacing w:before="60" w:after="60" w:line="240" w:lineRule="auto"/>
            </w:pPr>
            <w:r>
              <w:rPr>
                <w:sz w:val="19"/>
              </w:rPr>
              <w:t>Week 13</w:t>
            </w:r>
          </w:p>
        </w:tc>
        <w:tc>
          <w:tcPr>
            <w:tcW w:w="7344" w:type="dxa"/>
            <w:tcBorders>
              <w:top w:val="single" w:sz="4" w:space="0" w:color="C0C0C0"/>
              <w:left w:val="single" w:sz="4" w:space="0" w:color="C0C0C0"/>
              <w:bottom w:val="single" w:sz="4" w:space="0" w:color="C0C0C0"/>
              <w:right w:val="single" w:sz="4" w:space="0" w:color="C0C0C0"/>
            </w:tcBorders>
          </w:tcPr>
          <w:p w14:paraId="014F5B79" w14:textId="77777777" w:rsidR="00572D71" w:rsidRDefault="00000000">
            <w:pPr>
              <w:spacing w:before="60" w:after="60" w:line="240" w:lineRule="auto"/>
            </w:pPr>
            <w:r>
              <w:rPr>
                <w:sz w:val="19"/>
              </w:rPr>
              <w:t>Teaching units 9.2–12: bandits, search/model-based RL and offline RL, including a brief conceptual CQL question; excludes LLM RL.</w:t>
            </w:r>
          </w:p>
        </w:tc>
      </w:tr>
    </w:tbl>
    <w:p w14:paraId="0BBCC461" w14:textId="77777777" w:rsidR="00572D71" w:rsidRDefault="00000000">
      <w:r>
        <w:t>Each midterm uses a separate exam slot. Exact dates, durations and arrangements are TBA. There is no final exam. Exams assess taught concepts at the expected level; they do not assume that an assignment has been submitted or its feedback released.</w:t>
      </w:r>
    </w:p>
    <w:p w14:paraId="63C67B6D" w14:textId="77777777" w:rsidR="00572D71" w:rsidRDefault="00000000">
      <w:pPr>
        <w:pStyle w:val="Heading11"/>
        <w:pageBreakBefore/>
      </w:pPr>
      <w:r>
        <w:lastRenderedPageBreak/>
        <w:t>Semester Project</w:t>
      </w:r>
    </w:p>
    <w:p w14:paraId="5079FBA8" w14:textId="77777777" w:rsidR="00572D71" w:rsidRDefault="00000000">
      <w:r>
        <w:t>Develop an end-to-end RL study: formulate a problem, build a solution, compare a meaningful baseline, evaluate results systematically and communicate limitations. Teams of 2–3 are encouraged; individual work and four-person teams are considered case by case. A well-supported negative result can succeed; novelty and benchmark superiority are not required.</w:t>
      </w:r>
    </w:p>
    <w:tbl>
      <w:tblPr>
        <w:tblW w:w="0" w:type="auto"/>
        <w:tblLayout w:type="fixed"/>
        <w:tblLook w:val="04A0" w:firstRow="1" w:lastRow="0" w:firstColumn="1" w:lastColumn="0" w:noHBand="0" w:noVBand="1"/>
      </w:tblPr>
      <w:tblGrid>
        <w:gridCol w:w="2880"/>
        <w:gridCol w:w="2304"/>
        <w:gridCol w:w="3312"/>
        <w:gridCol w:w="1440"/>
      </w:tblGrid>
      <w:tr w:rsidR="00572D71" w14:paraId="37B97A18" w14:textId="77777777">
        <w:trPr>
          <w:cantSplit/>
          <w:tblHeader/>
        </w:trPr>
        <w:tc>
          <w:tcPr>
            <w:tcW w:w="2880" w:type="dxa"/>
            <w:tcBorders>
              <w:top w:val="single" w:sz="4" w:space="0" w:color="C0C0C0"/>
              <w:left w:val="single" w:sz="4" w:space="0" w:color="C0C0C0"/>
              <w:bottom w:val="single" w:sz="4" w:space="0" w:color="C0C0C0"/>
              <w:right w:val="single" w:sz="4" w:space="0" w:color="C0C0C0"/>
            </w:tcBorders>
            <w:shd w:val="clear" w:color="auto" w:fill="EDEDED"/>
          </w:tcPr>
          <w:p w14:paraId="72B84DEB" w14:textId="77777777" w:rsidR="00572D71" w:rsidRDefault="00000000">
            <w:pPr>
              <w:keepNext/>
              <w:spacing w:before="60" w:after="60" w:line="240" w:lineRule="auto"/>
            </w:pPr>
            <w:r>
              <w:rPr>
                <w:b/>
                <w:sz w:val="19"/>
              </w:rPr>
              <w:t>Milestone</w:t>
            </w:r>
          </w:p>
        </w:tc>
        <w:tc>
          <w:tcPr>
            <w:tcW w:w="2304" w:type="dxa"/>
            <w:tcBorders>
              <w:top w:val="single" w:sz="4" w:space="0" w:color="C0C0C0"/>
              <w:left w:val="single" w:sz="4" w:space="0" w:color="C0C0C0"/>
              <w:bottom w:val="single" w:sz="4" w:space="0" w:color="C0C0C0"/>
              <w:right w:val="single" w:sz="4" w:space="0" w:color="C0C0C0"/>
            </w:tcBorders>
            <w:shd w:val="clear" w:color="auto" w:fill="EDEDED"/>
          </w:tcPr>
          <w:p w14:paraId="2392342C" w14:textId="77777777" w:rsidR="00572D71" w:rsidRDefault="00000000">
            <w:pPr>
              <w:keepNext/>
              <w:spacing w:before="60" w:after="60" w:line="240" w:lineRule="auto"/>
            </w:pPr>
            <w:r>
              <w:rPr>
                <w:b/>
                <w:sz w:val="19"/>
              </w:rPr>
              <w:t>Target</w:t>
            </w:r>
          </w:p>
        </w:tc>
        <w:tc>
          <w:tcPr>
            <w:tcW w:w="3312" w:type="dxa"/>
            <w:tcBorders>
              <w:top w:val="single" w:sz="4" w:space="0" w:color="C0C0C0"/>
              <w:left w:val="single" w:sz="4" w:space="0" w:color="C0C0C0"/>
              <w:bottom w:val="single" w:sz="4" w:space="0" w:color="C0C0C0"/>
              <w:right w:val="single" w:sz="4" w:space="0" w:color="C0C0C0"/>
            </w:tcBorders>
            <w:shd w:val="clear" w:color="auto" w:fill="EDEDED"/>
          </w:tcPr>
          <w:p w14:paraId="3AE842F1" w14:textId="77777777" w:rsidR="00572D71" w:rsidRDefault="00000000">
            <w:pPr>
              <w:keepNext/>
              <w:spacing w:before="60" w:after="60" w:line="240" w:lineRule="auto"/>
            </w:pPr>
            <w:r>
              <w:rPr>
                <w:b/>
                <w:sz w:val="19"/>
              </w:rPr>
              <w:t>Length</w:t>
            </w:r>
          </w:p>
        </w:tc>
        <w:tc>
          <w:tcPr>
            <w:tcW w:w="1440" w:type="dxa"/>
            <w:tcBorders>
              <w:top w:val="single" w:sz="4" w:space="0" w:color="C0C0C0"/>
              <w:left w:val="single" w:sz="4" w:space="0" w:color="C0C0C0"/>
              <w:bottom w:val="single" w:sz="4" w:space="0" w:color="C0C0C0"/>
              <w:right w:val="single" w:sz="4" w:space="0" w:color="C0C0C0"/>
            </w:tcBorders>
            <w:shd w:val="clear" w:color="auto" w:fill="EDEDED"/>
          </w:tcPr>
          <w:p w14:paraId="7B5CF1E9" w14:textId="77777777" w:rsidR="00572D71" w:rsidRDefault="00000000">
            <w:pPr>
              <w:keepNext/>
              <w:spacing w:before="60" w:after="60" w:line="240" w:lineRule="auto"/>
            </w:pPr>
            <w:r>
              <w:rPr>
                <w:b/>
                <w:sz w:val="19"/>
              </w:rPr>
              <w:t>Course grade</w:t>
            </w:r>
          </w:p>
        </w:tc>
      </w:tr>
      <w:tr w:rsidR="00572D71" w14:paraId="392DF376" w14:textId="77777777">
        <w:trPr>
          <w:cantSplit/>
        </w:trPr>
        <w:tc>
          <w:tcPr>
            <w:tcW w:w="2880" w:type="dxa"/>
            <w:tcBorders>
              <w:top w:val="single" w:sz="4" w:space="0" w:color="C0C0C0"/>
              <w:left w:val="single" w:sz="4" w:space="0" w:color="C0C0C0"/>
              <w:bottom w:val="single" w:sz="4" w:space="0" w:color="C0C0C0"/>
              <w:right w:val="single" w:sz="4" w:space="0" w:color="C0C0C0"/>
            </w:tcBorders>
          </w:tcPr>
          <w:p w14:paraId="618DCDB3" w14:textId="77777777" w:rsidR="00572D71" w:rsidRDefault="00000000">
            <w:pPr>
              <w:spacing w:before="60" w:after="60" w:line="240" w:lineRule="auto"/>
            </w:pPr>
            <w:r>
              <w:rPr>
                <w:sz w:val="19"/>
              </w:rPr>
              <w:t>Proposal</w:t>
            </w:r>
          </w:p>
        </w:tc>
        <w:tc>
          <w:tcPr>
            <w:tcW w:w="2304" w:type="dxa"/>
            <w:tcBorders>
              <w:top w:val="single" w:sz="4" w:space="0" w:color="C0C0C0"/>
              <w:left w:val="single" w:sz="4" w:space="0" w:color="C0C0C0"/>
              <w:bottom w:val="single" w:sz="4" w:space="0" w:color="C0C0C0"/>
              <w:right w:val="single" w:sz="4" w:space="0" w:color="C0C0C0"/>
            </w:tcBorders>
          </w:tcPr>
          <w:p w14:paraId="181923D9" w14:textId="77777777" w:rsidR="00572D71" w:rsidRDefault="00000000">
            <w:pPr>
              <w:spacing w:before="60" w:after="60" w:line="240" w:lineRule="auto"/>
            </w:pPr>
            <w:r>
              <w:rPr>
                <w:sz w:val="19"/>
              </w:rPr>
              <w:t>Week 4</w:t>
            </w:r>
          </w:p>
        </w:tc>
        <w:tc>
          <w:tcPr>
            <w:tcW w:w="3312" w:type="dxa"/>
            <w:tcBorders>
              <w:top w:val="single" w:sz="4" w:space="0" w:color="C0C0C0"/>
              <w:left w:val="single" w:sz="4" w:space="0" w:color="C0C0C0"/>
              <w:bottom w:val="single" w:sz="4" w:space="0" w:color="C0C0C0"/>
              <w:right w:val="single" w:sz="4" w:space="0" w:color="C0C0C0"/>
            </w:tcBorders>
          </w:tcPr>
          <w:p w14:paraId="1780EAD1" w14:textId="77777777" w:rsidR="00572D71" w:rsidRDefault="00000000">
            <w:pPr>
              <w:spacing w:before="60" w:after="60" w:line="240" w:lineRule="auto"/>
            </w:pPr>
            <w:r>
              <w:rPr>
                <w:sz w:val="19"/>
              </w:rPr>
              <w:t>2 pages</w:t>
            </w:r>
          </w:p>
        </w:tc>
        <w:tc>
          <w:tcPr>
            <w:tcW w:w="1440" w:type="dxa"/>
            <w:tcBorders>
              <w:top w:val="single" w:sz="4" w:space="0" w:color="C0C0C0"/>
              <w:left w:val="single" w:sz="4" w:space="0" w:color="C0C0C0"/>
              <w:bottom w:val="single" w:sz="4" w:space="0" w:color="C0C0C0"/>
              <w:right w:val="single" w:sz="4" w:space="0" w:color="C0C0C0"/>
            </w:tcBorders>
          </w:tcPr>
          <w:p w14:paraId="47BD0321" w14:textId="77777777" w:rsidR="00572D71" w:rsidRDefault="00000000">
            <w:pPr>
              <w:spacing w:before="60" w:after="60" w:line="240" w:lineRule="auto"/>
            </w:pPr>
            <w:r>
              <w:rPr>
                <w:sz w:val="19"/>
              </w:rPr>
              <w:t>5%</w:t>
            </w:r>
          </w:p>
        </w:tc>
      </w:tr>
      <w:tr w:rsidR="00572D71" w14:paraId="4830A880" w14:textId="77777777">
        <w:trPr>
          <w:cantSplit/>
        </w:trPr>
        <w:tc>
          <w:tcPr>
            <w:tcW w:w="2880" w:type="dxa"/>
            <w:tcBorders>
              <w:top w:val="single" w:sz="4" w:space="0" w:color="C0C0C0"/>
              <w:left w:val="single" w:sz="4" w:space="0" w:color="C0C0C0"/>
              <w:bottom w:val="single" w:sz="4" w:space="0" w:color="C0C0C0"/>
              <w:right w:val="single" w:sz="4" w:space="0" w:color="C0C0C0"/>
            </w:tcBorders>
          </w:tcPr>
          <w:p w14:paraId="32E1D3FA" w14:textId="77777777" w:rsidR="00572D71" w:rsidRDefault="00000000">
            <w:pPr>
              <w:spacing w:before="60" w:after="60" w:line="240" w:lineRule="auto"/>
            </w:pPr>
            <w:r>
              <w:rPr>
                <w:sz w:val="19"/>
              </w:rPr>
              <w:t>Formulation/design</w:t>
            </w:r>
          </w:p>
        </w:tc>
        <w:tc>
          <w:tcPr>
            <w:tcW w:w="2304" w:type="dxa"/>
            <w:tcBorders>
              <w:top w:val="single" w:sz="4" w:space="0" w:color="C0C0C0"/>
              <w:left w:val="single" w:sz="4" w:space="0" w:color="C0C0C0"/>
              <w:bottom w:val="single" w:sz="4" w:space="0" w:color="C0C0C0"/>
              <w:right w:val="single" w:sz="4" w:space="0" w:color="C0C0C0"/>
            </w:tcBorders>
          </w:tcPr>
          <w:p w14:paraId="1C8DFD0F" w14:textId="77777777" w:rsidR="00572D71" w:rsidRDefault="00000000">
            <w:pPr>
              <w:spacing w:before="60" w:after="60" w:line="240" w:lineRule="auto"/>
            </w:pPr>
            <w:r>
              <w:rPr>
                <w:sz w:val="19"/>
              </w:rPr>
              <w:t>Week 7 (later in the week)</w:t>
            </w:r>
          </w:p>
        </w:tc>
        <w:tc>
          <w:tcPr>
            <w:tcW w:w="3312" w:type="dxa"/>
            <w:tcBorders>
              <w:top w:val="single" w:sz="4" w:space="0" w:color="C0C0C0"/>
              <w:left w:val="single" w:sz="4" w:space="0" w:color="C0C0C0"/>
              <w:bottom w:val="single" w:sz="4" w:space="0" w:color="C0C0C0"/>
              <w:right w:val="single" w:sz="4" w:space="0" w:color="C0C0C0"/>
            </w:tcBorders>
          </w:tcPr>
          <w:p w14:paraId="0E31D6C2" w14:textId="77777777" w:rsidR="00572D71" w:rsidRDefault="00000000">
            <w:pPr>
              <w:spacing w:before="60" w:after="60" w:line="240" w:lineRule="auto"/>
            </w:pPr>
            <w:r>
              <w:rPr>
                <w:sz w:val="19"/>
              </w:rPr>
              <w:t>2–3 pages</w:t>
            </w:r>
          </w:p>
        </w:tc>
        <w:tc>
          <w:tcPr>
            <w:tcW w:w="1440" w:type="dxa"/>
            <w:tcBorders>
              <w:top w:val="single" w:sz="4" w:space="0" w:color="C0C0C0"/>
              <w:left w:val="single" w:sz="4" w:space="0" w:color="C0C0C0"/>
              <w:bottom w:val="single" w:sz="4" w:space="0" w:color="C0C0C0"/>
              <w:right w:val="single" w:sz="4" w:space="0" w:color="C0C0C0"/>
            </w:tcBorders>
          </w:tcPr>
          <w:p w14:paraId="29088DB2" w14:textId="77777777" w:rsidR="00572D71" w:rsidRDefault="00000000">
            <w:pPr>
              <w:spacing w:before="60" w:after="60" w:line="240" w:lineRule="auto"/>
            </w:pPr>
            <w:r>
              <w:rPr>
                <w:sz w:val="19"/>
              </w:rPr>
              <w:t>5%</w:t>
            </w:r>
          </w:p>
        </w:tc>
      </w:tr>
      <w:tr w:rsidR="00572D71" w14:paraId="172BBF28" w14:textId="77777777">
        <w:trPr>
          <w:cantSplit/>
        </w:trPr>
        <w:tc>
          <w:tcPr>
            <w:tcW w:w="2880" w:type="dxa"/>
            <w:tcBorders>
              <w:top w:val="single" w:sz="4" w:space="0" w:color="C0C0C0"/>
              <w:left w:val="single" w:sz="4" w:space="0" w:color="C0C0C0"/>
              <w:bottom w:val="single" w:sz="4" w:space="0" w:color="C0C0C0"/>
              <w:right w:val="single" w:sz="4" w:space="0" w:color="C0C0C0"/>
            </w:tcBorders>
          </w:tcPr>
          <w:p w14:paraId="0DBD113E" w14:textId="77777777" w:rsidR="00572D71" w:rsidRDefault="00000000">
            <w:pPr>
              <w:spacing w:before="60" w:after="60" w:line="240" w:lineRule="auto"/>
            </w:pPr>
            <w:r>
              <w:rPr>
                <w:sz w:val="19"/>
              </w:rPr>
              <w:t>Progress and evaluation plan</w:t>
            </w:r>
          </w:p>
        </w:tc>
        <w:tc>
          <w:tcPr>
            <w:tcW w:w="2304" w:type="dxa"/>
            <w:tcBorders>
              <w:top w:val="single" w:sz="4" w:space="0" w:color="C0C0C0"/>
              <w:left w:val="single" w:sz="4" w:space="0" w:color="C0C0C0"/>
              <w:bottom w:val="single" w:sz="4" w:space="0" w:color="C0C0C0"/>
              <w:right w:val="single" w:sz="4" w:space="0" w:color="C0C0C0"/>
            </w:tcBorders>
          </w:tcPr>
          <w:p w14:paraId="294B29BA" w14:textId="77777777" w:rsidR="00572D71" w:rsidRDefault="00000000">
            <w:pPr>
              <w:spacing w:before="60" w:after="60" w:line="240" w:lineRule="auto"/>
            </w:pPr>
            <w:r>
              <w:rPr>
                <w:sz w:val="19"/>
              </w:rPr>
              <w:t>Week 11 (early in the week)</w:t>
            </w:r>
          </w:p>
        </w:tc>
        <w:tc>
          <w:tcPr>
            <w:tcW w:w="3312" w:type="dxa"/>
            <w:tcBorders>
              <w:top w:val="single" w:sz="4" w:space="0" w:color="C0C0C0"/>
              <w:left w:val="single" w:sz="4" w:space="0" w:color="C0C0C0"/>
              <w:bottom w:val="single" w:sz="4" w:space="0" w:color="C0C0C0"/>
              <w:right w:val="single" w:sz="4" w:space="0" w:color="C0C0C0"/>
            </w:tcBorders>
          </w:tcPr>
          <w:p w14:paraId="438C92DF" w14:textId="77777777" w:rsidR="00572D71" w:rsidRDefault="00000000">
            <w:pPr>
              <w:spacing w:before="60" w:after="60" w:line="240" w:lineRule="auto"/>
            </w:pPr>
            <w:r>
              <w:rPr>
                <w:sz w:val="19"/>
              </w:rPr>
              <w:t>3–4 pages</w:t>
            </w:r>
          </w:p>
        </w:tc>
        <w:tc>
          <w:tcPr>
            <w:tcW w:w="1440" w:type="dxa"/>
            <w:tcBorders>
              <w:top w:val="single" w:sz="4" w:space="0" w:color="C0C0C0"/>
              <w:left w:val="single" w:sz="4" w:space="0" w:color="C0C0C0"/>
              <w:bottom w:val="single" w:sz="4" w:space="0" w:color="C0C0C0"/>
              <w:right w:val="single" w:sz="4" w:space="0" w:color="C0C0C0"/>
            </w:tcBorders>
          </w:tcPr>
          <w:p w14:paraId="02EB47BD" w14:textId="77777777" w:rsidR="00572D71" w:rsidRDefault="00000000">
            <w:pPr>
              <w:spacing w:before="60" w:after="60" w:line="240" w:lineRule="auto"/>
            </w:pPr>
            <w:r>
              <w:rPr>
                <w:sz w:val="19"/>
              </w:rPr>
              <w:t>7.5%</w:t>
            </w:r>
          </w:p>
        </w:tc>
      </w:tr>
      <w:tr w:rsidR="00572D71" w14:paraId="1BF1BB1D" w14:textId="77777777">
        <w:trPr>
          <w:cantSplit/>
        </w:trPr>
        <w:tc>
          <w:tcPr>
            <w:tcW w:w="2880" w:type="dxa"/>
            <w:tcBorders>
              <w:top w:val="single" w:sz="4" w:space="0" w:color="C0C0C0"/>
              <w:left w:val="single" w:sz="4" w:space="0" w:color="C0C0C0"/>
              <w:bottom w:val="single" w:sz="4" w:space="0" w:color="C0C0C0"/>
              <w:right w:val="single" w:sz="4" w:space="0" w:color="C0C0C0"/>
            </w:tcBorders>
          </w:tcPr>
          <w:p w14:paraId="04511C6E" w14:textId="77777777" w:rsidR="00572D71" w:rsidRDefault="00000000">
            <w:pPr>
              <w:spacing w:before="60" w:after="60" w:line="240" w:lineRule="auto"/>
            </w:pPr>
            <w:r>
              <w:rPr>
                <w:sz w:val="19"/>
              </w:rPr>
              <w:t>Presentation</w:t>
            </w:r>
          </w:p>
        </w:tc>
        <w:tc>
          <w:tcPr>
            <w:tcW w:w="2304" w:type="dxa"/>
            <w:tcBorders>
              <w:top w:val="single" w:sz="4" w:space="0" w:color="C0C0C0"/>
              <w:left w:val="single" w:sz="4" w:space="0" w:color="C0C0C0"/>
              <w:bottom w:val="single" w:sz="4" w:space="0" w:color="C0C0C0"/>
              <w:right w:val="single" w:sz="4" w:space="0" w:color="C0C0C0"/>
            </w:tcBorders>
          </w:tcPr>
          <w:p w14:paraId="36BC6999" w14:textId="77777777" w:rsidR="00572D71" w:rsidRDefault="00000000">
            <w:pPr>
              <w:spacing w:before="60" w:after="60" w:line="240" w:lineRule="auto"/>
            </w:pPr>
            <w:r>
              <w:rPr>
                <w:sz w:val="19"/>
              </w:rPr>
              <w:t>Week 14</w:t>
            </w:r>
          </w:p>
        </w:tc>
        <w:tc>
          <w:tcPr>
            <w:tcW w:w="3312" w:type="dxa"/>
            <w:tcBorders>
              <w:top w:val="single" w:sz="4" w:space="0" w:color="C0C0C0"/>
              <w:left w:val="single" w:sz="4" w:space="0" w:color="C0C0C0"/>
              <w:bottom w:val="single" w:sz="4" w:space="0" w:color="C0C0C0"/>
              <w:right w:val="single" w:sz="4" w:space="0" w:color="C0C0C0"/>
            </w:tcBorders>
          </w:tcPr>
          <w:p w14:paraId="752BF0EA" w14:textId="77777777" w:rsidR="00572D71" w:rsidRDefault="00000000">
            <w:pPr>
              <w:spacing w:before="60" w:after="60" w:line="240" w:lineRule="auto"/>
            </w:pPr>
            <w:r>
              <w:rPr>
                <w:sz w:val="19"/>
              </w:rPr>
              <w:t>10 minutes + 3 minutes discussion per team</w:t>
            </w:r>
          </w:p>
        </w:tc>
        <w:tc>
          <w:tcPr>
            <w:tcW w:w="1440" w:type="dxa"/>
            <w:tcBorders>
              <w:top w:val="single" w:sz="4" w:space="0" w:color="C0C0C0"/>
              <w:left w:val="single" w:sz="4" w:space="0" w:color="C0C0C0"/>
              <w:bottom w:val="single" w:sz="4" w:space="0" w:color="C0C0C0"/>
              <w:right w:val="single" w:sz="4" w:space="0" w:color="C0C0C0"/>
            </w:tcBorders>
          </w:tcPr>
          <w:p w14:paraId="31C63526" w14:textId="77777777" w:rsidR="00572D71" w:rsidRDefault="00000000">
            <w:pPr>
              <w:spacing w:before="60" w:after="60" w:line="240" w:lineRule="auto"/>
            </w:pPr>
            <w:r>
              <w:rPr>
                <w:sz w:val="19"/>
              </w:rPr>
              <w:t>7.5%</w:t>
            </w:r>
          </w:p>
        </w:tc>
      </w:tr>
      <w:tr w:rsidR="00572D71" w14:paraId="1E2C6DA7" w14:textId="77777777">
        <w:trPr>
          <w:cantSplit/>
        </w:trPr>
        <w:tc>
          <w:tcPr>
            <w:tcW w:w="2880" w:type="dxa"/>
            <w:tcBorders>
              <w:top w:val="single" w:sz="4" w:space="0" w:color="C0C0C0"/>
              <w:left w:val="single" w:sz="4" w:space="0" w:color="C0C0C0"/>
              <w:bottom w:val="single" w:sz="4" w:space="0" w:color="C0C0C0"/>
              <w:right w:val="single" w:sz="4" w:space="0" w:color="C0C0C0"/>
            </w:tcBorders>
          </w:tcPr>
          <w:p w14:paraId="23A405E1" w14:textId="77777777" w:rsidR="00572D71" w:rsidRDefault="00000000">
            <w:pPr>
              <w:spacing w:before="60" w:after="60" w:line="240" w:lineRule="auto"/>
            </w:pPr>
            <w:r>
              <w:rPr>
                <w:sz w:val="19"/>
              </w:rPr>
              <w:t>Final report and reproducibility package</w:t>
            </w:r>
          </w:p>
        </w:tc>
        <w:tc>
          <w:tcPr>
            <w:tcW w:w="2304" w:type="dxa"/>
            <w:tcBorders>
              <w:top w:val="single" w:sz="4" w:space="0" w:color="C0C0C0"/>
              <w:left w:val="single" w:sz="4" w:space="0" w:color="C0C0C0"/>
              <w:bottom w:val="single" w:sz="4" w:space="0" w:color="C0C0C0"/>
              <w:right w:val="single" w:sz="4" w:space="0" w:color="C0C0C0"/>
            </w:tcBorders>
          </w:tcPr>
          <w:p w14:paraId="66824102" w14:textId="77777777" w:rsidR="00572D71" w:rsidRDefault="00000000">
            <w:pPr>
              <w:spacing w:before="60" w:after="60" w:line="240" w:lineRule="auto"/>
            </w:pPr>
            <w:r>
              <w:rPr>
                <w:sz w:val="19"/>
              </w:rPr>
              <w:t>Week 16</w:t>
            </w:r>
          </w:p>
        </w:tc>
        <w:tc>
          <w:tcPr>
            <w:tcW w:w="3312" w:type="dxa"/>
            <w:tcBorders>
              <w:top w:val="single" w:sz="4" w:space="0" w:color="C0C0C0"/>
              <w:left w:val="single" w:sz="4" w:space="0" w:color="C0C0C0"/>
              <w:bottom w:val="single" w:sz="4" w:space="0" w:color="C0C0C0"/>
              <w:right w:val="single" w:sz="4" w:space="0" w:color="C0C0C0"/>
            </w:tcBorders>
          </w:tcPr>
          <w:p w14:paraId="2E04D360" w14:textId="77777777" w:rsidR="00572D71" w:rsidRDefault="00000000">
            <w:pPr>
              <w:spacing w:before="60" w:after="60" w:line="240" w:lineRule="auto"/>
            </w:pPr>
            <w:r>
              <w:rPr>
                <w:sz w:val="19"/>
              </w:rPr>
              <w:t>6–8 pages + references</w:t>
            </w:r>
          </w:p>
        </w:tc>
        <w:tc>
          <w:tcPr>
            <w:tcW w:w="1440" w:type="dxa"/>
            <w:tcBorders>
              <w:top w:val="single" w:sz="4" w:space="0" w:color="C0C0C0"/>
              <w:left w:val="single" w:sz="4" w:space="0" w:color="C0C0C0"/>
              <w:bottom w:val="single" w:sz="4" w:space="0" w:color="C0C0C0"/>
              <w:right w:val="single" w:sz="4" w:space="0" w:color="C0C0C0"/>
            </w:tcBorders>
          </w:tcPr>
          <w:p w14:paraId="0A2DE810" w14:textId="77777777" w:rsidR="00572D71" w:rsidRDefault="00000000">
            <w:pPr>
              <w:spacing w:before="60" w:after="60" w:line="240" w:lineRule="auto"/>
            </w:pPr>
            <w:r>
              <w:rPr>
                <w:sz w:val="19"/>
              </w:rPr>
              <w:t>10%</w:t>
            </w:r>
          </w:p>
        </w:tc>
      </w:tr>
    </w:tbl>
    <w:p w14:paraId="29777038" w14:textId="77777777" w:rsidR="00572D71" w:rsidRDefault="00000000">
      <w:r>
        <w:t>The final report and reproducibility package target Week 16, January 18–24, 2027. The exact deadline is TBA and must be one week before letter grades are due.</w:t>
      </w:r>
    </w:p>
    <w:p w14:paraId="6618D1EF" w14:textId="77777777" w:rsidR="00572D71" w:rsidRDefault="00000000">
      <w:r>
        <w:t>The proposal establishes the problem, baseline and feasibility. The design checkpoint establishes a runnable environment/data pipeline and simple baseline. The progress checkpoint shows preliminary results and an evaluation plan. The final report consolidates evidence, limitations, code/configuration and contributions.</w:t>
      </w:r>
    </w:p>
    <w:p w14:paraId="613AA380" w14:textId="77777777" w:rsidR="00572D71" w:rsidRDefault="00000000">
      <w:r>
        <w:t>Presentations are online, TA-led and recorded in Week 14. The tentative plan is three two-hour slots with up to eight teams per slot. Each team attends only its own slot. The TA and attending groups grade presentations; slots, staffing, rubric and grade split will be announced. Each team has 10 minutes plus 3 minutes for discussion.</w:t>
      </w:r>
    </w:p>
    <w:p w14:paraId="219F5200" w14:textId="77777777" w:rsidR="00572D71" w:rsidRDefault="00000000">
      <w:r>
        <w:t>Projects using offline or LLM RL need early self-study, a simple runnable baseline and a feasible fallback by Week 7. Late topics do not postpone the Week 11 progress checkpoint. Keep compute budgets manageable and evaluate against a meaningful baseline with a controlled comparison.</w:t>
      </w:r>
    </w:p>
    <w:p w14:paraId="78197E12" w14:textId="77777777" w:rsidR="00572D71" w:rsidRDefault="00000000">
      <w:pPr>
        <w:pStyle w:val="Heading11"/>
      </w:pPr>
      <w:r>
        <w:t>Homework and Report Submissions and Late Policy</w:t>
      </w:r>
    </w:p>
    <w:p w14:paraId="050681F6" w14:textId="77777777" w:rsidR="00572D71" w:rsidRDefault="00000000">
      <w:r>
        <w:t>All homeworks and reports are required to be submitted online through the KU Hub system. The submission time will be taken as the server received time. If the system is down, we will give a proper extension. E-mail submissions are not accepted.</w:t>
      </w:r>
    </w:p>
    <w:p w14:paraId="65B472C9" w14:textId="77777777" w:rsidR="00572D71" w:rsidRDefault="00000000">
      <w:r>
        <w:t>The students are expected to download their submissions and check them. It is the students’ responsibility to make sure that the submission is not corrupted, is not wrong, is not an older version etc. Only the latest submissions in the system will be graded.</w:t>
      </w:r>
    </w:p>
    <w:p w14:paraId="56A4809B" w14:textId="77777777" w:rsidR="00572D71" w:rsidRDefault="00000000">
      <w:r>
        <w:t>You will have a total of 10 days late allowance with a maximum lateness of 3 days per submission other than the final report. You can use your remaining late days to submit your final report but depending on how late you are, you may receive an “Incomplete” grade. If you exceed your 3-day allowance per submission or your total 10-day allowance, your grades will be penalized.</w:t>
      </w:r>
    </w:p>
    <w:p w14:paraId="7FE6903F" w14:textId="77777777" w:rsidR="00572D71" w:rsidRDefault="00000000">
      <w:pPr>
        <w:pStyle w:val="Heading11"/>
        <w:pageBreakBefore/>
      </w:pPr>
      <w:r>
        <w:lastRenderedPageBreak/>
        <w:t>Code of Conduct</w:t>
      </w:r>
    </w:p>
    <w:p w14:paraId="4B38CE33" w14:textId="77777777" w:rsidR="00572D71" w:rsidRDefault="00000000">
      <w:r>
        <w:t xml:space="preserve">The students are expected to abide by the student and classroom codes of conduct of KU. There will be no tolerance for cheating, plagiarism, unruliness, and all other unethical and disruptive behavior. Any violation will be dealt with according to university policies. </w:t>
      </w:r>
    </w:p>
    <w:p w14:paraId="5D4B6A65" w14:textId="77777777" w:rsidR="00572D71" w:rsidRDefault="00000000">
      <w:pPr>
        <w:pStyle w:val="Heading11"/>
      </w:pPr>
      <w:r>
        <w:t>Large Language Model Use</w:t>
      </w:r>
    </w:p>
    <w:p w14:paraId="313D85CD" w14:textId="77777777" w:rsidR="00572D71" w:rsidRDefault="00000000">
      <w:r>
        <w:t>LLMs may be used for coding and reports with disclosure. Cite their use; failure to disclose is treated as plagiarism. You remain responsible for errors and must understand, check and explain submitted work. A usage report is required; details will be supplied before the first assignment/report.</w:t>
      </w:r>
    </w:p>
    <w:p w14:paraId="2042CC89" w14:textId="77777777" w:rsidR="00572D71" w:rsidRDefault="00000000">
      <w:r>
        <w:t>For assignments, one-shot or few-shot delegation of the assignment solution receives no credit. The operational rubric and penalty details will accompany the concrete assignments. The assignment-specific no-credit rule is not automatically extended to projects.</w:t>
      </w:r>
    </w:p>
    <w:p w14:paraId="3DAD6D0D" w14:textId="77777777" w:rsidR="00572D71" w:rsidRDefault="00000000">
      <w:r>
        <w:t>For the assignment LLM-use report:</w:t>
      </w:r>
    </w:p>
    <w:p w14:paraId="413D57ED" w14:textId="77777777" w:rsidR="00572D71" w:rsidRDefault="00000000">
      <w:pPr>
        <w:numPr>
          <w:ilvl w:val="0"/>
          <w:numId w:val="1"/>
        </w:numPr>
        <w:spacing w:after="80"/>
        <w:ind w:left="288" w:hanging="288"/>
      </w:pPr>
      <w:r>
        <w:t>Identify which task components used an LLM; include representative prompts and output excerpts.</w:t>
      </w:r>
    </w:p>
    <w:p w14:paraId="6962EE85" w14:textId="77777777" w:rsidR="00572D71" w:rsidRDefault="00000000">
      <w:pPr>
        <w:numPr>
          <w:ilvl w:val="0"/>
          <w:numId w:val="1"/>
        </w:numPr>
        <w:spacing w:after="80"/>
        <w:ind w:left="288" w:hanging="288"/>
      </w:pPr>
      <w:r>
        <w:t>Explain what was accepted, rejected or changed, and why; supply at least one relevant check/debugging example if an LLM contributed a solution.</w:t>
      </w:r>
    </w:p>
    <w:p w14:paraId="136552D7" w14:textId="77777777" w:rsidR="00572D71" w:rsidRDefault="00000000">
      <w:pPr>
        <w:numPr>
          <w:ilvl w:val="0"/>
          <w:numId w:val="1"/>
        </w:numPr>
        <w:spacing w:after="80"/>
        <w:ind w:left="288" w:hanging="288"/>
      </w:pPr>
      <w:r>
        <w:t>Explain the submitted update/experiment in the student’s own terms. Disclose non-use without manufacturing logs.</w:t>
      </w:r>
    </w:p>
    <w:p w14:paraId="3127B283" w14:textId="77777777" w:rsidR="00572D71" w:rsidRDefault="00000000">
      <w:r>
        <w:t>The students are not allowed to use LLMs for their midterms in case they end up being online or take-home, since we are measuring your knowledge on the topics and not on solving a problem using a tool.</w:t>
      </w:r>
    </w:p>
    <w:p w14:paraId="5AF80C1A" w14:textId="77777777" w:rsidR="00572D71" w:rsidRDefault="00000000">
      <w:pPr>
        <w:pStyle w:val="Heading11"/>
      </w:pPr>
      <w:r>
        <w:t>Makeup Exam Policy</w:t>
      </w:r>
    </w:p>
    <w:p w14:paraId="78F52A57" w14:textId="77777777" w:rsidR="00572D71" w:rsidRDefault="00000000">
      <w:pPr>
        <w:spacing w:after="80"/>
      </w:pPr>
      <w:r>
        <w:t xml:space="preserve">There will be only a single comprehensive makeup exam, scheduled solely at the discretion of the instructor. </w:t>
      </w:r>
    </w:p>
    <w:p w14:paraId="70665732" w14:textId="77777777" w:rsidR="00572D71" w:rsidRDefault="00000000">
      <w:pPr>
        <w:spacing w:after="80"/>
      </w:pPr>
      <w:r>
        <w:t xml:space="preserve">The makeup exam can be written or oral, at the discretion of the instructor. </w:t>
      </w:r>
    </w:p>
    <w:p w14:paraId="212C024A" w14:textId="77777777" w:rsidR="00572D71" w:rsidRDefault="00000000">
      <w:pPr>
        <w:spacing w:after="80"/>
      </w:pPr>
      <w:r>
        <w:t>Students need to have a legitimate excuse to be able to take the makeup exam. Students need to notify the instructor or the university within 5 days of the exam. The instructor reserves the right to deny the makeup after 5 days even if the excuse is legitimate.</w:t>
      </w:r>
    </w:p>
    <w:p w14:paraId="3060A4BB" w14:textId="77777777" w:rsidR="00572D71" w:rsidRDefault="00000000">
      <w:pPr>
        <w:spacing w:after="80"/>
      </w:pPr>
      <w:r>
        <w:t>If the student misses one exam with an acceptable excuse, the makeup grade will be counted towards the missed exam.</w:t>
      </w:r>
    </w:p>
    <w:p w14:paraId="069C573B" w14:textId="77777777" w:rsidR="00572D71" w:rsidRDefault="00000000">
      <w:pPr>
        <w:spacing w:after="80"/>
      </w:pPr>
      <w:r>
        <w:t>If the student misses two exams with acceptable excuses, the makeup grade will be counted towards both.</w:t>
      </w:r>
    </w:p>
    <w:p w14:paraId="36CB15E0" w14:textId="77777777" w:rsidR="00572D71" w:rsidRDefault="00000000">
      <w:pPr>
        <w:spacing w:after="80"/>
      </w:pPr>
      <w:r>
        <w:t>If the student misses three exams, the makeup will be counted towards at most two exams, regardless of having legitimate excuses for all three.</w:t>
      </w:r>
    </w:p>
    <w:p w14:paraId="281308FE" w14:textId="77777777" w:rsidR="00572D71" w:rsidRDefault="00000000">
      <w:pPr>
        <w:spacing w:after="80"/>
      </w:pPr>
      <w:r>
        <w:t>There will be no makeups for the makeup exam.</w:t>
      </w:r>
    </w:p>
    <w:p w14:paraId="7D4CD136" w14:textId="77777777" w:rsidR="00572D71" w:rsidRDefault="00000000">
      <w:pPr>
        <w:pStyle w:val="Heading11"/>
      </w:pPr>
      <w:r>
        <w:t>Early Exam Policy</w:t>
      </w:r>
    </w:p>
    <w:p w14:paraId="0702F5C3" w14:textId="77777777" w:rsidR="00572D71" w:rsidRDefault="00000000">
      <w:r>
        <w:t>If you are going to an exchange program before the semester ends, you need to contact the instructor before week 10 to schedule an early exam. There will be no makeups for the early exam.</w:t>
      </w:r>
    </w:p>
    <w:sectPr w:rsidR="00572D71" w:rsidSect="00494F7B">
      <w:headerReference w:type="default" r:id="rId7"/>
      <w:footerReference w:type="default" r:id="rId8"/>
      <w:pgSz w:w="12240" w:h="15840"/>
      <w:pgMar w:top="1008" w:right="1152" w:bottom="1008" w:left="1152"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5B173" w14:textId="77777777" w:rsidR="00602277" w:rsidRDefault="00602277">
      <w:pPr>
        <w:spacing w:after="0" w:line="240" w:lineRule="auto"/>
      </w:pPr>
      <w:r>
        <w:separator/>
      </w:r>
    </w:p>
  </w:endnote>
  <w:endnote w:type="continuationSeparator" w:id="0">
    <w:p w14:paraId="2EBCE549" w14:textId="77777777" w:rsidR="00602277" w:rsidRDefault="00602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FAE1D" w14:textId="77777777" w:rsidR="00572D71" w:rsidRDefault="00000000">
    <w:pPr>
      <w:jc w:val="right"/>
    </w:pPr>
    <w:r>
      <w:fldChar w:fldCharType="begin"/>
    </w:r>
    <w:r>
      <w:instrText>PAGE</w:instrText>
    </w:r>
    <w:r>
      <w:fldChar w:fldCharType="separate"/>
    </w:r>
    <w:r w:rsidR="008015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DD759" w14:textId="77777777" w:rsidR="00602277" w:rsidRDefault="00602277">
      <w:pPr>
        <w:spacing w:after="0" w:line="240" w:lineRule="auto"/>
      </w:pPr>
      <w:r>
        <w:separator/>
      </w:r>
    </w:p>
  </w:footnote>
  <w:footnote w:type="continuationSeparator" w:id="0">
    <w:p w14:paraId="0D55FFBC" w14:textId="77777777" w:rsidR="00602277" w:rsidRDefault="00602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B8BC" w14:textId="77777777" w:rsidR="00572D71" w:rsidRDefault="00572D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D407D"/>
    <w:multiLevelType w:val="hybridMultilevel"/>
    <w:tmpl w:val="6E5C4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84500"/>
    <w:multiLevelType w:val="hybridMultilevel"/>
    <w:tmpl w:val="909C24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956943"/>
    <w:multiLevelType w:val="hybridMultilevel"/>
    <w:tmpl w:val="17A099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F418BD"/>
    <w:multiLevelType w:val="hybridMultilevel"/>
    <w:tmpl w:val="9A263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243CC0"/>
    <w:multiLevelType w:val="hybridMultilevel"/>
    <w:tmpl w:val="5DF86DB0"/>
    <w:lvl w:ilvl="0" w:tplc="7E90F63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56184B"/>
    <w:multiLevelType w:val="hybridMultilevel"/>
    <w:tmpl w:val="72548D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C34384"/>
    <w:multiLevelType w:val="hybridMultilevel"/>
    <w:tmpl w:val="D74AD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9237EF"/>
    <w:multiLevelType w:val="hybridMultilevel"/>
    <w:tmpl w:val="FCD64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6F3A20"/>
    <w:multiLevelType w:val="hybridMultilevel"/>
    <w:tmpl w:val="77E28B46"/>
    <w:lvl w:ilvl="0" w:tplc="4BA2F198">
      <w:start w:val="1"/>
      <w:numFmt w:val="decimalZero"/>
      <w:lvlText w:val="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A020A2"/>
    <w:multiLevelType w:val="hybridMultilevel"/>
    <w:tmpl w:val="F7F2B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5922AB"/>
    <w:multiLevelType w:val="multilevel"/>
    <w:tmpl w:val="7E46CAC6"/>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AB73CCD"/>
    <w:multiLevelType w:val="hybridMultilevel"/>
    <w:tmpl w:val="E878DC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F166BA3"/>
    <w:multiLevelType w:val="hybridMultilevel"/>
    <w:tmpl w:val="68A2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F13F1B"/>
    <w:multiLevelType w:val="hybridMultilevel"/>
    <w:tmpl w:val="5DD64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13671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B14"/>
    <w:rsid w:val="00042B8F"/>
    <w:rsid w:val="000527CD"/>
    <w:rsid w:val="00066029"/>
    <w:rsid w:val="00085A4F"/>
    <w:rsid w:val="000951ED"/>
    <w:rsid w:val="00095C4D"/>
    <w:rsid w:val="000A7972"/>
    <w:rsid w:val="000D1731"/>
    <w:rsid w:val="000D2293"/>
    <w:rsid w:val="000E0D80"/>
    <w:rsid w:val="001020BF"/>
    <w:rsid w:val="00104B17"/>
    <w:rsid w:val="0012656C"/>
    <w:rsid w:val="0014069D"/>
    <w:rsid w:val="00166191"/>
    <w:rsid w:val="00171B14"/>
    <w:rsid w:val="00183AB3"/>
    <w:rsid w:val="001844C5"/>
    <w:rsid w:val="00185F3F"/>
    <w:rsid w:val="001976A3"/>
    <w:rsid w:val="001A00CF"/>
    <w:rsid w:val="001A231B"/>
    <w:rsid w:val="001B3527"/>
    <w:rsid w:val="001B475F"/>
    <w:rsid w:val="001E4BB4"/>
    <w:rsid w:val="00214FBA"/>
    <w:rsid w:val="00223FB1"/>
    <w:rsid w:val="00231623"/>
    <w:rsid w:val="0024447F"/>
    <w:rsid w:val="00253341"/>
    <w:rsid w:val="0025377B"/>
    <w:rsid w:val="00255888"/>
    <w:rsid w:val="00260112"/>
    <w:rsid w:val="00285FE6"/>
    <w:rsid w:val="002C3469"/>
    <w:rsid w:val="002D2645"/>
    <w:rsid w:val="002D3D97"/>
    <w:rsid w:val="002D3DC4"/>
    <w:rsid w:val="002D4B1E"/>
    <w:rsid w:val="002E6AD9"/>
    <w:rsid w:val="002F4F1F"/>
    <w:rsid w:val="00301336"/>
    <w:rsid w:val="00315659"/>
    <w:rsid w:val="0031706E"/>
    <w:rsid w:val="00321490"/>
    <w:rsid w:val="003439FB"/>
    <w:rsid w:val="003863C4"/>
    <w:rsid w:val="00391B0B"/>
    <w:rsid w:val="00394BAB"/>
    <w:rsid w:val="003A3F4D"/>
    <w:rsid w:val="003A4F5C"/>
    <w:rsid w:val="003B7C12"/>
    <w:rsid w:val="003C109E"/>
    <w:rsid w:val="003D10DE"/>
    <w:rsid w:val="0044738A"/>
    <w:rsid w:val="004548E0"/>
    <w:rsid w:val="004631ED"/>
    <w:rsid w:val="00471700"/>
    <w:rsid w:val="00474975"/>
    <w:rsid w:val="00477233"/>
    <w:rsid w:val="00484841"/>
    <w:rsid w:val="00493BF5"/>
    <w:rsid w:val="00494F7B"/>
    <w:rsid w:val="004B154F"/>
    <w:rsid w:val="004F7351"/>
    <w:rsid w:val="004F7E20"/>
    <w:rsid w:val="0051360D"/>
    <w:rsid w:val="00514471"/>
    <w:rsid w:val="0054010E"/>
    <w:rsid w:val="0054330D"/>
    <w:rsid w:val="005448A7"/>
    <w:rsid w:val="00550306"/>
    <w:rsid w:val="00554DC1"/>
    <w:rsid w:val="005715C1"/>
    <w:rsid w:val="00572D71"/>
    <w:rsid w:val="005831B1"/>
    <w:rsid w:val="00583F50"/>
    <w:rsid w:val="005A6BE7"/>
    <w:rsid w:val="005B1E16"/>
    <w:rsid w:val="005C6520"/>
    <w:rsid w:val="005D4C96"/>
    <w:rsid w:val="005E30B5"/>
    <w:rsid w:val="00601BE4"/>
    <w:rsid w:val="00602277"/>
    <w:rsid w:val="006177BE"/>
    <w:rsid w:val="00655CB1"/>
    <w:rsid w:val="00683B07"/>
    <w:rsid w:val="00684342"/>
    <w:rsid w:val="00692591"/>
    <w:rsid w:val="00696062"/>
    <w:rsid w:val="006A02CA"/>
    <w:rsid w:val="006A6AD8"/>
    <w:rsid w:val="006B279B"/>
    <w:rsid w:val="006B3A07"/>
    <w:rsid w:val="006C7C25"/>
    <w:rsid w:val="006D1E70"/>
    <w:rsid w:val="006D3874"/>
    <w:rsid w:val="006D387C"/>
    <w:rsid w:val="006E11ED"/>
    <w:rsid w:val="006E154A"/>
    <w:rsid w:val="006E3314"/>
    <w:rsid w:val="006E585D"/>
    <w:rsid w:val="006E5E9B"/>
    <w:rsid w:val="006F6977"/>
    <w:rsid w:val="00702ABB"/>
    <w:rsid w:val="007323CB"/>
    <w:rsid w:val="00756B09"/>
    <w:rsid w:val="00764468"/>
    <w:rsid w:val="0077513A"/>
    <w:rsid w:val="007764F7"/>
    <w:rsid w:val="00792B2B"/>
    <w:rsid w:val="007A0B9A"/>
    <w:rsid w:val="007E63A6"/>
    <w:rsid w:val="007F0B7F"/>
    <w:rsid w:val="00801564"/>
    <w:rsid w:val="0082163D"/>
    <w:rsid w:val="00826FD7"/>
    <w:rsid w:val="0084038D"/>
    <w:rsid w:val="00854ED7"/>
    <w:rsid w:val="0089211B"/>
    <w:rsid w:val="008A26A4"/>
    <w:rsid w:val="008B026E"/>
    <w:rsid w:val="008B0ECE"/>
    <w:rsid w:val="008B155C"/>
    <w:rsid w:val="008E32F7"/>
    <w:rsid w:val="008E76D8"/>
    <w:rsid w:val="008F7BCF"/>
    <w:rsid w:val="00903476"/>
    <w:rsid w:val="00903A3B"/>
    <w:rsid w:val="00911601"/>
    <w:rsid w:val="00933A07"/>
    <w:rsid w:val="00936E97"/>
    <w:rsid w:val="009429BD"/>
    <w:rsid w:val="009432CD"/>
    <w:rsid w:val="0096098C"/>
    <w:rsid w:val="00962720"/>
    <w:rsid w:val="009628C2"/>
    <w:rsid w:val="009643C5"/>
    <w:rsid w:val="00967879"/>
    <w:rsid w:val="0097083E"/>
    <w:rsid w:val="00972A87"/>
    <w:rsid w:val="009954F8"/>
    <w:rsid w:val="009A2F8D"/>
    <w:rsid w:val="009B31A5"/>
    <w:rsid w:val="009C1866"/>
    <w:rsid w:val="009E3DFD"/>
    <w:rsid w:val="00A1085E"/>
    <w:rsid w:val="00A22777"/>
    <w:rsid w:val="00A24309"/>
    <w:rsid w:val="00A27407"/>
    <w:rsid w:val="00A42FCF"/>
    <w:rsid w:val="00A44EC0"/>
    <w:rsid w:val="00A5123C"/>
    <w:rsid w:val="00A62D45"/>
    <w:rsid w:val="00A71D50"/>
    <w:rsid w:val="00A72C57"/>
    <w:rsid w:val="00A76AB4"/>
    <w:rsid w:val="00A81717"/>
    <w:rsid w:val="00A91B61"/>
    <w:rsid w:val="00AA3D68"/>
    <w:rsid w:val="00AF60EB"/>
    <w:rsid w:val="00B0674B"/>
    <w:rsid w:val="00B22EEE"/>
    <w:rsid w:val="00B34BF0"/>
    <w:rsid w:val="00B46A36"/>
    <w:rsid w:val="00B55544"/>
    <w:rsid w:val="00B62735"/>
    <w:rsid w:val="00B62EFA"/>
    <w:rsid w:val="00BA7943"/>
    <w:rsid w:val="00BB6403"/>
    <w:rsid w:val="00BC2A4B"/>
    <w:rsid w:val="00BD55C0"/>
    <w:rsid w:val="00BE285F"/>
    <w:rsid w:val="00BF235B"/>
    <w:rsid w:val="00BF447B"/>
    <w:rsid w:val="00C0597B"/>
    <w:rsid w:val="00C1460E"/>
    <w:rsid w:val="00C16614"/>
    <w:rsid w:val="00C2120A"/>
    <w:rsid w:val="00C27F4E"/>
    <w:rsid w:val="00C3519C"/>
    <w:rsid w:val="00C40B2C"/>
    <w:rsid w:val="00C53261"/>
    <w:rsid w:val="00C55408"/>
    <w:rsid w:val="00C62411"/>
    <w:rsid w:val="00C77ACA"/>
    <w:rsid w:val="00CA0508"/>
    <w:rsid w:val="00CB7076"/>
    <w:rsid w:val="00CC5A6A"/>
    <w:rsid w:val="00CF56FE"/>
    <w:rsid w:val="00D17DE1"/>
    <w:rsid w:val="00D4588C"/>
    <w:rsid w:val="00D50DD6"/>
    <w:rsid w:val="00D54155"/>
    <w:rsid w:val="00D679F2"/>
    <w:rsid w:val="00D957A7"/>
    <w:rsid w:val="00DB3541"/>
    <w:rsid w:val="00DB5607"/>
    <w:rsid w:val="00DE5B93"/>
    <w:rsid w:val="00DF7EA7"/>
    <w:rsid w:val="00E0700C"/>
    <w:rsid w:val="00E0782F"/>
    <w:rsid w:val="00E318FC"/>
    <w:rsid w:val="00E56C29"/>
    <w:rsid w:val="00E56D42"/>
    <w:rsid w:val="00E66FE4"/>
    <w:rsid w:val="00E70885"/>
    <w:rsid w:val="00E729D7"/>
    <w:rsid w:val="00E8348F"/>
    <w:rsid w:val="00E9433B"/>
    <w:rsid w:val="00EA44B6"/>
    <w:rsid w:val="00EC541E"/>
    <w:rsid w:val="00ED4B43"/>
    <w:rsid w:val="00F1612A"/>
    <w:rsid w:val="00F17C22"/>
    <w:rsid w:val="00F21FAF"/>
    <w:rsid w:val="00F54106"/>
    <w:rsid w:val="00F67380"/>
    <w:rsid w:val="00F7013A"/>
    <w:rsid w:val="00F73C13"/>
    <w:rsid w:val="00FA39DF"/>
    <w:rsid w:val="00FA72E3"/>
    <w:rsid w:val="00FB205D"/>
    <w:rsid w:val="00FB2B11"/>
    <w:rsid w:val="00FE02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096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spacing w:after="100" w:line="250" w:lineRule="auto"/>
    </w:pPr>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588C"/>
    <w:rPr>
      <w:color w:val="0563C1" w:themeColor="hyperlink"/>
      <w:u w:val="single"/>
    </w:rPr>
  </w:style>
  <w:style w:type="paragraph" w:styleId="ListParagraph">
    <w:name w:val="List Paragraph"/>
    <w:basedOn w:val="Normal"/>
    <w:uiPriority w:val="34"/>
    <w:qFormat/>
    <w:rsid w:val="00B62735"/>
    <w:pPr>
      <w:ind w:left="720"/>
      <w:contextualSpacing/>
    </w:pPr>
  </w:style>
  <w:style w:type="character" w:styleId="PlaceholderText">
    <w:name w:val="Placeholder Text"/>
    <w:basedOn w:val="DefaultParagraphFont"/>
    <w:uiPriority w:val="99"/>
    <w:semiHidden/>
    <w:rsid w:val="00C1460E"/>
    <w:rPr>
      <w:color w:val="808080"/>
    </w:rPr>
  </w:style>
  <w:style w:type="character" w:styleId="CommentReference">
    <w:name w:val="annotation reference"/>
    <w:basedOn w:val="DefaultParagraphFont"/>
    <w:uiPriority w:val="99"/>
    <w:semiHidden/>
    <w:unhideWhenUsed/>
    <w:rsid w:val="00854ED7"/>
    <w:rPr>
      <w:sz w:val="18"/>
      <w:szCs w:val="18"/>
    </w:rPr>
  </w:style>
  <w:style w:type="paragraph" w:styleId="CommentText">
    <w:name w:val="annotation text"/>
    <w:basedOn w:val="Normal"/>
    <w:link w:val="CommentTextChar"/>
    <w:uiPriority w:val="99"/>
    <w:semiHidden/>
    <w:unhideWhenUsed/>
    <w:rsid w:val="00854ED7"/>
  </w:style>
  <w:style w:type="character" w:customStyle="1" w:styleId="CommentTextChar">
    <w:name w:val="Comment Text Char"/>
    <w:basedOn w:val="DefaultParagraphFont"/>
    <w:link w:val="CommentText"/>
    <w:uiPriority w:val="99"/>
    <w:semiHidden/>
    <w:rsid w:val="00854ED7"/>
  </w:style>
  <w:style w:type="paragraph" w:styleId="CommentSubject">
    <w:name w:val="annotation subject"/>
    <w:basedOn w:val="CommentText"/>
    <w:next w:val="CommentText"/>
    <w:link w:val="CommentSubjectChar"/>
    <w:uiPriority w:val="99"/>
    <w:semiHidden/>
    <w:unhideWhenUsed/>
    <w:rsid w:val="00854ED7"/>
    <w:rPr>
      <w:b/>
      <w:bCs/>
      <w:sz w:val="20"/>
      <w:szCs w:val="20"/>
    </w:rPr>
  </w:style>
  <w:style w:type="character" w:customStyle="1" w:styleId="CommentSubjectChar">
    <w:name w:val="Comment Subject Char"/>
    <w:basedOn w:val="CommentTextChar"/>
    <w:link w:val="CommentSubject"/>
    <w:uiPriority w:val="99"/>
    <w:semiHidden/>
    <w:rsid w:val="00854ED7"/>
    <w:rPr>
      <w:b/>
      <w:bCs/>
      <w:sz w:val="20"/>
      <w:szCs w:val="20"/>
    </w:rPr>
  </w:style>
  <w:style w:type="paragraph" w:styleId="BalloonText">
    <w:name w:val="Balloon Text"/>
    <w:basedOn w:val="Normal"/>
    <w:link w:val="BalloonTextChar"/>
    <w:uiPriority w:val="99"/>
    <w:semiHidden/>
    <w:unhideWhenUsed/>
    <w:rsid w:val="00854ED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54ED7"/>
    <w:rPr>
      <w:rFonts w:ascii="Times New Roman" w:hAnsi="Times New Roman" w:cs="Times New Roman"/>
      <w:sz w:val="18"/>
      <w:szCs w:val="18"/>
    </w:rPr>
  </w:style>
  <w:style w:type="character" w:styleId="UnresolvedMention">
    <w:name w:val="Unresolved Mention"/>
    <w:basedOn w:val="DefaultParagraphFont"/>
    <w:uiPriority w:val="99"/>
    <w:rsid w:val="005A6BE7"/>
    <w:rPr>
      <w:color w:val="808080"/>
      <w:shd w:val="clear" w:color="auto" w:fill="E6E6E6"/>
    </w:rPr>
  </w:style>
  <w:style w:type="table" w:styleId="TableGrid">
    <w:name w:val="Table Grid"/>
    <w:basedOn w:val="TableNormal"/>
    <w:uiPriority w:val="39"/>
    <w:rsid w:val="003863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3863C4"/>
  </w:style>
  <w:style w:type="character" w:customStyle="1" w:styleId="go">
    <w:name w:val="go"/>
    <w:basedOn w:val="DefaultParagraphFont"/>
    <w:rsid w:val="00E66FE4"/>
  </w:style>
  <w:style w:type="paragraph" w:customStyle="1" w:styleId="Title1">
    <w:name w:val="Title1"/>
    <w:pPr>
      <w:keepNext/>
      <w:spacing w:after="100"/>
    </w:pPr>
    <w:rPr>
      <w:rFonts w:ascii="Calibri" w:hAnsi="Calibri"/>
      <w:b/>
      <w:color w:val="000000"/>
      <w:sz w:val="36"/>
    </w:rPr>
  </w:style>
  <w:style w:type="paragraph" w:customStyle="1" w:styleId="Subtitle1">
    <w:name w:val="Subtitle1"/>
    <w:pPr>
      <w:spacing w:after="200"/>
    </w:pPr>
    <w:rPr>
      <w:rFonts w:ascii="Calibri" w:hAnsi="Calibri"/>
      <w:sz w:val="22"/>
    </w:rPr>
  </w:style>
  <w:style w:type="paragraph" w:customStyle="1" w:styleId="Heading11">
    <w:name w:val="Heading 11"/>
    <w:pPr>
      <w:keepNext/>
      <w:spacing w:before="180" w:after="100"/>
    </w:pPr>
    <w:rPr>
      <w:rFonts w:ascii="Calibri" w:hAnsi="Calibri"/>
      <w:b/>
      <w:color w:val="000000"/>
    </w:rPr>
  </w:style>
  <w:style w:type="paragraph" w:customStyle="1" w:styleId="Heading21">
    <w:name w:val="Heading 21"/>
    <w:pPr>
      <w:keepNext/>
      <w:spacing w:before="180" w:after="100"/>
    </w:pPr>
    <w:rPr>
      <w:rFonts w:ascii="Calibri" w:hAnsi="Calibri"/>
      <w:b/>
      <w:color w:val="000000"/>
      <w:sz w:val="21"/>
    </w:rPr>
  </w:style>
  <w:style w:type="paragraph" w:customStyle="1" w:styleId="ListBullet1">
    <w:name w:val="List Bullet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517">
      <w:bodyDiv w:val="1"/>
      <w:marLeft w:val="0"/>
      <w:marRight w:val="0"/>
      <w:marTop w:val="0"/>
      <w:marBottom w:val="0"/>
      <w:divBdr>
        <w:top w:val="none" w:sz="0" w:space="0" w:color="auto"/>
        <w:left w:val="none" w:sz="0" w:space="0" w:color="auto"/>
        <w:bottom w:val="none" w:sz="0" w:space="0" w:color="auto"/>
        <w:right w:val="none" w:sz="0" w:space="0" w:color="auto"/>
      </w:divBdr>
    </w:div>
    <w:div w:id="116067302">
      <w:bodyDiv w:val="1"/>
      <w:marLeft w:val="0"/>
      <w:marRight w:val="0"/>
      <w:marTop w:val="0"/>
      <w:marBottom w:val="0"/>
      <w:divBdr>
        <w:top w:val="none" w:sz="0" w:space="0" w:color="auto"/>
        <w:left w:val="none" w:sz="0" w:space="0" w:color="auto"/>
        <w:bottom w:val="none" w:sz="0" w:space="0" w:color="auto"/>
        <w:right w:val="none" w:sz="0" w:space="0" w:color="auto"/>
      </w:divBdr>
    </w:div>
    <w:div w:id="208616700">
      <w:bodyDiv w:val="1"/>
      <w:marLeft w:val="0"/>
      <w:marRight w:val="0"/>
      <w:marTop w:val="0"/>
      <w:marBottom w:val="0"/>
      <w:divBdr>
        <w:top w:val="none" w:sz="0" w:space="0" w:color="auto"/>
        <w:left w:val="none" w:sz="0" w:space="0" w:color="auto"/>
        <w:bottom w:val="none" w:sz="0" w:space="0" w:color="auto"/>
        <w:right w:val="none" w:sz="0" w:space="0" w:color="auto"/>
      </w:divBdr>
    </w:div>
    <w:div w:id="451902142">
      <w:bodyDiv w:val="1"/>
      <w:marLeft w:val="0"/>
      <w:marRight w:val="0"/>
      <w:marTop w:val="0"/>
      <w:marBottom w:val="0"/>
      <w:divBdr>
        <w:top w:val="none" w:sz="0" w:space="0" w:color="auto"/>
        <w:left w:val="none" w:sz="0" w:space="0" w:color="auto"/>
        <w:bottom w:val="none" w:sz="0" w:space="0" w:color="auto"/>
        <w:right w:val="none" w:sz="0" w:space="0" w:color="auto"/>
      </w:divBdr>
    </w:div>
    <w:div w:id="574243734">
      <w:bodyDiv w:val="1"/>
      <w:marLeft w:val="0"/>
      <w:marRight w:val="0"/>
      <w:marTop w:val="0"/>
      <w:marBottom w:val="0"/>
      <w:divBdr>
        <w:top w:val="none" w:sz="0" w:space="0" w:color="auto"/>
        <w:left w:val="none" w:sz="0" w:space="0" w:color="auto"/>
        <w:bottom w:val="none" w:sz="0" w:space="0" w:color="auto"/>
        <w:right w:val="none" w:sz="0" w:space="0" w:color="auto"/>
      </w:divBdr>
      <w:divsChild>
        <w:div w:id="1644461583">
          <w:marLeft w:val="0"/>
          <w:marRight w:val="0"/>
          <w:marTop w:val="0"/>
          <w:marBottom w:val="0"/>
          <w:divBdr>
            <w:top w:val="none" w:sz="0" w:space="0" w:color="auto"/>
            <w:left w:val="none" w:sz="0" w:space="0" w:color="auto"/>
            <w:bottom w:val="none" w:sz="0" w:space="0" w:color="auto"/>
            <w:right w:val="none" w:sz="0" w:space="0" w:color="auto"/>
          </w:divBdr>
          <w:divsChild>
            <w:div w:id="199363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71612">
      <w:bodyDiv w:val="1"/>
      <w:marLeft w:val="0"/>
      <w:marRight w:val="0"/>
      <w:marTop w:val="0"/>
      <w:marBottom w:val="0"/>
      <w:divBdr>
        <w:top w:val="none" w:sz="0" w:space="0" w:color="auto"/>
        <w:left w:val="none" w:sz="0" w:space="0" w:color="auto"/>
        <w:bottom w:val="none" w:sz="0" w:space="0" w:color="auto"/>
        <w:right w:val="none" w:sz="0" w:space="0" w:color="auto"/>
      </w:divBdr>
    </w:div>
    <w:div w:id="909537977">
      <w:bodyDiv w:val="1"/>
      <w:marLeft w:val="0"/>
      <w:marRight w:val="0"/>
      <w:marTop w:val="0"/>
      <w:marBottom w:val="0"/>
      <w:divBdr>
        <w:top w:val="none" w:sz="0" w:space="0" w:color="auto"/>
        <w:left w:val="none" w:sz="0" w:space="0" w:color="auto"/>
        <w:bottom w:val="none" w:sz="0" w:space="0" w:color="auto"/>
        <w:right w:val="none" w:sz="0" w:space="0" w:color="auto"/>
      </w:divBdr>
    </w:div>
    <w:div w:id="978149385">
      <w:bodyDiv w:val="1"/>
      <w:marLeft w:val="0"/>
      <w:marRight w:val="0"/>
      <w:marTop w:val="0"/>
      <w:marBottom w:val="0"/>
      <w:divBdr>
        <w:top w:val="none" w:sz="0" w:space="0" w:color="auto"/>
        <w:left w:val="none" w:sz="0" w:space="0" w:color="auto"/>
        <w:bottom w:val="none" w:sz="0" w:space="0" w:color="auto"/>
        <w:right w:val="none" w:sz="0" w:space="0" w:color="auto"/>
      </w:divBdr>
    </w:div>
    <w:div w:id="1032730201">
      <w:bodyDiv w:val="1"/>
      <w:marLeft w:val="0"/>
      <w:marRight w:val="0"/>
      <w:marTop w:val="0"/>
      <w:marBottom w:val="0"/>
      <w:divBdr>
        <w:top w:val="none" w:sz="0" w:space="0" w:color="auto"/>
        <w:left w:val="none" w:sz="0" w:space="0" w:color="auto"/>
        <w:bottom w:val="none" w:sz="0" w:space="0" w:color="auto"/>
        <w:right w:val="none" w:sz="0" w:space="0" w:color="auto"/>
      </w:divBdr>
    </w:div>
    <w:div w:id="1058361584">
      <w:bodyDiv w:val="1"/>
      <w:marLeft w:val="0"/>
      <w:marRight w:val="0"/>
      <w:marTop w:val="0"/>
      <w:marBottom w:val="0"/>
      <w:divBdr>
        <w:top w:val="none" w:sz="0" w:space="0" w:color="auto"/>
        <w:left w:val="none" w:sz="0" w:space="0" w:color="auto"/>
        <w:bottom w:val="none" w:sz="0" w:space="0" w:color="auto"/>
        <w:right w:val="none" w:sz="0" w:space="0" w:color="auto"/>
      </w:divBdr>
    </w:div>
    <w:div w:id="1065101520">
      <w:bodyDiv w:val="1"/>
      <w:marLeft w:val="0"/>
      <w:marRight w:val="0"/>
      <w:marTop w:val="0"/>
      <w:marBottom w:val="0"/>
      <w:divBdr>
        <w:top w:val="none" w:sz="0" w:space="0" w:color="auto"/>
        <w:left w:val="none" w:sz="0" w:space="0" w:color="auto"/>
        <w:bottom w:val="none" w:sz="0" w:space="0" w:color="auto"/>
        <w:right w:val="none" w:sz="0" w:space="0" w:color="auto"/>
      </w:divBdr>
      <w:divsChild>
        <w:div w:id="2028363811">
          <w:marLeft w:val="0"/>
          <w:marRight w:val="0"/>
          <w:marTop w:val="60"/>
          <w:marBottom w:val="60"/>
          <w:divBdr>
            <w:top w:val="none" w:sz="0" w:space="0" w:color="auto"/>
            <w:left w:val="none" w:sz="0" w:space="0" w:color="auto"/>
            <w:bottom w:val="none" w:sz="0" w:space="0" w:color="auto"/>
            <w:right w:val="none" w:sz="0" w:space="0" w:color="auto"/>
          </w:divBdr>
        </w:div>
      </w:divsChild>
    </w:div>
    <w:div w:id="1096050833">
      <w:bodyDiv w:val="1"/>
      <w:marLeft w:val="0"/>
      <w:marRight w:val="0"/>
      <w:marTop w:val="0"/>
      <w:marBottom w:val="0"/>
      <w:divBdr>
        <w:top w:val="none" w:sz="0" w:space="0" w:color="auto"/>
        <w:left w:val="none" w:sz="0" w:space="0" w:color="auto"/>
        <w:bottom w:val="none" w:sz="0" w:space="0" w:color="auto"/>
        <w:right w:val="none" w:sz="0" w:space="0" w:color="auto"/>
      </w:divBdr>
    </w:div>
    <w:div w:id="1189638301">
      <w:bodyDiv w:val="1"/>
      <w:marLeft w:val="0"/>
      <w:marRight w:val="0"/>
      <w:marTop w:val="0"/>
      <w:marBottom w:val="0"/>
      <w:divBdr>
        <w:top w:val="none" w:sz="0" w:space="0" w:color="auto"/>
        <w:left w:val="none" w:sz="0" w:space="0" w:color="auto"/>
        <w:bottom w:val="none" w:sz="0" w:space="0" w:color="auto"/>
        <w:right w:val="none" w:sz="0" w:space="0" w:color="auto"/>
      </w:divBdr>
    </w:div>
    <w:div w:id="1410615962">
      <w:bodyDiv w:val="1"/>
      <w:marLeft w:val="0"/>
      <w:marRight w:val="0"/>
      <w:marTop w:val="0"/>
      <w:marBottom w:val="0"/>
      <w:divBdr>
        <w:top w:val="none" w:sz="0" w:space="0" w:color="auto"/>
        <w:left w:val="none" w:sz="0" w:space="0" w:color="auto"/>
        <w:bottom w:val="none" w:sz="0" w:space="0" w:color="auto"/>
        <w:right w:val="none" w:sz="0" w:space="0" w:color="auto"/>
      </w:divBdr>
    </w:div>
    <w:div w:id="1575160909">
      <w:bodyDiv w:val="1"/>
      <w:marLeft w:val="0"/>
      <w:marRight w:val="0"/>
      <w:marTop w:val="0"/>
      <w:marBottom w:val="0"/>
      <w:divBdr>
        <w:top w:val="none" w:sz="0" w:space="0" w:color="auto"/>
        <w:left w:val="none" w:sz="0" w:space="0" w:color="auto"/>
        <w:bottom w:val="none" w:sz="0" w:space="0" w:color="auto"/>
        <w:right w:val="none" w:sz="0" w:space="0" w:color="auto"/>
      </w:divBdr>
    </w:div>
    <w:div w:id="1715303646">
      <w:bodyDiv w:val="1"/>
      <w:marLeft w:val="0"/>
      <w:marRight w:val="0"/>
      <w:marTop w:val="0"/>
      <w:marBottom w:val="0"/>
      <w:divBdr>
        <w:top w:val="none" w:sz="0" w:space="0" w:color="auto"/>
        <w:left w:val="none" w:sz="0" w:space="0" w:color="auto"/>
        <w:bottom w:val="none" w:sz="0" w:space="0" w:color="auto"/>
        <w:right w:val="none" w:sz="0" w:space="0" w:color="auto"/>
      </w:divBdr>
      <w:divsChild>
        <w:div w:id="1116872018">
          <w:marLeft w:val="0"/>
          <w:marRight w:val="0"/>
          <w:marTop w:val="0"/>
          <w:marBottom w:val="0"/>
          <w:divBdr>
            <w:top w:val="none" w:sz="0" w:space="0" w:color="auto"/>
            <w:left w:val="none" w:sz="0" w:space="0" w:color="auto"/>
            <w:bottom w:val="none" w:sz="0" w:space="0" w:color="auto"/>
            <w:right w:val="none" w:sz="0" w:space="0" w:color="auto"/>
          </w:divBdr>
          <w:divsChild>
            <w:div w:id="1730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5576">
      <w:bodyDiv w:val="1"/>
      <w:marLeft w:val="0"/>
      <w:marRight w:val="0"/>
      <w:marTop w:val="0"/>
      <w:marBottom w:val="0"/>
      <w:divBdr>
        <w:top w:val="none" w:sz="0" w:space="0" w:color="auto"/>
        <w:left w:val="none" w:sz="0" w:space="0" w:color="auto"/>
        <w:bottom w:val="none" w:sz="0" w:space="0" w:color="auto"/>
        <w:right w:val="none" w:sz="0" w:space="0" w:color="auto"/>
      </w:divBdr>
    </w:div>
    <w:div w:id="2046785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1713</Words>
  <Characters>9767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Baris Akgun</dc:creator>
  <cp:keywords/>
  <dc:description/>
  <cp:lastModifiedBy>Barış Akgün</cp:lastModifiedBy>
  <cp:revision>7</cp:revision>
  <cp:lastPrinted>2025-02-09T17:46:00Z</cp:lastPrinted>
  <dcterms:created xsi:type="dcterms:W3CDTF">2025-02-09T17:46:00Z</dcterms:created>
  <dcterms:modified xsi:type="dcterms:W3CDTF">2026-09-28T21:10:00Z</dcterms:modified>
</cp:coreProperties>
</file>