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7EB4EE" w14:textId="77777777" w:rsidR="00A60EFF" w:rsidRDefault="00000000" w:rsidP="00983BBC">
      <w:pPr>
        <w:spacing w:after="40"/>
        <w:jc w:val="both"/>
        <w:rPr>
          <w:rFonts w:hint="eastAsia"/>
        </w:rPr>
      </w:pPr>
      <w:r>
        <w:rPr>
          <w:rFonts w:eastAsia="EB Garamond"/>
          <w:b/>
          <w:color w:val="1F2A44"/>
          <w:sz w:val="46"/>
        </w:rPr>
        <w:t>Dr. Öğr. Üyesi Egemen Işık</w:t>
      </w:r>
    </w:p>
    <w:p w14:paraId="6DEFDD48" w14:textId="77777777" w:rsidR="00A60EFF" w:rsidRDefault="00000000" w:rsidP="00983BBC">
      <w:pPr>
        <w:pBdr>
          <w:bottom w:val="single" w:sz="8" w:space="1" w:color="1F2A44"/>
        </w:pBdr>
        <w:spacing w:after="160"/>
        <w:jc w:val="both"/>
        <w:rPr>
          <w:rFonts w:hint="eastAsia"/>
        </w:rPr>
      </w:pPr>
      <w:r>
        <w:rPr>
          <w:rFonts w:eastAsia="EB Garamond"/>
          <w:i/>
          <w:color w:val="5A606A"/>
          <w:sz w:val="24"/>
        </w:rPr>
        <w:t>Of Counsel · Danışman Akademisyen</w:t>
      </w:r>
    </w:p>
    <w:p w14:paraId="45B6FC7A" w14:textId="77777777" w:rsidR="00A60EFF" w:rsidRDefault="00000000" w:rsidP="00983BBC">
      <w:pPr>
        <w:spacing w:after="140" w:line="259" w:lineRule="auto"/>
        <w:jc w:val="both"/>
        <w:rPr>
          <w:rFonts w:hint="eastAsia"/>
        </w:rPr>
      </w:pPr>
      <w:r>
        <w:rPr>
          <w:rFonts w:eastAsia="EB Garamond"/>
          <w:sz w:val="22"/>
        </w:rPr>
        <w:t>Egemen Işık, Koçak | Sayım | Örnek bünyesinde Of Counsel (Danışman Akademisyen) olarak özel hukuk alanındaki karmaşık hukuki konularda akademik perspektif ve doktriner değerlendirme sunarak ekibimize ve müvekkillerimize destek sağlamaktadır. Hâlen Marmara Üniversitesi Hukuk Fakültesi Medeni Hukuk Anabilim Dalında Dr. Öğr. Üyesi olarak görev yapmaktadır.</w:t>
      </w:r>
    </w:p>
    <w:p w14:paraId="1800BF2C" w14:textId="77777777" w:rsidR="00A60EFF" w:rsidRDefault="00000000" w:rsidP="00983BBC">
      <w:pPr>
        <w:spacing w:after="140" w:line="259" w:lineRule="auto"/>
        <w:jc w:val="both"/>
        <w:rPr>
          <w:rFonts w:hint="eastAsia"/>
        </w:rPr>
      </w:pPr>
      <w:r>
        <w:rPr>
          <w:rFonts w:eastAsia="EB Garamond"/>
          <w:sz w:val="22"/>
        </w:rPr>
        <w:t>Marmara Üniversitesi Hukuk Fakültesinden 2013 yılında mezun olan Işık, aynı üniversitenin Sosyal Bilimler Enstitüsü Özel Hukuk Anabilim Dalında yüksek lisans eğitimini 2016 yılında, doktora eğitimini ise 2024 yılında tamamlamıştır. 2015 yılından itibaren Marmara Üniversitesi bünyesinde sürdürdüğü akademik kariyerinde medeni hukuk ve özel hukukun farklı alanlarında araştırma, yayın ve eğitim faaliyetlerinde bulunmuştur.</w:t>
      </w:r>
    </w:p>
    <w:p w14:paraId="6FB2AF35" w14:textId="77777777" w:rsidR="00A60EFF" w:rsidRDefault="00000000" w:rsidP="00983BBC">
      <w:pPr>
        <w:spacing w:after="140" w:line="259" w:lineRule="auto"/>
        <w:jc w:val="both"/>
        <w:rPr>
          <w:rFonts w:hint="eastAsia"/>
        </w:rPr>
      </w:pPr>
      <w:r>
        <w:rPr>
          <w:rFonts w:eastAsia="EB Garamond"/>
          <w:sz w:val="22"/>
        </w:rPr>
        <w:t>Akademik çalışmaları başta medeni hukuk ve borçlar hukuku olmak üzere sözleşmesel ilişkiler, temsil hukuku, fikri mülkiyet hukuku, tüketici hukuku ve eşya hukuku üzerinde yoğunlaşmaktadır. Yüksek lisans çalışmasında marka hukukunda sessiz kalma yoluyla hak kaybını, doktora araştırmasında ise yetkisiz temsilcinin sorumluluğunu incelemiş; bu iki alan Işık’ın akademik çalışmalarında öne çıkan uzmanlık konuları hâline gelmiştir.</w:t>
      </w:r>
    </w:p>
    <w:p w14:paraId="34F8753F" w14:textId="055BFBC6" w:rsidR="00A60EFF" w:rsidRDefault="00000000" w:rsidP="00983BBC">
      <w:pPr>
        <w:spacing w:after="140" w:line="259" w:lineRule="auto"/>
        <w:jc w:val="both"/>
        <w:rPr>
          <w:rFonts w:hint="eastAsia"/>
        </w:rPr>
      </w:pPr>
      <w:r>
        <w:rPr>
          <w:rFonts w:eastAsia="EB Garamond"/>
          <w:sz w:val="22"/>
        </w:rPr>
        <w:t xml:space="preserve">Işık’ın On İki Levha Yayıncılık tarafından yayımlanan </w:t>
      </w:r>
      <w:r w:rsidR="00F03049">
        <w:rPr>
          <w:rFonts w:eastAsia="EB Garamond"/>
          <w:sz w:val="22"/>
        </w:rPr>
        <w:t>‘’</w:t>
      </w:r>
      <w:r w:rsidRPr="00F03049">
        <w:rPr>
          <w:rFonts w:eastAsia="EB Garamond"/>
          <w:i/>
          <w:iCs/>
          <w:sz w:val="22"/>
        </w:rPr>
        <w:t xml:space="preserve">Marka Hukukunda Sessiz Kalma Yoluyla Hak Kaybı </w:t>
      </w:r>
      <w:proofErr w:type="spellStart"/>
      <w:r w:rsidRPr="00F03049">
        <w:rPr>
          <w:rFonts w:eastAsia="EB Garamond"/>
          <w:i/>
          <w:iCs/>
          <w:sz w:val="22"/>
        </w:rPr>
        <w:t>ve</w:t>
      </w:r>
      <w:proofErr w:type="spellEnd"/>
      <w:r w:rsidRPr="00F03049">
        <w:rPr>
          <w:rFonts w:eastAsia="EB Garamond"/>
          <w:i/>
          <w:iCs/>
          <w:sz w:val="22"/>
        </w:rPr>
        <w:t xml:space="preserve"> </w:t>
      </w:r>
      <w:proofErr w:type="spellStart"/>
      <w:r w:rsidRPr="00F03049">
        <w:rPr>
          <w:rFonts w:eastAsia="EB Garamond"/>
          <w:i/>
          <w:iCs/>
          <w:sz w:val="22"/>
        </w:rPr>
        <w:t>Yetkisiz</w:t>
      </w:r>
      <w:proofErr w:type="spellEnd"/>
      <w:r w:rsidRPr="00F03049">
        <w:rPr>
          <w:rFonts w:eastAsia="EB Garamond"/>
          <w:i/>
          <w:iCs/>
          <w:sz w:val="22"/>
        </w:rPr>
        <w:t xml:space="preserve"> </w:t>
      </w:r>
      <w:proofErr w:type="spellStart"/>
      <w:r w:rsidRPr="00F03049">
        <w:rPr>
          <w:rFonts w:eastAsia="EB Garamond"/>
          <w:i/>
          <w:iCs/>
          <w:sz w:val="22"/>
        </w:rPr>
        <w:t>Temsilcinin</w:t>
      </w:r>
      <w:proofErr w:type="spellEnd"/>
      <w:r w:rsidRPr="00F03049">
        <w:rPr>
          <w:rFonts w:eastAsia="EB Garamond"/>
          <w:i/>
          <w:iCs/>
          <w:sz w:val="22"/>
        </w:rPr>
        <w:t xml:space="preserve"> Sorumluluğu</w:t>
      </w:r>
      <w:r w:rsidR="00F03049" w:rsidRPr="00F03049">
        <w:rPr>
          <w:rFonts w:eastAsia="EB Garamond"/>
          <w:i/>
          <w:iCs/>
          <w:sz w:val="22"/>
        </w:rPr>
        <w:t>’’</w:t>
      </w:r>
      <w:r w:rsidRPr="00F03049">
        <w:rPr>
          <w:rFonts w:eastAsia="EB Garamond"/>
          <w:i/>
          <w:iCs/>
          <w:sz w:val="22"/>
        </w:rPr>
        <w:t xml:space="preserve"> </w:t>
      </w:r>
      <w:proofErr w:type="spellStart"/>
      <w:r>
        <w:rPr>
          <w:rFonts w:eastAsia="EB Garamond"/>
          <w:sz w:val="22"/>
        </w:rPr>
        <w:t>başlıklı</w:t>
      </w:r>
      <w:proofErr w:type="spellEnd"/>
      <w:r>
        <w:rPr>
          <w:rFonts w:eastAsia="EB Garamond"/>
          <w:sz w:val="22"/>
        </w:rPr>
        <w:t xml:space="preserve"> </w:t>
      </w:r>
      <w:proofErr w:type="spellStart"/>
      <w:r>
        <w:rPr>
          <w:rFonts w:eastAsia="EB Garamond"/>
          <w:sz w:val="22"/>
        </w:rPr>
        <w:t>iki</w:t>
      </w:r>
      <w:proofErr w:type="spellEnd"/>
      <w:r>
        <w:rPr>
          <w:rFonts w:eastAsia="EB Garamond"/>
          <w:sz w:val="22"/>
        </w:rPr>
        <w:t xml:space="preserve"> </w:t>
      </w:r>
      <w:proofErr w:type="spellStart"/>
      <w:r>
        <w:rPr>
          <w:rFonts w:eastAsia="EB Garamond"/>
          <w:sz w:val="22"/>
        </w:rPr>
        <w:t>kitabının</w:t>
      </w:r>
      <w:proofErr w:type="spellEnd"/>
      <w:r>
        <w:rPr>
          <w:rFonts w:eastAsia="EB Garamond"/>
          <w:sz w:val="22"/>
        </w:rPr>
        <w:t xml:space="preserve"> yanı sıra özel hukukun çeşitli alanlarında akademik makale, kitap bölümü ve bildirileri bulunmaktadır. Akademik yaklaşımı, hukuki kurumların doktriner temellerini uygulamadaki sonuçlarıyla birlikte ele almakta; özellikle karmaşık yorum meseleleri, sözleşmesel ilişkiler, sorumluluk ve özel hukuk uyuşmazlıklarında kapsamlı bir akademik değerlendirme sunmaktadır.</w:t>
      </w:r>
    </w:p>
    <w:p w14:paraId="3AB6C86E" w14:textId="77777777" w:rsidR="00A60EFF" w:rsidRDefault="00000000" w:rsidP="00983BBC">
      <w:pPr>
        <w:spacing w:after="140" w:line="259" w:lineRule="auto"/>
        <w:jc w:val="both"/>
        <w:rPr>
          <w:rFonts w:hint="eastAsia"/>
        </w:rPr>
      </w:pPr>
      <w:r>
        <w:rPr>
          <w:rFonts w:eastAsia="EB Garamond"/>
          <w:sz w:val="22"/>
        </w:rPr>
        <w:t>Tüketici, iş ve ticaret hukuku alanlarında uzman arabuluculuk eğitimleri ile hukuk uyuşmazlıklarında arabuluculuk eğitimi alan; ayrıca spor hukuku ve yönetimi eğitimi bulunan Işık, Koçak | Sayım | Örnek bünyesinde hukuki görüşlerin doktrin, akademik literatür ve güncel özel hukuk yaklaşımları ışığında değerlendirilmesine katkı sağlamaktadır.</w:t>
      </w:r>
    </w:p>
    <w:p w14:paraId="1133F5F0" w14:textId="77777777" w:rsidR="00A60EFF" w:rsidRDefault="00000000" w:rsidP="00983BBC">
      <w:pPr>
        <w:spacing w:before="160" w:after="120"/>
        <w:jc w:val="both"/>
        <w:rPr>
          <w:rFonts w:hint="eastAsia"/>
        </w:rPr>
      </w:pPr>
      <w:r>
        <w:rPr>
          <w:rFonts w:eastAsia="EB Garamond"/>
          <w:b/>
          <w:color w:val="1F2A44"/>
          <w:sz w:val="30"/>
        </w:rPr>
        <w:t>Başlıca Çalışma Alanları</w:t>
      </w:r>
    </w:p>
    <w:p w14:paraId="116EA0BA" w14:textId="77777777" w:rsidR="00A60EFF" w:rsidRDefault="00000000" w:rsidP="00983BBC">
      <w:pPr>
        <w:spacing w:after="80"/>
        <w:ind w:left="216" w:hanging="216"/>
        <w:jc w:val="both"/>
        <w:rPr>
          <w:rFonts w:hint="eastAsia"/>
        </w:rPr>
      </w:pPr>
      <w:r>
        <w:rPr>
          <w:rFonts w:eastAsia="EB Garamond"/>
          <w:b/>
          <w:color w:val="1F2A44"/>
          <w:sz w:val="22"/>
        </w:rPr>
        <w:t xml:space="preserve">Medeni Hukuk — </w:t>
      </w:r>
      <w:r>
        <w:rPr>
          <w:rFonts w:eastAsia="EB Garamond"/>
          <w:sz w:val="22"/>
        </w:rPr>
        <w:t>Kişilik hakları ile özel hukukun temel ilke ve kurumlarına ilişkin akademik ve doktriner değerlendirmeler</w:t>
      </w:r>
    </w:p>
    <w:p w14:paraId="5C18BD4F" w14:textId="77777777" w:rsidR="00A60EFF" w:rsidRDefault="00000000" w:rsidP="00983BBC">
      <w:pPr>
        <w:spacing w:after="80"/>
        <w:ind w:left="216" w:hanging="216"/>
        <w:jc w:val="both"/>
        <w:rPr>
          <w:rFonts w:hint="eastAsia"/>
        </w:rPr>
      </w:pPr>
      <w:r>
        <w:rPr>
          <w:rFonts w:eastAsia="EB Garamond"/>
          <w:b/>
          <w:color w:val="1F2A44"/>
          <w:sz w:val="22"/>
        </w:rPr>
        <w:t xml:space="preserve">Borçlar ve Sözleşmeler Hukuku — </w:t>
      </w:r>
      <w:r>
        <w:rPr>
          <w:rFonts w:eastAsia="EB Garamond"/>
          <w:sz w:val="22"/>
        </w:rPr>
        <w:t>Sözleşmesel ilişkilerin kurulması, yorumlanması, ifası ve sona ermesi; sözleşmesel risk, sözleşmeye aykırılık ve sorumluluk konuları</w:t>
      </w:r>
    </w:p>
    <w:p w14:paraId="3C237350" w14:textId="77777777" w:rsidR="00A60EFF" w:rsidRDefault="00000000" w:rsidP="00983BBC">
      <w:pPr>
        <w:spacing w:after="80"/>
        <w:ind w:left="216" w:hanging="216"/>
        <w:jc w:val="both"/>
        <w:rPr>
          <w:rFonts w:hint="eastAsia"/>
        </w:rPr>
      </w:pPr>
      <w:r>
        <w:rPr>
          <w:rFonts w:eastAsia="EB Garamond"/>
          <w:b/>
          <w:color w:val="1F2A44"/>
          <w:sz w:val="22"/>
        </w:rPr>
        <w:t xml:space="preserve">Fikri Mülkiyet Hukuku — </w:t>
      </w:r>
      <w:r>
        <w:rPr>
          <w:rFonts w:eastAsia="EB Garamond"/>
          <w:sz w:val="22"/>
        </w:rPr>
        <w:t>Marka haklarının korunması, marka koruması, sessiz kalma yoluyla hak kaybı ve marka kaynaklı özel hukuk uyuşmazlıkları</w:t>
      </w:r>
    </w:p>
    <w:p w14:paraId="370BA851" w14:textId="77777777" w:rsidR="00A60EFF" w:rsidRDefault="00000000" w:rsidP="00983BBC">
      <w:pPr>
        <w:spacing w:after="80"/>
        <w:ind w:left="216" w:hanging="216"/>
        <w:jc w:val="both"/>
        <w:rPr>
          <w:rFonts w:hint="eastAsia"/>
        </w:rPr>
      </w:pPr>
      <w:r>
        <w:rPr>
          <w:rFonts w:eastAsia="EB Garamond"/>
          <w:b/>
          <w:color w:val="1F2A44"/>
          <w:sz w:val="22"/>
        </w:rPr>
        <w:t xml:space="preserve">Temsil Hukuku — </w:t>
      </w:r>
      <w:r>
        <w:rPr>
          <w:rFonts w:eastAsia="EB Garamond"/>
          <w:sz w:val="22"/>
        </w:rPr>
        <w:t>Temsil yetkisinin kapsamı ve sonuçları, yetkisiz temsil ve yetkisiz temsilcinin sorumluluğuna ilişkin konular</w:t>
      </w:r>
    </w:p>
    <w:p w14:paraId="5545069D" w14:textId="77777777" w:rsidR="00A60EFF" w:rsidRDefault="00000000" w:rsidP="00983BBC">
      <w:pPr>
        <w:spacing w:after="80"/>
        <w:ind w:left="216" w:hanging="216"/>
        <w:jc w:val="both"/>
        <w:rPr>
          <w:rFonts w:hint="eastAsia"/>
        </w:rPr>
      </w:pPr>
      <w:r>
        <w:rPr>
          <w:rFonts w:eastAsia="EB Garamond"/>
          <w:b/>
          <w:color w:val="1F2A44"/>
          <w:sz w:val="22"/>
        </w:rPr>
        <w:t xml:space="preserve">Tüketici Hukuku — </w:t>
      </w:r>
      <w:r>
        <w:rPr>
          <w:rFonts w:eastAsia="EB Garamond"/>
          <w:sz w:val="22"/>
        </w:rPr>
        <w:t>Tüketici işlemleri, ayıplı mal ve hizmetler, tüketici sözleşmeleri ve tüketici uyuşmazlıkları</w:t>
      </w:r>
    </w:p>
    <w:p w14:paraId="541B910C" w14:textId="77777777" w:rsidR="00A60EFF" w:rsidRDefault="00000000" w:rsidP="00983BBC">
      <w:pPr>
        <w:spacing w:after="80"/>
        <w:ind w:left="216" w:hanging="216"/>
        <w:jc w:val="both"/>
        <w:rPr>
          <w:rFonts w:hint="eastAsia"/>
        </w:rPr>
      </w:pPr>
      <w:r>
        <w:rPr>
          <w:rFonts w:eastAsia="EB Garamond"/>
          <w:b/>
          <w:color w:val="1F2A44"/>
          <w:sz w:val="22"/>
        </w:rPr>
        <w:t xml:space="preserve">Eşya Hukuku — </w:t>
      </w:r>
      <w:r>
        <w:rPr>
          <w:rFonts w:eastAsia="EB Garamond"/>
          <w:sz w:val="22"/>
        </w:rPr>
        <w:t>Mülkiyet, zilyetlik, sınırlı ayni haklar ve eşya hukukundan doğan hukuki konular</w:t>
      </w:r>
    </w:p>
    <w:p w14:paraId="4098554C" w14:textId="77777777" w:rsidR="00A60EFF" w:rsidRDefault="00000000" w:rsidP="00983BBC">
      <w:pPr>
        <w:jc w:val="both"/>
        <w:rPr>
          <w:rFonts w:hint="eastAsia"/>
        </w:rPr>
      </w:pPr>
      <w:r>
        <w:br w:type="page"/>
      </w:r>
    </w:p>
    <w:p w14:paraId="2F0D1994" w14:textId="77777777" w:rsidR="00A60EFF" w:rsidRDefault="00000000" w:rsidP="00983BBC">
      <w:pPr>
        <w:spacing w:after="40"/>
        <w:jc w:val="both"/>
        <w:rPr>
          <w:rFonts w:hint="eastAsia"/>
        </w:rPr>
      </w:pPr>
      <w:r>
        <w:rPr>
          <w:rFonts w:eastAsia="EB Garamond"/>
          <w:b/>
          <w:color w:val="1F2A44"/>
          <w:sz w:val="46"/>
        </w:rPr>
        <w:lastRenderedPageBreak/>
        <w:t>Asst. Prof. Dr. Egemen Işık</w:t>
      </w:r>
    </w:p>
    <w:p w14:paraId="249B1BDB" w14:textId="77777777" w:rsidR="00A60EFF" w:rsidRDefault="00000000" w:rsidP="00983BBC">
      <w:pPr>
        <w:pBdr>
          <w:bottom w:val="single" w:sz="8" w:space="1" w:color="1F2A44"/>
        </w:pBdr>
        <w:spacing w:after="160"/>
        <w:jc w:val="both"/>
        <w:rPr>
          <w:rFonts w:hint="eastAsia"/>
        </w:rPr>
      </w:pPr>
      <w:r>
        <w:rPr>
          <w:rFonts w:eastAsia="EB Garamond"/>
          <w:i/>
          <w:color w:val="5A606A"/>
          <w:sz w:val="24"/>
        </w:rPr>
        <w:t>Of Counsel · Academic Advisor</w:t>
      </w:r>
    </w:p>
    <w:p w14:paraId="27A14EAB" w14:textId="77777777" w:rsidR="00A60EFF" w:rsidRDefault="00000000" w:rsidP="00983BBC">
      <w:pPr>
        <w:spacing w:after="140" w:line="259" w:lineRule="auto"/>
        <w:jc w:val="both"/>
        <w:rPr>
          <w:rFonts w:hint="eastAsia"/>
        </w:rPr>
      </w:pPr>
      <w:r>
        <w:rPr>
          <w:rFonts w:eastAsia="EB Garamond"/>
          <w:sz w:val="22"/>
        </w:rPr>
        <w:t>Egemen Işık serves as Of Counsel (Academic Advisor) to Koçak | Sayım | Örnek, providing academic perspective and rigorous doctrinal analysis on complex private law issues. He is currently an Assistant Professor in the Department of Civil Law at Marmara University Faculty of Law.</w:t>
      </w:r>
    </w:p>
    <w:p w14:paraId="7253C0AC" w14:textId="77777777" w:rsidR="00A60EFF" w:rsidRDefault="00000000" w:rsidP="00983BBC">
      <w:pPr>
        <w:spacing w:after="140" w:line="259" w:lineRule="auto"/>
        <w:jc w:val="both"/>
        <w:rPr>
          <w:rFonts w:hint="eastAsia"/>
        </w:rPr>
      </w:pPr>
      <w:r>
        <w:rPr>
          <w:rFonts w:eastAsia="EB Garamond"/>
          <w:sz w:val="22"/>
        </w:rPr>
        <w:t>He received his LL.B. from Marmara University Faculty of Law in 2013, followed by a master’s degree in Private Law from Marmara University Institute of Social Sciences in 2016 and a Ph.D. in Private Law from the same institution in 2024. His academic career at Marmara University dates back to 2015 and encompasses research, teaching and scholarly work across a broad range of private law disciplines.</w:t>
      </w:r>
    </w:p>
    <w:p w14:paraId="12137C6D" w14:textId="77777777" w:rsidR="00A60EFF" w:rsidRDefault="00000000" w:rsidP="00983BBC">
      <w:pPr>
        <w:spacing w:after="140" w:line="259" w:lineRule="auto"/>
        <w:jc w:val="both"/>
        <w:rPr>
          <w:rFonts w:hint="eastAsia"/>
        </w:rPr>
      </w:pPr>
      <w:r>
        <w:rPr>
          <w:rFonts w:eastAsia="EB Garamond"/>
          <w:sz w:val="22"/>
        </w:rPr>
        <w:t>His principal areas of academic focus include Civil Law, the Law of Obligations, contractual relationships, the Law of Representation, Intellectual Property Law, Consumer Law and Property Law. His graduate research focused in particular on loss of rights through acquiescence in trademark law and the liability of unauthorized representatives, which remain two of his core areas of scholarly expertise.</w:t>
      </w:r>
    </w:p>
    <w:p w14:paraId="10991155" w14:textId="2E9D920F" w:rsidR="00A60EFF" w:rsidRDefault="00000000" w:rsidP="00983BBC">
      <w:pPr>
        <w:spacing w:after="140" w:line="259" w:lineRule="auto"/>
        <w:jc w:val="both"/>
        <w:rPr>
          <w:rFonts w:hint="eastAsia"/>
        </w:rPr>
      </w:pPr>
      <w:r>
        <w:rPr>
          <w:rFonts w:eastAsia="EB Garamond"/>
          <w:sz w:val="22"/>
        </w:rPr>
        <w:t xml:space="preserve">Egemen is the author of two books published by </w:t>
      </w:r>
      <w:proofErr w:type="gramStart"/>
      <w:r>
        <w:rPr>
          <w:rFonts w:eastAsia="EB Garamond"/>
          <w:sz w:val="22"/>
        </w:rPr>
        <w:t>On</w:t>
      </w:r>
      <w:proofErr w:type="gramEnd"/>
      <w:r>
        <w:rPr>
          <w:rFonts w:eastAsia="EB Garamond"/>
          <w:sz w:val="22"/>
        </w:rPr>
        <w:t xml:space="preserve"> İki Levha Publishing: </w:t>
      </w:r>
      <w:r w:rsidR="00F03049">
        <w:rPr>
          <w:rFonts w:eastAsia="EB Garamond"/>
          <w:sz w:val="22"/>
        </w:rPr>
        <w:t>‘’</w:t>
      </w:r>
      <w:r w:rsidRPr="00F03049">
        <w:rPr>
          <w:rFonts w:eastAsia="EB Garamond"/>
          <w:i/>
          <w:iCs/>
          <w:sz w:val="22"/>
        </w:rPr>
        <w:t>Loss of Rights Through Acquiescence in Trademark Law and Liability of the Unauthorized Representative</w:t>
      </w:r>
      <w:r w:rsidR="00F03049" w:rsidRPr="00F03049">
        <w:rPr>
          <w:rFonts w:eastAsia="EB Garamond"/>
          <w:i/>
          <w:iCs/>
          <w:sz w:val="22"/>
        </w:rPr>
        <w:t>’’</w:t>
      </w:r>
      <w:r>
        <w:rPr>
          <w:rFonts w:eastAsia="EB Garamond"/>
          <w:sz w:val="22"/>
        </w:rPr>
        <w:t>. His wider academic work includes articles, book chapters and conference papers addressing various aspects of private law. His scholarship combines doctrinal analysis with close attention to the practical effects of legal rules, providing an academic framework for complex questions of interpretation, contractual relationships, liability and private law disputes.</w:t>
      </w:r>
    </w:p>
    <w:p w14:paraId="5B3A920A" w14:textId="77777777" w:rsidR="00A60EFF" w:rsidRDefault="00000000" w:rsidP="00983BBC">
      <w:pPr>
        <w:spacing w:after="140" w:line="259" w:lineRule="auto"/>
        <w:jc w:val="both"/>
        <w:rPr>
          <w:rFonts w:hint="eastAsia"/>
        </w:rPr>
      </w:pPr>
      <w:r>
        <w:rPr>
          <w:rFonts w:eastAsia="EB Garamond"/>
          <w:sz w:val="22"/>
        </w:rPr>
        <w:t>He has completed specialist mediation training in consumer, employment and commercial law, as well as general mediation training for legal disputes, together with training in Sports Law and Management. At Koçak | Sayım | Örnek, Egemen contributes to the analysis of complex legal issues by drawing on legal doctrine, academic scholarship and current developments in private law.</w:t>
      </w:r>
    </w:p>
    <w:p w14:paraId="71017142" w14:textId="77777777" w:rsidR="00A60EFF" w:rsidRDefault="00000000" w:rsidP="00983BBC">
      <w:pPr>
        <w:spacing w:before="160" w:after="120"/>
        <w:jc w:val="both"/>
        <w:rPr>
          <w:rFonts w:hint="eastAsia"/>
        </w:rPr>
      </w:pPr>
      <w:r>
        <w:rPr>
          <w:rFonts w:eastAsia="EB Garamond"/>
          <w:b/>
          <w:color w:val="1F2A44"/>
          <w:sz w:val="30"/>
        </w:rPr>
        <w:t>Key Focus</w:t>
      </w:r>
    </w:p>
    <w:p w14:paraId="5F62D2D5" w14:textId="77777777" w:rsidR="00A60EFF" w:rsidRDefault="00000000" w:rsidP="00983BBC">
      <w:pPr>
        <w:spacing w:after="80"/>
        <w:ind w:left="216" w:hanging="216"/>
        <w:jc w:val="both"/>
        <w:rPr>
          <w:rFonts w:hint="eastAsia"/>
        </w:rPr>
      </w:pPr>
      <w:r>
        <w:rPr>
          <w:rFonts w:eastAsia="EB Garamond"/>
          <w:b/>
          <w:color w:val="1F2A44"/>
          <w:sz w:val="22"/>
        </w:rPr>
        <w:t xml:space="preserve">Civil Law — </w:t>
      </w:r>
      <w:r>
        <w:rPr>
          <w:rFonts w:eastAsia="EB Garamond"/>
          <w:sz w:val="22"/>
        </w:rPr>
        <w:t>Doctrinal analysis of personality rights and the fundamental principles and institutions of private law</w:t>
      </w:r>
    </w:p>
    <w:p w14:paraId="6D3F17C2" w14:textId="77777777" w:rsidR="00A60EFF" w:rsidRDefault="00000000" w:rsidP="00983BBC">
      <w:pPr>
        <w:spacing w:after="80"/>
        <w:ind w:left="216" w:hanging="216"/>
        <w:jc w:val="both"/>
        <w:rPr>
          <w:rFonts w:hint="eastAsia"/>
        </w:rPr>
      </w:pPr>
      <w:r>
        <w:rPr>
          <w:rFonts w:eastAsia="EB Garamond"/>
          <w:b/>
          <w:color w:val="1F2A44"/>
          <w:sz w:val="22"/>
        </w:rPr>
        <w:t xml:space="preserve">Law of Obligations &amp; Contract Law — </w:t>
      </w:r>
      <w:r>
        <w:rPr>
          <w:rFonts w:eastAsia="EB Garamond"/>
          <w:sz w:val="22"/>
        </w:rPr>
        <w:t>Formation, interpretation, performance and termination of contractual relationships, contractual risk, breach and liability</w:t>
      </w:r>
    </w:p>
    <w:p w14:paraId="287F5A46" w14:textId="77777777" w:rsidR="00A60EFF" w:rsidRDefault="00000000" w:rsidP="00983BBC">
      <w:pPr>
        <w:spacing w:after="80"/>
        <w:ind w:left="216" w:hanging="216"/>
        <w:jc w:val="both"/>
        <w:rPr>
          <w:rFonts w:hint="eastAsia"/>
        </w:rPr>
      </w:pPr>
      <w:r>
        <w:rPr>
          <w:rFonts w:eastAsia="EB Garamond"/>
          <w:b/>
          <w:color w:val="1F2A44"/>
          <w:sz w:val="22"/>
        </w:rPr>
        <w:t xml:space="preserve">Intellectual Property Law — </w:t>
      </w:r>
      <w:r>
        <w:rPr>
          <w:rFonts w:eastAsia="EB Garamond"/>
          <w:sz w:val="22"/>
        </w:rPr>
        <w:t>Trademark protection, loss of rights through acquiescence and private law disputes arising from trademark matters</w:t>
      </w:r>
    </w:p>
    <w:p w14:paraId="38B6FF61" w14:textId="77777777" w:rsidR="00A60EFF" w:rsidRDefault="00000000" w:rsidP="00983BBC">
      <w:pPr>
        <w:spacing w:after="80"/>
        <w:ind w:left="216" w:hanging="216"/>
        <w:jc w:val="both"/>
        <w:rPr>
          <w:rFonts w:hint="eastAsia"/>
        </w:rPr>
      </w:pPr>
      <w:r>
        <w:rPr>
          <w:rFonts w:eastAsia="EB Garamond"/>
          <w:b/>
          <w:color w:val="1F2A44"/>
          <w:sz w:val="22"/>
        </w:rPr>
        <w:t xml:space="preserve">Law of Representation — </w:t>
      </w:r>
      <w:r>
        <w:rPr>
          <w:rFonts w:eastAsia="EB Garamond"/>
          <w:sz w:val="22"/>
        </w:rPr>
        <w:t>Scope and effects of authority, unauthorized representation and the liability of unauthorized representatives</w:t>
      </w:r>
    </w:p>
    <w:p w14:paraId="5F6FFECF" w14:textId="77777777" w:rsidR="00A60EFF" w:rsidRDefault="00000000" w:rsidP="00983BBC">
      <w:pPr>
        <w:spacing w:after="80"/>
        <w:ind w:left="216" w:hanging="216"/>
        <w:jc w:val="both"/>
        <w:rPr>
          <w:rFonts w:hint="eastAsia"/>
        </w:rPr>
      </w:pPr>
      <w:r>
        <w:rPr>
          <w:rFonts w:eastAsia="EB Garamond"/>
          <w:b/>
          <w:color w:val="1F2A44"/>
          <w:sz w:val="22"/>
        </w:rPr>
        <w:t xml:space="preserve">Consumer Law — </w:t>
      </w:r>
      <w:r>
        <w:rPr>
          <w:rFonts w:eastAsia="EB Garamond"/>
          <w:sz w:val="22"/>
        </w:rPr>
        <w:t>Consumer transactions, defective goods and services, consumer contracts and consumer disputes</w:t>
      </w:r>
    </w:p>
    <w:p w14:paraId="668F2B7B" w14:textId="77777777" w:rsidR="00A60EFF" w:rsidRDefault="00000000" w:rsidP="00983BBC">
      <w:pPr>
        <w:spacing w:after="80"/>
        <w:ind w:left="216" w:hanging="216"/>
        <w:jc w:val="both"/>
        <w:rPr>
          <w:rFonts w:hint="eastAsia"/>
        </w:rPr>
      </w:pPr>
      <w:r>
        <w:rPr>
          <w:rFonts w:eastAsia="EB Garamond"/>
          <w:b/>
          <w:color w:val="1F2A44"/>
          <w:sz w:val="22"/>
        </w:rPr>
        <w:t xml:space="preserve">Property Law — </w:t>
      </w:r>
      <w:r>
        <w:rPr>
          <w:rFonts w:eastAsia="EB Garamond"/>
          <w:sz w:val="22"/>
        </w:rPr>
        <w:t>Ownership, possession, limited rights in rem and other legal issues arising under property law</w:t>
      </w:r>
    </w:p>
    <w:sectPr w:rsidR="00A60EFF"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53140E" w14:textId="77777777" w:rsidR="002B31C4" w:rsidRDefault="002B31C4">
      <w:pPr>
        <w:spacing w:after="0" w:line="240" w:lineRule="auto"/>
        <w:rPr>
          <w:rFonts w:hint="eastAsia"/>
        </w:rPr>
      </w:pPr>
      <w:r>
        <w:separator/>
      </w:r>
    </w:p>
  </w:endnote>
  <w:endnote w:type="continuationSeparator" w:id="0">
    <w:p w14:paraId="6B472DC3" w14:textId="77777777" w:rsidR="002B31C4" w:rsidRDefault="002B31C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EB Garamond">
    <w:panose1 w:val="00000500000000000000"/>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FE30BF" w14:textId="77777777" w:rsidR="00A60EFF" w:rsidRDefault="00000000">
    <w:pPr>
      <w:pStyle w:val="AltBilgi"/>
      <w:jc w:val="center"/>
      <w:rPr>
        <w:rFonts w:hint="eastAsia"/>
      </w:rPr>
    </w:pPr>
    <w:r>
      <w:rPr>
        <w:rFonts w:eastAsia="EB Garamond"/>
        <w:b/>
        <w:color w:val="5A606A"/>
        <w:sz w:val="18"/>
      </w:rPr>
      <w:t>KOÇAK | SAYIM | ÖRNEK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1485F2" w14:textId="77777777" w:rsidR="002B31C4" w:rsidRDefault="002B31C4">
      <w:pPr>
        <w:spacing w:after="0" w:line="240" w:lineRule="auto"/>
        <w:rPr>
          <w:rFonts w:hint="eastAsia"/>
        </w:rPr>
      </w:pPr>
      <w:r>
        <w:separator/>
      </w:r>
    </w:p>
  </w:footnote>
  <w:footnote w:type="continuationSeparator" w:id="0">
    <w:p w14:paraId="2834E17F" w14:textId="77777777" w:rsidR="002B31C4" w:rsidRDefault="002B31C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518303039">
    <w:abstractNumId w:val="8"/>
  </w:num>
  <w:num w:numId="2" w16cid:durableId="1610232408">
    <w:abstractNumId w:val="6"/>
  </w:num>
  <w:num w:numId="3" w16cid:durableId="1312442842">
    <w:abstractNumId w:val="5"/>
  </w:num>
  <w:num w:numId="4" w16cid:durableId="1715621520">
    <w:abstractNumId w:val="4"/>
  </w:num>
  <w:num w:numId="5" w16cid:durableId="126821339">
    <w:abstractNumId w:val="7"/>
  </w:num>
  <w:num w:numId="6" w16cid:durableId="725959644">
    <w:abstractNumId w:val="3"/>
  </w:num>
  <w:num w:numId="7" w16cid:durableId="510921136">
    <w:abstractNumId w:val="2"/>
  </w:num>
  <w:num w:numId="8" w16cid:durableId="1006783401">
    <w:abstractNumId w:val="1"/>
  </w:num>
  <w:num w:numId="9" w16cid:durableId="6393874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31C4"/>
    <w:rsid w:val="00326F90"/>
    <w:rsid w:val="00935644"/>
    <w:rsid w:val="00983BBC"/>
    <w:rsid w:val="009D59E3"/>
    <w:rsid w:val="00A4637E"/>
    <w:rsid w:val="00A60EFF"/>
    <w:rsid w:val="00AA1D8D"/>
    <w:rsid w:val="00B47730"/>
    <w:rsid w:val="00B75216"/>
    <w:rsid w:val="00CB0664"/>
    <w:rsid w:val="00F030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FDD01"/>
  <w14:defaultImageDpi w14:val="300"/>
  <w15:docId w15:val="{61C7E056-46A4-4842-9621-87424920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EB Garamond" w:hAnsi="EB Garamond"/>
      <w:sz w:val="23"/>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774</Words>
  <Characters>5001</Characters>
  <Application>Microsoft Office Word</Application>
  <DocSecurity>0</DocSecurity>
  <Lines>70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Berhudan Hüseyin Sayım</cp:lastModifiedBy>
  <cp:revision>6</cp:revision>
  <dcterms:created xsi:type="dcterms:W3CDTF">2026-09-21T21:25:00Z</dcterms:created>
  <dcterms:modified xsi:type="dcterms:W3CDTF">2026-09-21T21:28:00Z</dcterms:modified>
  <cp:category/>
</cp:coreProperties>
</file>