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D38B7" w14:textId="70D6B9C4" w:rsidR="0043009D" w:rsidRDefault="00000000">
      <w:pPr>
        <w:spacing w:after="40"/>
      </w:pPr>
      <w:r>
        <w:rPr>
          <w:b/>
          <w:color w:val="1F2A44"/>
          <w:sz w:val="46"/>
        </w:rPr>
        <w:t>Ertuğrul Doğan Erzengin</w:t>
      </w:r>
      <w:r w:rsidR="00B45FE9">
        <w:rPr>
          <w:b/>
          <w:color w:val="1F2A44"/>
          <w:sz w:val="46"/>
        </w:rPr>
        <w:t>, Ph.D.</w:t>
      </w:r>
    </w:p>
    <w:p w14:paraId="49159B66" w14:textId="77777777" w:rsidR="0043009D" w:rsidRDefault="00000000">
      <w:pPr>
        <w:pBdr>
          <w:bottom w:val="single" w:sz="8" w:space="1" w:color="1F2A44"/>
        </w:pBdr>
        <w:spacing w:after="160"/>
      </w:pPr>
      <w:r>
        <w:rPr>
          <w:i/>
          <w:color w:val="5A606A"/>
          <w:sz w:val="24"/>
        </w:rPr>
        <w:t>Of Counsel · Danışman Akademisyen</w:t>
      </w:r>
    </w:p>
    <w:p w14:paraId="5CF76681" w14:textId="77777777" w:rsidR="0043009D" w:rsidRDefault="00000000">
      <w:pPr>
        <w:spacing w:before="160" w:after="120"/>
      </w:pPr>
      <w:r>
        <w:rPr>
          <w:b/>
          <w:color w:val="1F2A44"/>
          <w:sz w:val="30"/>
        </w:rPr>
        <w:t>Genel Biyografi</w:t>
      </w:r>
    </w:p>
    <w:p w14:paraId="1A244386" w14:textId="77777777" w:rsidR="0043009D" w:rsidRDefault="00000000">
      <w:pPr>
        <w:spacing w:after="140" w:line="259" w:lineRule="auto"/>
      </w:pPr>
      <w:r>
        <w:rPr>
          <w:sz w:val="22"/>
        </w:rPr>
        <w:t>Ertuğrul Doğan Erzengin, Koçak | Sayım | Örnek bünyesinde Of Counsel (Danışman Akademisyen) olarak özel hukuk alanındaki karmaşık hukuki meselelerde akademik perspektif ve doktriner değerlendirme sunarak ekibimize ve müvekkillerimize destek sağlamaktadır. Hâlen Marmara Üniversitesi Hukuk Fakültesi Medeni Hukuk Anabilim Dalında Araştırma Görevlisi olarak görev yapmaktadır.</w:t>
      </w:r>
    </w:p>
    <w:p w14:paraId="7C3F2B4A" w14:textId="77777777" w:rsidR="0043009D" w:rsidRDefault="00000000">
      <w:pPr>
        <w:spacing w:after="140" w:line="259" w:lineRule="auto"/>
      </w:pPr>
      <w:r>
        <w:rPr>
          <w:sz w:val="22"/>
        </w:rPr>
        <w:t>İstanbul Üniversitesi Hukuk Fakültesinden 2016 yılında mezun olan Erzengin, mezuniyetinin ardından çok uluslu bir bankanın genel müdürlük hukuk departmanında hukuki deneyim kazanmıştır. Lisansüstü eğitimine 2017 yılında İstanbul Üniversitesi Özel Hukuk Yüksek Lisans Programında başlamış, 2018 yılından itibaren Marmara Üniversitesi Özel Hukuk Yüksek Lisans Programında devam etmiş ve 2020 yılında “Kiralananın Sözleşmenin Sona Ermesinden Önce İadesi” başlıklı teziyle yüksek lisansını tamamlamıştır. Aynı yıl Marmara Üniversitesi Özel Hukuk Doktora Programına başlayan Erzengin, 2021–2022 yılları arasında Münster Üniversitesi Hukuk Fakültesinde araştırmalarını yürütmüş ve 2026 yılında “Askıda Hükümsüzlük” başlıklı teziyle doktora derecesini almıştır.</w:t>
      </w:r>
    </w:p>
    <w:p w14:paraId="1E6CBE41" w14:textId="77777777" w:rsidR="0043009D" w:rsidRDefault="00000000">
      <w:pPr>
        <w:spacing w:after="140" w:line="259" w:lineRule="auto"/>
      </w:pPr>
      <w:r>
        <w:rPr>
          <w:sz w:val="22"/>
        </w:rPr>
        <w:t>Akademik çalışmaları medeni hukuk, borçlar hukuku, sözleşmesel ilişkiler, sorumluluk hukuku, eşya hukuku, miras hukuku, teknoloji hukuku ve yapay zekâ ile hukuk sosyolojisi üzerinde yoğunlaşmaktadır. Yüksek lisans araştırmasında kira sözleşmelerinde kiralananın sözleşme sona ermeden önce iadesini, doktora çalışmasında ise askıda hükümsüzlük kurumunu incelemiştir. Karşılaştırmalı hukuk, standart sözleşme hükümlerinin çatışması, CISG kapsamında tazminatın sınırlandırılması ve özel hukukun sosyo-ekonomik işlevi de akademik çalışmalarında öne çıkan konular arasındadır.</w:t>
      </w:r>
    </w:p>
    <w:p w14:paraId="4CCB8D91" w14:textId="77777777" w:rsidR="0043009D" w:rsidRDefault="00000000">
      <w:pPr>
        <w:spacing w:after="140" w:line="259" w:lineRule="auto"/>
      </w:pPr>
      <w:r>
        <w:rPr>
          <w:sz w:val="22"/>
        </w:rPr>
        <w:t>Erzengin’in On İki Levha Yayıncılık tarafından yayımlanan Kiralananın Sözleşmenin Sona Ermesinden Önce İadesi (TBK m. 325) başlıklı kitabının yanı sıra Askıda Hükümsüzlük başlıklı çalışması yayın aşamasındadır. Akademik yayınları; sözleşme boşluklarının doldurulması, standart sözleşme hükümleri, sorumluluk hukuku, Avrupa Birliği Yapay Zekâ Tüzüğü, tüketici sözleşmelerinde kişisel veriler, mülkiyet hakkı ve sürdürülebilirlik ile özel hukukun sosyo-ekonomik boyutları gibi güncel ve çok katmanlı konuları kapsamaktadır.</w:t>
      </w:r>
    </w:p>
    <w:p w14:paraId="3802D83B" w14:textId="77777777" w:rsidR="0043009D" w:rsidRDefault="00000000">
      <w:pPr>
        <w:spacing w:after="140" w:line="259" w:lineRule="auto"/>
      </w:pPr>
      <w:r>
        <w:rPr>
          <w:sz w:val="22"/>
        </w:rPr>
        <w:t>İngilizce ve Almancayı profesyonel düzeyde kullanan Erzengin, Koçak | Sayım | Örnek bünyesinde özellikle sözleşmesel ilişkiler, sorumluluk, teknoloji ve diğer özel hukuk meselelerinin doktrin, karşılaştırmalı hukuk ve akademik literatür ışığında değerlendirilmesine katkı sağlamaktadır.</w:t>
      </w:r>
    </w:p>
    <w:p w14:paraId="602E2021" w14:textId="77777777" w:rsidR="0043009D" w:rsidRDefault="00000000">
      <w:pPr>
        <w:spacing w:before="160" w:after="120"/>
      </w:pPr>
      <w:r>
        <w:rPr>
          <w:b/>
          <w:color w:val="1F2A44"/>
          <w:sz w:val="30"/>
        </w:rPr>
        <w:t>Başlıca Çalışma Alanları</w:t>
      </w:r>
    </w:p>
    <w:p w14:paraId="649383E1" w14:textId="77777777" w:rsidR="0043009D" w:rsidRDefault="00000000">
      <w:pPr>
        <w:spacing w:after="80"/>
        <w:ind w:left="216" w:hanging="216"/>
      </w:pPr>
      <w:r>
        <w:rPr>
          <w:b/>
          <w:color w:val="1F2A44"/>
          <w:sz w:val="22"/>
        </w:rPr>
        <w:t xml:space="preserve">Medeni Hukuk — </w:t>
      </w:r>
      <w:r>
        <w:rPr>
          <w:sz w:val="22"/>
        </w:rPr>
        <w:t>Özel hukukun temel ilke ve kurumları ile kişiler hukukuna ilişkin akademik ve doktriner değerlendirmeler</w:t>
      </w:r>
    </w:p>
    <w:p w14:paraId="0A372C2D" w14:textId="77777777" w:rsidR="0043009D" w:rsidRDefault="00000000">
      <w:pPr>
        <w:spacing w:after="80"/>
        <w:ind w:left="216" w:hanging="216"/>
      </w:pPr>
      <w:r>
        <w:rPr>
          <w:b/>
          <w:color w:val="1F2A44"/>
          <w:sz w:val="22"/>
        </w:rPr>
        <w:t xml:space="preserve">Borçlar ve Sözleşmeler Hukuku — </w:t>
      </w:r>
      <w:r>
        <w:rPr>
          <w:sz w:val="22"/>
        </w:rPr>
        <w:t>Sözleşmesel ilişkilerin kurulması, yorumlanması, ifası ve sona ermesi; sözleşme boşlukları, standart sözleşme hükümleri ve sözleşmesel risk</w:t>
      </w:r>
    </w:p>
    <w:p w14:paraId="01A6813C" w14:textId="77777777" w:rsidR="0043009D" w:rsidRDefault="00000000">
      <w:pPr>
        <w:spacing w:after="80"/>
        <w:ind w:left="216" w:hanging="216"/>
      </w:pPr>
      <w:r>
        <w:rPr>
          <w:b/>
          <w:color w:val="1F2A44"/>
          <w:sz w:val="22"/>
        </w:rPr>
        <w:t xml:space="preserve">Sorumluluk Hukuku — </w:t>
      </w:r>
      <w:r>
        <w:rPr>
          <w:sz w:val="22"/>
        </w:rPr>
        <w:t>Sözleşmesel ve sözleşme dışı sorumluluk, zarar, tazminat ve sorumluluğun sınırlandırılmasına ilişkin hukuki meseleler</w:t>
      </w:r>
    </w:p>
    <w:p w14:paraId="6BB887D4" w14:textId="77777777" w:rsidR="0043009D" w:rsidRDefault="00000000">
      <w:pPr>
        <w:spacing w:after="80"/>
        <w:ind w:left="216" w:hanging="216"/>
      </w:pPr>
      <w:r>
        <w:rPr>
          <w:b/>
          <w:color w:val="1F2A44"/>
          <w:sz w:val="22"/>
        </w:rPr>
        <w:t xml:space="preserve">Eşya ve Miras Hukuku — </w:t>
      </w:r>
      <w:r>
        <w:rPr>
          <w:sz w:val="22"/>
        </w:rPr>
        <w:t>Mülkiyet, zilyetlik, ayni haklar, miras ilişkileri ve bu alanlardan doğan özel hukuk meseleleri</w:t>
      </w:r>
    </w:p>
    <w:p w14:paraId="213FB03A" w14:textId="77777777" w:rsidR="0043009D" w:rsidRDefault="00000000">
      <w:pPr>
        <w:spacing w:after="80"/>
        <w:ind w:left="216" w:hanging="216"/>
      </w:pPr>
      <w:r>
        <w:rPr>
          <w:b/>
          <w:color w:val="1F2A44"/>
          <w:sz w:val="22"/>
        </w:rPr>
        <w:lastRenderedPageBreak/>
        <w:t xml:space="preserve">Teknoloji Hukuku ve Yapay Zekâ — </w:t>
      </w:r>
      <w:r>
        <w:rPr>
          <w:sz w:val="22"/>
        </w:rPr>
        <w:t>Yapay zekâ düzenlemeleri, dijital dönüşümün özel hukuka etkileri ve teknoloji kaynaklı güncel hukuki meseleler</w:t>
      </w:r>
    </w:p>
    <w:p w14:paraId="235868C7" w14:textId="77777777" w:rsidR="0043009D" w:rsidRDefault="00000000">
      <w:pPr>
        <w:spacing w:after="80"/>
        <w:ind w:left="216" w:hanging="216"/>
      </w:pPr>
      <w:r>
        <w:rPr>
          <w:b/>
          <w:color w:val="1F2A44"/>
          <w:sz w:val="22"/>
        </w:rPr>
        <w:t xml:space="preserve">Karşılaştırmalı Özel Hukuk ve Hukuk Sosyolojisi — </w:t>
      </w:r>
      <w:r>
        <w:rPr>
          <w:sz w:val="22"/>
        </w:rPr>
        <w:t>Özel hukuk kurumlarının karşılaştırmalı, toplumsal ve sosyo-ekonomik etkileri bakımından değerlendirilmesi</w:t>
      </w:r>
    </w:p>
    <w:p w14:paraId="11B86D9E" w14:textId="77777777" w:rsidR="0043009D" w:rsidRDefault="00000000">
      <w:r>
        <w:br w:type="page"/>
      </w:r>
    </w:p>
    <w:p w14:paraId="6B51F946" w14:textId="0FBCA75F" w:rsidR="0043009D" w:rsidRDefault="00000000">
      <w:pPr>
        <w:spacing w:after="40"/>
      </w:pPr>
      <w:r>
        <w:rPr>
          <w:b/>
          <w:color w:val="1F2A44"/>
          <w:sz w:val="46"/>
        </w:rPr>
        <w:lastRenderedPageBreak/>
        <w:t>Ertuğrul Doğan Erzengin</w:t>
      </w:r>
      <w:r w:rsidR="00B45FE9">
        <w:rPr>
          <w:b/>
          <w:color w:val="1F2A44"/>
          <w:sz w:val="46"/>
        </w:rPr>
        <w:t>, Ph.D.</w:t>
      </w:r>
    </w:p>
    <w:p w14:paraId="42D4D915" w14:textId="77777777" w:rsidR="0043009D" w:rsidRDefault="00000000">
      <w:pPr>
        <w:pBdr>
          <w:bottom w:val="single" w:sz="8" w:space="1" w:color="1F2A44"/>
        </w:pBdr>
        <w:spacing w:after="160"/>
      </w:pPr>
      <w:r>
        <w:rPr>
          <w:i/>
          <w:color w:val="5A606A"/>
          <w:sz w:val="24"/>
        </w:rPr>
        <w:t>Of Counsel · Academic Advisor</w:t>
      </w:r>
    </w:p>
    <w:p w14:paraId="7A98CE9F" w14:textId="77777777" w:rsidR="0043009D" w:rsidRDefault="00000000">
      <w:pPr>
        <w:spacing w:before="160" w:after="120"/>
      </w:pPr>
      <w:r>
        <w:rPr>
          <w:b/>
          <w:color w:val="1F2A44"/>
          <w:sz w:val="30"/>
        </w:rPr>
        <w:t>Biography</w:t>
      </w:r>
    </w:p>
    <w:p w14:paraId="533B9B5A" w14:textId="77777777" w:rsidR="0043009D" w:rsidRDefault="00000000">
      <w:pPr>
        <w:spacing w:after="140" w:line="259" w:lineRule="auto"/>
      </w:pPr>
      <w:r>
        <w:rPr>
          <w:sz w:val="22"/>
        </w:rPr>
        <w:t>Ertuğrul Doğan Erzengin serves as Of Counsel (Academic Advisor) to Koçak | Sayım | Örnek, providing academic perspective and rigorous doctrinal analysis on complex private law matters. He is currently a Research Assistant in the Department of Civil Law at Marmara University Faculty of Law.</w:t>
      </w:r>
    </w:p>
    <w:p w14:paraId="30C3B39F" w14:textId="77777777" w:rsidR="0043009D" w:rsidRDefault="00000000">
      <w:pPr>
        <w:spacing w:after="140" w:line="259" w:lineRule="auto"/>
      </w:pPr>
      <w:r>
        <w:rPr>
          <w:sz w:val="22"/>
        </w:rPr>
        <w:t>He received his LL.B. from Istanbul University Faculty of Law in 2016 and subsequently gained legal experience in the head-office legal department of a multinational bank. He began his postgraduate studies in Private Law at Istanbul University in 2017 and continued at Marmara University from 2018, completing his master’s degree in 2020 with a thesis on the early return of leased premises before termination of the lease. He commenced his Ph.D. in Private Law at Marmara University in the same year, conducted doctoral research at the Faculty of Law of the University of Münster in 2021–2022, and received his Ph.D. in 2026 with a dissertation on suspended invalidity.</w:t>
      </w:r>
    </w:p>
    <w:p w14:paraId="5ECEB220" w14:textId="77777777" w:rsidR="0043009D" w:rsidRDefault="00000000">
      <w:pPr>
        <w:spacing w:after="140" w:line="259" w:lineRule="auto"/>
      </w:pPr>
      <w:r>
        <w:rPr>
          <w:sz w:val="22"/>
        </w:rPr>
        <w:t>His academic work focuses on Civil Law, the Law of Obligations, contractual relationships, Liability Law, Property Law, Inheritance Law, Technology Law and Artificial Intelligence, and the Sociology of Law. His graduate research has examined the early return of leased premises and the doctrine of suspended invalidity. Comparative law, conflicting standard contract terms, limitations of damages under the CISG and the socio-economic functions of private law also feature prominently in his scholarship.</w:t>
      </w:r>
    </w:p>
    <w:p w14:paraId="3A946DE3" w14:textId="77777777" w:rsidR="0043009D" w:rsidRDefault="00000000">
      <w:pPr>
        <w:spacing w:after="140" w:line="259" w:lineRule="auto"/>
      </w:pPr>
      <w:r>
        <w:rPr>
          <w:sz w:val="22"/>
        </w:rPr>
        <w:t>Erzengin is the author of Early Return of Leased Premises Before Termination of the Contract (TCO Art. 325), published by On İki Levha Publishing, while his book Suspended Invalidity is forthcoming. His broader academic work addresses contract gaps, standard contract terms, liability, the European Union Artificial Intelligence Act, personal data as counter-performance in consumer contracts, sustainability in property law and the socio-economic dimensions of private law.</w:t>
      </w:r>
    </w:p>
    <w:p w14:paraId="6B486565" w14:textId="77777777" w:rsidR="0043009D" w:rsidRDefault="00000000">
      <w:pPr>
        <w:spacing w:after="140" w:line="259" w:lineRule="auto"/>
      </w:pPr>
      <w:r>
        <w:rPr>
          <w:sz w:val="22"/>
        </w:rPr>
        <w:t>Professionally proficient in English and German, Erzengin contributes to Koçak | Sayım | Örnek by supporting the analysis of contractual relationships, liability, technology-related issues and other private law matters through legal doctrine, comparative law and academic scholarship.</w:t>
      </w:r>
    </w:p>
    <w:p w14:paraId="5366BBEA" w14:textId="77777777" w:rsidR="0043009D" w:rsidRDefault="00000000">
      <w:pPr>
        <w:spacing w:before="160" w:after="120"/>
      </w:pPr>
      <w:r>
        <w:rPr>
          <w:b/>
          <w:color w:val="1F2A44"/>
          <w:sz w:val="30"/>
        </w:rPr>
        <w:t>Key Focus</w:t>
      </w:r>
    </w:p>
    <w:p w14:paraId="2743F353" w14:textId="77777777" w:rsidR="0043009D" w:rsidRDefault="00000000">
      <w:pPr>
        <w:spacing w:after="80"/>
        <w:ind w:left="216" w:hanging="216"/>
      </w:pPr>
      <w:r>
        <w:rPr>
          <w:b/>
          <w:color w:val="1F2A44"/>
          <w:sz w:val="22"/>
        </w:rPr>
        <w:t xml:space="preserve">Civil Law — </w:t>
      </w:r>
      <w:r>
        <w:rPr>
          <w:sz w:val="22"/>
        </w:rPr>
        <w:t>Doctrinal analysis of the fundamental principles and institutions of private law and matters relating to the law of persons</w:t>
      </w:r>
    </w:p>
    <w:p w14:paraId="74DA7F88" w14:textId="77777777" w:rsidR="0043009D" w:rsidRDefault="00000000">
      <w:pPr>
        <w:spacing w:after="80"/>
        <w:ind w:left="216" w:hanging="216"/>
      </w:pPr>
      <w:r>
        <w:rPr>
          <w:b/>
          <w:color w:val="1F2A44"/>
          <w:sz w:val="22"/>
        </w:rPr>
        <w:t xml:space="preserve">Law of Obligations &amp; Contract Law — </w:t>
      </w:r>
      <w:r>
        <w:rPr>
          <w:sz w:val="22"/>
        </w:rPr>
        <w:t>Formation, interpretation, performance and termination of contractual relationships, contract gaps, standard terms and contractual risk</w:t>
      </w:r>
    </w:p>
    <w:p w14:paraId="7D5B7013" w14:textId="77777777" w:rsidR="0043009D" w:rsidRDefault="00000000">
      <w:pPr>
        <w:spacing w:after="80"/>
        <w:ind w:left="216" w:hanging="216"/>
      </w:pPr>
      <w:r>
        <w:rPr>
          <w:b/>
          <w:color w:val="1F2A44"/>
          <w:sz w:val="22"/>
        </w:rPr>
        <w:t xml:space="preserve">Liability Law — </w:t>
      </w:r>
      <w:r>
        <w:rPr>
          <w:sz w:val="22"/>
        </w:rPr>
        <w:t>Contractual and non-contractual liability, damages, compensation and legal issues concerning limitations of liability</w:t>
      </w:r>
    </w:p>
    <w:p w14:paraId="37E789DB" w14:textId="77777777" w:rsidR="0043009D" w:rsidRDefault="00000000">
      <w:pPr>
        <w:spacing w:after="80"/>
        <w:ind w:left="216" w:hanging="216"/>
      </w:pPr>
      <w:r>
        <w:rPr>
          <w:b/>
          <w:color w:val="1F2A44"/>
          <w:sz w:val="22"/>
        </w:rPr>
        <w:t xml:space="preserve">Property &amp; Inheritance Law — </w:t>
      </w:r>
      <w:r>
        <w:rPr>
          <w:sz w:val="22"/>
        </w:rPr>
        <w:t>Ownership, possession, rights in rem, inheritance relationships and related private law matters</w:t>
      </w:r>
    </w:p>
    <w:p w14:paraId="48A06143" w14:textId="77777777" w:rsidR="0043009D" w:rsidRDefault="00000000">
      <w:pPr>
        <w:spacing w:after="80"/>
        <w:ind w:left="216" w:hanging="216"/>
      </w:pPr>
      <w:r>
        <w:rPr>
          <w:b/>
          <w:color w:val="1F2A44"/>
          <w:sz w:val="22"/>
        </w:rPr>
        <w:t xml:space="preserve">Technology Law &amp; Artificial Intelligence — </w:t>
      </w:r>
      <w:r>
        <w:rPr>
          <w:sz w:val="22"/>
        </w:rPr>
        <w:t>AI regulation, the private law implications of digital transformation and emerging technology-related legal issues</w:t>
      </w:r>
    </w:p>
    <w:p w14:paraId="4BC024DA" w14:textId="77777777" w:rsidR="0043009D" w:rsidRDefault="00000000">
      <w:pPr>
        <w:spacing w:after="80"/>
        <w:ind w:left="216" w:hanging="216"/>
      </w:pPr>
      <w:r>
        <w:rPr>
          <w:b/>
          <w:color w:val="1F2A44"/>
          <w:sz w:val="22"/>
        </w:rPr>
        <w:lastRenderedPageBreak/>
        <w:t xml:space="preserve">Comparative Private Law &amp; Sociology of Law — </w:t>
      </w:r>
      <w:r>
        <w:rPr>
          <w:sz w:val="22"/>
        </w:rPr>
        <w:t>Comparative, social and socio-economic analysis of private law institutions and their practical effects</w:t>
      </w:r>
    </w:p>
    <w:sectPr w:rsidR="0043009D"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9AE129" w14:textId="77777777" w:rsidR="006036A6" w:rsidRDefault="006036A6">
      <w:pPr>
        <w:spacing w:after="0" w:line="240" w:lineRule="auto"/>
      </w:pPr>
      <w:r>
        <w:separator/>
      </w:r>
    </w:p>
  </w:endnote>
  <w:endnote w:type="continuationSeparator" w:id="0">
    <w:p w14:paraId="6AF91042" w14:textId="77777777" w:rsidR="006036A6" w:rsidRDefault="0060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85A28" w14:textId="77777777" w:rsidR="0043009D" w:rsidRDefault="00000000">
    <w:pPr>
      <w:pStyle w:val="AltBilgi"/>
      <w:jc w:val="center"/>
    </w:pPr>
    <w:r>
      <w:rPr>
        <w:rFonts w:eastAsia="EB Garamond"/>
        <w:b/>
        <w:color w:val="5A606A"/>
        <w:sz w:val="18"/>
      </w:rPr>
      <w:t>KOÇAK | SAYIM | ÖRNEK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8981A1" w14:textId="77777777" w:rsidR="006036A6" w:rsidRDefault="006036A6">
      <w:pPr>
        <w:spacing w:after="0" w:line="240" w:lineRule="auto"/>
      </w:pPr>
      <w:r>
        <w:separator/>
      </w:r>
    </w:p>
  </w:footnote>
  <w:footnote w:type="continuationSeparator" w:id="0">
    <w:p w14:paraId="2B7675A0" w14:textId="77777777" w:rsidR="006036A6" w:rsidRDefault="00603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18203107">
    <w:abstractNumId w:val="8"/>
  </w:num>
  <w:num w:numId="2" w16cid:durableId="712313692">
    <w:abstractNumId w:val="6"/>
  </w:num>
  <w:num w:numId="3" w16cid:durableId="99420007">
    <w:abstractNumId w:val="5"/>
  </w:num>
  <w:num w:numId="4" w16cid:durableId="801581862">
    <w:abstractNumId w:val="4"/>
  </w:num>
  <w:num w:numId="5" w16cid:durableId="1590577720">
    <w:abstractNumId w:val="7"/>
  </w:num>
  <w:num w:numId="6" w16cid:durableId="1204171683">
    <w:abstractNumId w:val="3"/>
  </w:num>
  <w:num w:numId="7" w16cid:durableId="2012179118">
    <w:abstractNumId w:val="2"/>
  </w:num>
  <w:num w:numId="8" w16cid:durableId="2049451149">
    <w:abstractNumId w:val="1"/>
  </w:num>
  <w:num w:numId="9" w16cid:durableId="323508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09D"/>
    <w:rsid w:val="006036A6"/>
    <w:rsid w:val="009D59E3"/>
    <w:rsid w:val="00AA1D8D"/>
    <w:rsid w:val="00B45FE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917C7"/>
  <w14:defaultImageDpi w14:val="300"/>
  <w15:docId w15:val="{61C7E056-46A4-4842-9621-87424920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B Garamond" w:hAnsi="EB Garamond"/>
      <w:sz w:val="2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864</Words>
  <Characters>5787</Characters>
  <Application>Microsoft Office Word</Application>
  <DocSecurity>0</DocSecurity>
  <Lines>80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Ertuğrul Doğan Erzengin - TR &amp; EN</dc:title>
  <dc:subject>Koçak | Sayım | Örnek - Of Counsel Profile</dc:subject>
  <dc:creator>python-docx</dc:creator>
  <cp:keywords/>
  <dc:description>generated by python-docx</dc:description>
  <cp:lastModifiedBy>Berhudan Hüseyin Sayım</cp:lastModifiedBy>
  <cp:revision>2</cp:revision>
  <dcterms:created xsi:type="dcterms:W3CDTF">2013-12-23T23:15:00Z</dcterms:created>
  <dcterms:modified xsi:type="dcterms:W3CDTF">2026-09-30T20:09:00Z</dcterms:modified>
  <cp:category/>
</cp:coreProperties>
</file>