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95E34" w14:textId="66868F7C" w:rsidR="008B593B" w:rsidRDefault="006546DA" w:rsidP="00F15DE3">
      <w:pPr>
        <w:pStyle w:val="Heading1"/>
        <w:rPr>
          <w:lang w:val="tr-TR"/>
        </w:rPr>
      </w:pPr>
      <w:r>
        <w:rPr>
          <w:lang w:val="tr-TR"/>
        </w:rPr>
        <w:t xml:space="preserve">Enerji İstatistik Notu: </w:t>
      </w:r>
      <w:r w:rsidR="00A17467">
        <w:rPr>
          <w:lang w:val="tr-TR"/>
        </w:rPr>
        <w:t>Otomotiv</w:t>
      </w:r>
      <w:r w:rsidR="0009280C">
        <w:rPr>
          <w:lang w:val="tr-TR"/>
        </w:rPr>
        <w:t>,</w:t>
      </w:r>
      <w:r w:rsidR="00A17467">
        <w:rPr>
          <w:lang w:val="tr-TR"/>
        </w:rPr>
        <w:t xml:space="preserve"> Enerji için Çok mu Önemli?</w:t>
      </w:r>
    </w:p>
    <w:p w14:paraId="64974BEF" w14:textId="77777777" w:rsidR="006546DA" w:rsidRDefault="006546DA" w:rsidP="006546DA">
      <w:pPr>
        <w:rPr>
          <w:lang w:val="tr-TR"/>
        </w:rPr>
      </w:pPr>
    </w:p>
    <w:p w14:paraId="57BD2A7B" w14:textId="01006387" w:rsidR="006546DA" w:rsidRPr="006546DA" w:rsidRDefault="006546DA" w:rsidP="006546DA">
      <w:pPr>
        <w:rPr>
          <w:lang w:val="tr-TR"/>
        </w:rPr>
      </w:pPr>
      <w:r>
        <w:rPr>
          <w:lang w:val="tr-TR"/>
        </w:rPr>
        <w:t xml:space="preserve">Özet cümle: </w:t>
      </w:r>
      <w:r w:rsidRPr="006546DA">
        <w:rPr>
          <w:i/>
          <w:iCs/>
          <w:lang w:val="tr-TR"/>
        </w:rPr>
        <w:t>“Tüm enerji talebinin 12’de 1’i arabalarda tüketilmektedir. Benzer şekilde tüm enerji talebinin 20’de 1’i de kara</w:t>
      </w:r>
      <w:r w:rsidR="00B91F7E">
        <w:rPr>
          <w:i/>
          <w:iCs/>
          <w:lang w:val="tr-TR"/>
        </w:rPr>
        <w:t>yolu</w:t>
      </w:r>
      <w:r w:rsidRPr="006546DA">
        <w:rPr>
          <w:i/>
          <w:iCs/>
          <w:lang w:val="tr-TR"/>
        </w:rPr>
        <w:t xml:space="preserve"> taşımacılığındadır.”</w:t>
      </w:r>
    </w:p>
    <w:p w14:paraId="19AEFD12" w14:textId="77777777" w:rsidR="00F15DE3" w:rsidRDefault="00F15DE3">
      <w:pPr>
        <w:rPr>
          <w:lang w:val="tr-TR"/>
        </w:rPr>
      </w:pPr>
    </w:p>
    <w:p w14:paraId="365C3665" w14:textId="3917475F" w:rsidR="00F15DE3" w:rsidRDefault="00F15DE3">
      <w:pPr>
        <w:rPr>
          <w:lang w:val="tr-TR"/>
        </w:rPr>
      </w:pPr>
      <w:r>
        <w:rPr>
          <w:lang w:val="tr-TR"/>
        </w:rPr>
        <w:t xml:space="preserve">Barış Sanlı, </w:t>
      </w:r>
      <w:hyperlink r:id="rId8" w:history="1">
        <w:r w:rsidRPr="000647F2">
          <w:rPr>
            <w:rStyle w:val="Hyperlink"/>
            <w:lang w:val="tr-TR"/>
          </w:rPr>
          <w:t>barissanli2@gmail.com</w:t>
        </w:r>
      </w:hyperlink>
    </w:p>
    <w:p w14:paraId="25E46B29" w14:textId="77777777" w:rsidR="00A17467" w:rsidRDefault="00A17467">
      <w:pPr>
        <w:rPr>
          <w:lang w:val="tr-TR"/>
        </w:rPr>
      </w:pPr>
    </w:p>
    <w:p w14:paraId="784A2253" w14:textId="0CDA5FA2" w:rsidR="00617919" w:rsidRDefault="00F15DE3">
      <w:pPr>
        <w:rPr>
          <w:lang w:val="tr-TR"/>
        </w:rPr>
      </w:pPr>
      <w:r>
        <w:rPr>
          <w:lang w:val="tr-TR"/>
        </w:rPr>
        <w:t>Enerji dönüşümün</w:t>
      </w:r>
      <w:r w:rsidR="006546DA">
        <w:rPr>
          <w:lang w:val="tr-TR"/>
        </w:rPr>
        <w:t>ün</w:t>
      </w:r>
      <w:r w:rsidR="00617919">
        <w:rPr>
          <w:lang w:val="tr-TR"/>
        </w:rPr>
        <w:t xml:space="preserve"> </w:t>
      </w:r>
      <w:r w:rsidR="006546DA">
        <w:rPr>
          <w:lang w:val="tr-TR"/>
        </w:rPr>
        <w:t xml:space="preserve">bir </w:t>
      </w:r>
      <w:r w:rsidR="00617919">
        <w:rPr>
          <w:lang w:val="tr-TR"/>
        </w:rPr>
        <w:t>rakamsal kısmı var. Bu not</w:t>
      </w:r>
      <w:r w:rsidR="006546DA">
        <w:rPr>
          <w:lang w:val="tr-TR"/>
        </w:rPr>
        <w:t>t</w:t>
      </w:r>
      <w:r w:rsidR="00617919">
        <w:rPr>
          <w:lang w:val="tr-TR"/>
        </w:rPr>
        <w:t xml:space="preserve">a otomotiv sektörünün toplam enerji talebindeki payına değineceğiz. </w:t>
      </w:r>
    </w:p>
    <w:p w14:paraId="06107656" w14:textId="77777777" w:rsidR="00617919" w:rsidRDefault="00617919">
      <w:pPr>
        <w:rPr>
          <w:lang w:val="tr-TR"/>
        </w:rPr>
      </w:pPr>
    </w:p>
    <w:p w14:paraId="7999184C" w14:textId="27F371E4" w:rsidR="00A17467" w:rsidRDefault="00A17467">
      <w:pPr>
        <w:rPr>
          <w:lang w:val="tr-TR"/>
        </w:rPr>
      </w:pPr>
      <w:r>
        <w:rPr>
          <w:lang w:val="tr-TR"/>
        </w:rPr>
        <w:t xml:space="preserve">Veri kaynağı olarak </w:t>
      </w:r>
      <w:proofErr w:type="gramStart"/>
      <w:r>
        <w:rPr>
          <w:lang w:val="tr-TR"/>
        </w:rPr>
        <w:t>IEA(</w:t>
      </w:r>
      <w:proofErr w:type="gramEnd"/>
      <w:r>
        <w:rPr>
          <w:lang w:val="tr-TR"/>
        </w:rPr>
        <w:t>Uluslararası Enerji Ajansı) esas olmasına rağmen, açık kaynak olduğu için OPEC Dünya Petrol Görünümü</w:t>
      </w:r>
      <w:r w:rsidR="00617919">
        <w:rPr>
          <w:lang w:val="tr-TR"/>
        </w:rPr>
        <w:t xml:space="preserve"> de bir diğer ek kaynak olarak kullanılmıştır. Verilere bakarken, sadece 2023 sütunlarını baz aldığımı, gelecek kısmını bir bakış açısı olarak gördüğümü belirteyim.</w:t>
      </w:r>
    </w:p>
    <w:p w14:paraId="18071DB2" w14:textId="77777777" w:rsidR="00A17467" w:rsidRDefault="00A17467">
      <w:pPr>
        <w:rPr>
          <w:lang w:val="tr-TR"/>
        </w:rPr>
      </w:pPr>
    </w:p>
    <w:p w14:paraId="11821D0C" w14:textId="2D3FDC25" w:rsidR="00A17467" w:rsidRPr="006546DA" w:rsidRDefault="00A17467">
      <w:pPr>
        <w:rPr>
          <w:b/>
          <w:bCs/>
          <w:lang w:val="tr-TR"/>
        </w:rPr>
      </w:pPr>
      <w:r w:rsidRPr="006546DA">
        <w:rPr>
          <w:b/>
          <w:bCs/>
          <w:lang w:val="tr-TR"/>
        </w:rPr>
        <w:t>En Üstte Enerji Talebi</w:t>
      </w:r>
    </w:p>
    <w:p w14:paraId="7851D6FF" w14:textId="77777777" w:rsidR="00A17467" w:rsidRDefault="00A17467">
      <w:pPr>
        <w:rPr>
          <w:lang w:val="tr-TR"/>
        </w:rPr>
      </w:pPr>
    </w:p>
    <w:p w14:paraId="203C399F" w14:textId="6587FED4" w:rsidR="00A17467" w:rsidRDefault="00A17467">
      <w:pPr>
        <w:rPr>
          <w:lang w:val="tr-TR"/>
        </w:rPr>
      </w:pPr>
      <w:r>
        <w:rPr>
          <w:lang w:val="tr-TR"/>
        </w:rPr>
        <w:t>OPEC’e göre</w:t>
      </w:r>
      <w:r w:rsidR="00617919">
        <w:rPr>
          <w:lang w:val="tr-TR"/>
        </w:rPr>
        <w:t xml:space="preserve">, </w:t>
      </w:r>
      <w:r>
        <w:rPr>
          <w:lang w:val="tr-TR"/>
        </w:rPr>
        <w:t xml:space="preserve">2023 yılında </w:t>
      </w:r>
      <w:r w:rsidR="007D1DFA">
        <w:rPr>
          <w:lang w:val="tr-TR"/>
        </w:rPr>
        <w:t xml:space="preserve">Dünya </w:t>
      </w:r>
      <w:r>
        <w:rPr>
          <w:lang w:val="tr-TR"/>
        </w:rPr>
        <w:t>301 milyon varil/gün(mv/g) enerji tüketti</w:t>
      </w:r>
      <w:r w:rsidR="007D1DFA">
        <w:rPr>
          <w:rStyle w:val="FootnoteReference"/>
          <w:lang w:val="tr-TR"/>
        </w:rPr>
        <w:footnoteReference w:id="1"/>
      </w:r>
      <w:r>
        <w:rPr>
          <w:lang w:val="tr-TR"/>
        </w:rPr>
        <w:t>.</w:t>
      </w:r>
      <w:r w:rsidR="007D1DFA">
        <w:rPr>
          <w:lang w:val="tr-TR"/>
        </w:rPr>
        <w:t xml:space="preserve"> 102 mv/g’de petrol talebi oldu.</w:t>
      </w:r>
      <w:r>
        <w:rPr>
          <w:lang w:val="tr-TR"/>
        </w:rPr>
        <w:t xml:space="preserve"> OPEC olduğu için onların tüm birimleri</w:t>
      </w:r>
      <w:r w:rsidR="007D1DFA">
        <w:rPr>
          <w:lang w:val="tr-TR"/>
        </w:rPr>
        <w:t xml:space="preserve"> milyon varil/gün eşdeğer cinsinden verilmiştir. </w:t>
      </w:r>
      <w:r>
        <w:rPr>
          <w:lang w:val="tr-TR"/>
        </w:rPr>
        <w:t xml:space="preserve"> Daha bağımsız kaynaklar genel enerji talebini </w:t>
      </w:r>
      <w:proofErr w:type="spellStart"/>
      <w:proofErr w:type="gramStart"/>
      <w:r>
        <w:rPr>
          <w:lang w:val="tr-TR"/>
        </w:rPr>
        <w:t>ExaJoule</w:t>
      </w:r>
      <w:proofErr w:type="spellEnd"/>
      <w:r w:rsidR="006546DA">
        <w:rPr>
          <w:lang w:val="tr-TR"/>
        </w:rPr>
        <w:t>(</w:t>
      </w:r>
      <w:proofErr w:type="gramEnd"/>
      <w:r w:rsidR="006546DA">
        <w:rPr>
          <w:lang w:val="tr-TR"/>
        </w:rPr>
        <w:t xml:space="preserve">EJ) </w:t>
      </w:r>
      <w:r>
        <w:rPr>
          <w:lang w:val="tr-TR"/>
        </w:rPr>
        <w:t xml:space="preserve">olarak vermektedir. </w:t>
      </w:r>
      <w:r w:rsidR="007D1DFA">
        <w:rPr>
          <w:lang w:val="tr-TR"/>
        </w:rPr>
        <w:t xml:space="preserve"> </w:t>
      </w:r>
    </w:p>
    <w:p w14:paraId="0DEC561B" w14:textId="77777777" w:rsidR="00A17467" w:rsidRDefault="00A17467">
      <w:pPr>
        <w:rPr>
          <w:lang w:val="tr-TR"/>
        </w:rPr>
      </w:pPr>
    </w:p>
    <w:p w14:paraId="7FAEB589" w14:textId="47418798" w:rsidR="00A17467" w:rsidRDefault="00A17467">
      <w:pPr>
        <w:rPr>
          <w:lang w:val="tr-TR"/>
        </w:rPr>
      </w:pPr>
      <w:r>
        <w:rPr>
          <w:lang w:val="tr-TR"/>
        </w:rPr>
        <w:t>IEA, küresel enerji görünümü 2024</w:t>
      </w:r>
      <w:r w:rsidR="007D1DFA">
        <w:rPr>
          <w:lang w:val="tr-TR"/>
        </w:rPr>
        <w:t>’ün ücretsiz veri setinde</w:t>
      </w:r>
      <w:r w:rsidR="007D1DFA">
        <w:rPr>
          <w:rStyle w:val="FootnoteReference"/>
          <w:lang w:val="tr-TR"/>
        </w:rPr>
        <w:footnoteReference w:id="2"/>
      </w:r>
      <w:r w:rsidR="007D1DFA">
        <w:rPr>
          <w:lang w:val="tr-TR"/>
        </w:rPr>
        <w:t>, toplam enerji arzını 642 EJ, petrolü de 192 EJ olarak tanımlamıştır. Fakat buraya dahil olmayan başka veriler vardır. Mesela yenilenebilir de olan biyoyakıtlar veya kömürden üretilen sıvı yakıtlar.</w:t>
      </w:r>
    </w:p>
    <w:p w14:paraId="2C95C7A9" w14:textId="77777777" w:rsidR="00617919" w:rsidRDefault="00617919">
      <w:pPr>
        <w:rPr>
          <w:lang w:val="tr-TR"/>
        </w:rPr>
      </w:pPr>
    </w:p>
    <w:p w14:paraId="2C1BC18A" w14:textId="1755960A" w:rsidR="00617919" w:rsidRDefault="00617919">
      <w:pPr>
        <w:rPr>
          <w:lang w:val="tr-TR"/>
        </w:rPr>
      </w:pPr>
      <w:r>
        <w:rPr>
          <w:lang w:val="tr-TR"/>
        </w:rPr>
        <w:t>Kafa karıştırıcı olan kısımlar ise şunlar, bir petrol talebi var, bir sıvılar (</w:t>
      </w:r>
      <w:proofErr w:type="spellStart"/>
      <w:r>
        <w:rPr>
          <w:lang w:val="tr-TR"/>
        </w:rPr>
        <w:t>liquids</w:t>
      </w:r>
      <w:proofErr w:type="spellEnd"/>
      <w:r>
        <w:rPr>
          <w:lang w:val="tr-TR"/>
        </w:rPr>
        <w:t xml:space="preserve">) talebi, bir de talep tarafından ulaştırma </w:t>
      </w:r>
      <w:proofErr w:type="gramStart"/>
      <w:r>
        <w:rPr>
          <w:lang w:val="tr-TR"/>
        </w:rPr>
        <w:t>talebi</w:t>
      </w:r>
      <w:r w:rsidR="00F15DE3">
        <w:rPr>
          <w:lang w:val="tr-TR"/>
        </w:rPr>
        <w:t>(</w:t>
      </w:r>
      <w:proofErr w:type="gramEnd"/>
      <w:r w:rsidR="00F15DE3">
        <w:rPr>
          <w:lang w:val="tr-TR"/>
        </w:rPr>
        <w:t xml:space="preserve">elektrikli trenler, </w:t>
      </w:r>
      <w:proofErr w:type="spellStart"/>
      <w:r w:rsidR="00F15DE3">
        <w:rPr>
          <w:lang w:val="tr-TR"/>
        </w:rPr>
        <w:t>CNG’li</w:t>
      </w:r>
      <w:proofErr w:type="spellEnd"/>
      <w:r w:rsidR="00F15DE3">
        <w:rPr>
          <w:lang w:val="tr-TR"/>
        </w:rPr>
        <w:t xml:space="preserve"> otobüsler, alternatif yakıtlı araçlar) </w:t>
      </w:r>
      <w:r>
        <w:rPr>
          <w:lang w:val="tr-TR"/>
        </w:rPr>
        <w:t xml:space="preserve"> var. Bu 3 rakam tüm denklemi karıştırabildiğinden sadece yaklaşık değerlerle olaya bakalım.</w:t>
      </w:r>
    </w:p>
    <w:p w14:paraId="1205E0BC" w14:textId="77777777" w:rsidR="007D1DFA" w:rsidRDefault="007D1DFA">
      <w:pPr>
        <w:rPr>
          <w:lang w:val="tr-TR"/>
        </w:rPr>
      </w:pPr>
    </w:p>
    <w:p w14:paraId="255CE304" w14:textId="7DC871E8" w:rsidR="007D1DFA" w:rsidRDefault="007D1DFA">
      <w:pPr>
        <w:rPr>
          <w:lang w:val="tr-TR"/>
        </w:rPr>
      </w:pPr>
      <w:r>
        <w:rPr>
          <w:lang w:val="tr-TR"/>
        </w:rPr>
        <w:t xml:space="preserve">Kısaca Dünya enerji tüketimi 3 dersek bunun 1 birimi petrol diyebiliriz. Bunun tamamı da otomotiv veya yolcu araçlarında kullanılmıyor. </w:t>
      </w:r>
      <w:r w:rsidR="00617919">
        <w:rPr>
          <w:lang w:val="tr-TR"/>
        </w:rPr>
        <w:t xml:space="preserve">Petrokimya, elektrik üretimi, başka kullanım alanları da var. </w:t>
      </w:r>
    </w:p>
    <w:p w14:paraId="020B7FA5" w14:textId="77777777" w:rsidR="007D1DFA" w:rsidRDefault="007D1DFA">
      <w:pPr>
        <w:rPr>
          <w:lang w:val="tr-TR"/>
        </w:rPr>
      </w:pPr>
    </w:p>
    <w:p w14:paraId="4D00B956" w14:textId="167AD683" w:rsidR="007D1DFA" w:rsidRDefault="007D1DFA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01842D12" wp14:editId="012F6FD6">
            <wp:extent cx="5731510" cy="3487420"/>
            <wp:effectExtent l="0" t="0" r="0" b="5080"/>
            <wp:docPr id="29125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9670" name="Picture 291259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B178" w14:textId="77777777" w:rsidR="007D1DFA" w:rsidRDefault="007D1DFA">
      <w:pPr>
        <w:rPr>
          <w:lang w:val="tr-TR"/>
        </w:rPr>
      </w:pPr>
    </w:p>
    <w:p w14:paraId="26B0B72E" w14:textId="4B601F56" w:rsidR="007D1DFA" w:rsidRDefault="007D1DFA">
      <w:pPr>
        <w:rPr>
          <w:lang w:val="tr-TR"/>
        </w:rPr>
      </w:pPr>
      <w:proofErr w:type="spellStart"/>
      <w:r>
        <w:rPr>
          <w:lang w:val="tr-TR"/>
        </w:rPr>
        <w:t>IEA’e</w:t>
      </w:r>
      <w:proofErr w:type="spellEnd"/>
      <w:r>
        <w:rPr>
          <w:lang w:val="tr-TR"/>
        </w:rPr>
        <w:t xml:space="preserve"> göre 99,1 mv/g petrol talebinin 25’i yani kısaca 4’te 1’i benzin olarak kullanılıyor.</w:t>
      </w:r>
    </w:p>
    <w:p w14:paraId="17DC634B" w14:textId="0E7C7C0E" w:rsidR="00676358" w:rsidRDefault="007D1DFA">
      <w:pPr>
        <w:rPr>
          <w:lang w:val="tr-TR"/>
        </w:rPr>
      </w:pPr>
      <w:proofErr w:type="spellStart"/>
      <w:r>
        <w:rPr>
          <w:lang w:val="tr-TR"/>
        </w:rPr>
        <w:t>IEA’e</w:t>
      </w:r>
      <w:proofErr w:type="spellEnd"/>
      <w:r>
        <w:rPr>
          <w:lang w:val="tr-TR"/>
        </w:rPr>
        <w:t xml:space="preserve"> göre toplam ulaştırma için kullanılan enerji ise 122 EJ. Asya </w:t>
      </w:r>
      <w:proofErr w:type="gramStart"/>
      <w:r>
        <w:rPr>
          <w:lang w:val="tr-TR"/>
        </w:rPr>
        <w:t>Pasifik  bu</w:t>
      </w:r>
      <w:proofErr w:type="gramEnd"/>
      <w:r>
        <w:rPr>
          <w:lang w:val="tr-TR"/>
        </w:rPr>
        <w:t xml:space="preserve"> tüketimdeki en yüksek kaleme sahip.</w:t>
      </w:r>
      <w:r w:rsidR="00676358">
        <w:rPr>
          <w:lang w:val="tr-TR"/>
        </w:rPr>
        <w:t xml:space="preserve"> IEA’in petrol piyasası raporlarında iki ay önceki petrol piyasası raporlarına ücretsiz erişim sağlayabiliyorsunuz. </w:t>
      </w:r>
    </w:p>
    <w:p w14:paraId="6E501B42" w14:textId="77777777" w:rsidR="00676358" w:rsidRDefault="00676358">
      <w:pPr>
        <w:rPr>
          <w:lang w:val="tr-TR"/>
        </w:rPr>
      </w:pPr>
    </w:p>
    <w:p w14:paraId="22A204AF" w14:textId="1B8A50F9" w:rsidR="00676358" w:rsidRDefault="00676358">
      <w:pPr>
        <w:rPr>
          <w:lang w:val="tr-TR"/>
        </w:rPr>
      </w:pPr>
      <w:r>
        <w:rPr>
          <w:lang w:val="tr-TR"/>
        </w:rPr>
        <w:t xml:space="preserve">Bu notun yazıldığı </w:t>
      </w:r>
      <w:proofErr w:type="gramStart"/>
      <w:r>
        <w:rPr>
          <w:lang w:val="tr-TR"/>
        </w:rPr>
        <w:t>tarihte  IEA</w:t>
      </w:r>
      <w:proofErr w:type="gramEnd"/>
      <w:r>
        <w:rPr>
          <w:lang w:val="tr-TR"/>
        </w:rPr>
        <w:t xml:space="preserve"> - Temmuz Petrol Piyasası Raporu ücretsiz paylaşıma açılmıştı</w:t>
      </w:r>
      <w:r>
        <w:rPr>
          <w:rStyle w:val="FootnoteReference"/>
          <w:lang w:val="tr-TR"/>
        </w:rPr>
        <w:footnoteReference w:id="3"/>
      </w:r>
      <w:r>
        <w:rPr>
          <w:lang w:val="tr-TR"/>
        </w:rPr>
        <w:t>. Dünya benzin tüketimi bu rapora göre 26.9-27 mv/g civarındadır. Kısaca tüm petrol talebinin 4</w:t>
      </w:r>
      <w:r w:rsidR="0093095C">
        <w:rPr>
          <w:lang w:val="tr-TR"/>
        </w:rPr>
        <w:t xml:space="preserve">’te 1’inden </w:t>
      </w:r>
      <w:r w:rsidR="00F15DE3">
        <w:rPr>
          <w:lang w:val="tr-TR"/>
        </w:rPr>
        <w:t>fazlası</w:t>
      </w:r>
      <w:r>
        <w:rPr>
          <w:lang w:val="tr-TR"/>
        </w:rPr>
        <w:t xml:space="preserve"> otomobillerde kullanılmaktadır. </w:t>
      </w:r>
    </w:p>
    <w:p w14:paraId="481C1471" w14:textId="77777777" w:rsidR="007D1DFA" w:rsidRDefault="007D1DFA">
      <w:pPr>
        <w:rPr>
          <w:lang w:val="tr-TR"/>
        </w:rPr>
      </w:pPr>
    </w:p>
    <w:p w14:paraId="2586183E" w14:textId="008CC30E" w:rsidR="007D1DFA" w:rsidRDefault="00676358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3239301" wp14:editId="579BC8F0">
            <wp:extent cx="5731510" cy="1964690"/>
            <wp:effectExtent l="0" t="0" r="0" b="3810"/>
            <wp:docPr id="169662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2522" name="Picture 1696625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E81D" w14:textId="77777777" w:rsidR="00676358" w:rsidRDefault="00676358">
      <w:pPr>
        <w:rPr>
          <w:lang w:val="tr-TR"/>
        </w:rPr>
      </w:pPr>
    </w:p>
    <w:p w14:paraId="7DD2D48E" w14:textId="36CBBBB2" w:rsidR="00676358" w:rsidRDefault="00676358">
      <w:pPr>
        <w:rPr>
          <w:lang w:val="tr-TR"/>
        </w:rPr>
      </w:pPr>
      <w:r>
        <w:rPr>
          <w:lang w:val="tr-TR"/>
        </w:rPr>
        <w:t>2024 Küresel Enerji Görünümünde</w:t>
      </w:r>
      <w:r>
        <w:rPr>
          <w:rStyle w:val="FootnoteReference"/>
          <w:lang w:val="tr-TR"/>
        </w:rPr>
        <w:footnoteReference w:id="4"/>
      </w:r>
      <w:r>
        <w:rPr>
          <w:lang w:val="tr-TR"/>
        </w:rPr>
        <w:t xml:space="preserve"> ise kara taşıtları </w:t>
      </w:r>
      <w:r w:rsidR="00F15DE3">
        <w:rPr>
          <w:lang w:val="tr-TR"/>
        </w:rPr>
        <w:t xml:space="preserve">talebi </w:t>
      </w:r>
      <w:r>
        <w:rPr>
          <w:lang w:val="tr-TR"/>
        </w:rPr>
        <w:t xml:space="preserve">olarak 42.7 mv/g belirtilmiştir. Kısaca 2/5’i, </w:t>
      </w:r>
      <w:proofErr w:type="gramStart"/>
      <w:r>
        <w:rPr>
          <w:lang w:val="tr-TR"/>
        </w:rPr>
        <w:t>%40</w:t>
      </w:r>
      <w:proofErr w:type="gramEnd"/>
      <w:r>
        <w:rPr>
          <w:lang w:val="tr-TR"/>
        </w:rPr>
        <w:t xml:space="preserve">’ı diyebiliriz. </w:t>
      </w:r>
      <w:r w:rsidR="00F15DE3">
        <w:rPr>
          <w:lang w:val="tr-TR"/>
        </w:rPr>
        <w:t xml:space="preserve">Gemi ve uçaklar da 10 mv/g bir talebe sahip. Yani tüm petrol </w:t>
      </w:r>
      <w:proofErr w:type="gramStart"/>
      <w:r w:rsidR="00F15DE3">
        <w:rPr>
          <w:lang w:val="tr-TR"/>
        </w:rPr>
        <w:t>talebinin  10’da</w:t>
      </w:r>
      <w:proofErr w:type="gramEnd"/>
      <w:r w:rsidR="00F15DE3">
        <w:rPr>
          <w:lang w:val="tr-TR"/>
        </w:rPr>
        <w:t xml:space="preserve"> 1’i </w:t>
      </w:r>
      <w:r w:rsidR="006546DA">
        <w:rPr>
          <w:lang w:val="tr-TR"/>
        </w:rPr>
        <w:t>gemi ve uçaklarda kullanılmaktadır. Petrol de tüm enerji talebinin 3’te 1’iydi.</w:t>
      </w:r>
    </w:p>
    <w:p w14:paraId="22D3C455" w14:textId="77777777" w:rsidR="00676358" w:rsidRDefault="00676358">
      <w:pPr>
        <w:rPr>
          <w:lang w:val="tr-TR"/>
        </w:rPr>
      </w:pPr>
    </w:p>
    <w:p w14:paraId="08D28D0D" w14:textId="1079DA8E" w:rsidR="00676358" w:rsidRDefault="00676358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AF6EE8C" wp14:editId="23064DA5">
            <wp:extent cx="5045471" cy="4066674"/>
            <wp:effectExtent l="0" t="0" r="0" b="0"/>
            <wp:docPr id="152761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811" name="Picture 1527618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20" cy="41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D409" w14:textId="77777777" w:rsidR="00F15DE3" w:rsidRDefault="00F15DE3">
      <w:pPr>
        <w:rPr>
          <w:lang w:val="tr-TR"/>
        </w:rPr>
      </w:pPr>
    </w:p>
    <w:p w14:paraId="104CCDB3" w14:textId="5E9B739D" w:rsidR="00676358" w:rsidRDefault="006546DA">
      <w:pPr>
        <w:rPr>
          <w:lang w:val="tr-TR"/>
        </w:rPr>
      </w:pPr>
      <w:r>
        <w:rPr>
          <w:lang w:val="tr-TR"/>
        </w:rPr>
        <w:t>Yaklaşık</w:t>
      </w:r>
      <w:r w:rsidR="00676358">
        <w:rPr>
          <w:lang w:val="tr-TR"/>
        </w:rPr>
        <w:t xml:space="preserve"> sayılar olarak baktığımızda</w:t>
      </w:r>
      <w:r>
        <w:rPr>
          <w:lang w:val="tr-TR"/>
        </w:rPr>
        <w:t>:</w:t>
      </w:r>
    </w:p>
    <w:p w14:paraId="39096C07" w14:textId="47BD27AF" w:rsidR="00676358" w:rsidRDefault="00676358" w:rsidP="0067635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Tüm enerji talebinin 3’te 1’i petroldür. (Gerçekte biraz daha az)</w:t>
      </w:r>
    </w:p>
    <w:p w14:paraId="2348A22D" w14:textId="3CFE2CAE" w:rsidR="00617919" w:rsidRDefault="00617919" w:rsidP="0067635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Tüm petrol talebinin </w:t>
      </w:r>
      <w:proofErr w:type="gramStart"/>
      <w:r>
        <w:rPr>
          <w:lang w:val="tr-TR"/>
        </w:rPr>
        <w:t>%54</w:t>
      </w:r>
      <w:proofErr w:type="gramEnd"/>
      <w:r>
        <w:rPr>
          <w:lang w:val="tr-TR"/>
        </w:rPr>
        <w:t xml:space="preserve">’ü ulaştırma talebidir.  </w:t>
      </w:r>
    </w:p>
    <w:p w14:paraId="56FF1F39" w14:textId="53479D03" w:rsidR="00676358" w:rsidRDefault="00676358" w:rsidP="0067635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Tüm petrol talebinin </w:t>
      </w:r>
      <w:proofErr w:type="gramStart"/>
      <w:r>
        <w:rPr>
          <w:lang w:val="tr-TR"/>
        </w:rPr>
        <w:t>%40</w:t>
      </w:r>
      <w:proofErr w:type="gramEnd"/>
      <w:r>
        <w:rPr>
          <w:lang w:val="tr-TR"/>
        </w:rPr>
        <w:t xml:space="preserve">’ı, 2/5’i karasal </w:t>
      </w:r>
      <w:r w:rsidR="00F15DE3">
        <w:rPr>
          <w:lang w:val="tr-TR"/>
        </w:rPr>
        <w:t>ulaştırmadır</w:t>
      </w:r>
      <w:r w:rsidR="00617919">
        <w:rPr>
          <w:lang w:val="tr-TR"/>
        </w:rPr>
        <w:t>.</w:t>
      </w:r>
    </w:p>
    <w:p w14:paraId="52BAD202" w14:textId="066224F3" w:rsidR="00617919" w:rsidRDefault="00617919" w:rsidP="0067635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Tüm petrol talebinin %25’i, ¼’ü yolcu araçları (</w:t>
      </w:r>
      <w:proofErr w:type="gramStart"/>
      <w:r>
        <w:rPr>
          <w:lang w:val="tr-TR"/>
        </w:rPr>
        <w:t>benzin -</w:t>
      </w:r>
      <w:proofErr w:type="gramEnd"/>
      <w:r>
        <w:rPr>
          <w:lang w:val="tr-TR"/>
        </w:rPr>
        <w:t xml:space="preserve"> otomobillerdir)</w:t>
      </w:r>
    </w:p>
    <w:p w14:paraId="462C8158" w14:textId="7D5F6177" w:rsidR="00617919" w:rsidRDefault="00617919" w:rsidP="0067635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Tüm petrol talebinin </w:t>
      </w:r>
      <w:proofErr w:type="gramStart"/>
      <w:r>
        <w:rPr>
          <w:lang w:val="tr-TR"/>
        </w:rPr>
        <w:t>%15</w:t>
      </w:r>
      <w:proofErr w:type="gramEnd"/>
      <w:r>
        <w:rPr>
          <w:lang w:val="tr-TR"/>
        </w:rPr>
        <w:t>’i, 1/7’si karasal yük ve yolcu taşımacılığıdır</w:t>
      </w:r>
      <w:r w:rsidR="00F15DE3">
        <w:rPr>
          <w:rStyle w:val="FootnoteReference"/>
          <w:lang w:val="tr-TR"/>
        </w:rPr>
        <w:footnoteReference w:id="5"/>
      </w:r>
      <w:r>
        <w:rPr>
          <w:lang w:val="tr-TR"/>
        </w:rPr>
        <w:t xml:space="preserve"> (dizel talebi)</w:t>
      </w:r>
    </w:p>
    <w:p w14:paraId="18B27925" w14:textId="77777777" w:rsidR="00617919" w:rsidRDefault="00617919" w:rsidP="00617919">
      <w:pPr>
        <w:rPr>
          <w:lang w:val="tr-TR"/>
        </w:rPr>
      </w:pPr>
    </w:p>
    <w:p w14:paraId="65408772" w14:textId="1211F273" w:rsidR="00617919" w:rsidRPr="00617919" w:rsidRDefault="00617919" w:rsidP="00617919">
      <w:pPr>
        <w:rPr>
          <w:lang w:val="tr-TR"/>
        </w:rPr>
      </w:pPr>
      <w:r>
        <w:rPr>
          <w:lang w:val="tr-TR"/>
        </w:rPr>
        <w:t>Dolayısıyla, tüm enerji talebinin 12’de 1’i arabalarda tüketilmektedir. Benzer şekilde tüm enerji talebinin 20’de 1’i de kara</w:t>
      </w:r>
      <w:r w:rsidR="00B91F7E">
        <w:rPr>
          <w:lang w:val="tr-TR"/>
        </w:rPr>
        <w:t xml:space="preserve">yolu </w:t>
      </w:r>
      <w:r>
        <w:rPr>
          <w:lang w:val="tr-TR"/>
        </w:rPr>
        <w:t xml:space="preserve">taşımacılığındadır. </w:t>
      </w:r>
    </w:p>
    <w:sectPr w:rsidR="00617919" w:rsidRPr="00617919">
      <w:headerReference w:type="even" r:id="rId12"/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2EEAE" w14:textId="77777777" w:rsidR="0004174D" w:rsidRDefault="0004174D" w:rsidP="007D1DFA">
      <w:r>
        <w:separator/>
      </w:r>
    </w:p>
  </w:endnote>
  <w:endnote w:type="continuationSeparator" w:id="0">
    <w:p w14:paraId="34A48ECB" w14:textId="77777777" w:rsidR="0004174D" w:rsidRDefault="0004174D" w:rsidP="007D1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07661077"/>
      <w:docPartObj>
        <w:docPartGallery w:val="Page Numbers (Top of Page)"/>
        <w:docPartUnique/>
      </w:docPartObj>
    </w:sdtPr>
    <w:sdtContent>
      <w:p w14:paraId="10A44B94" w14:textId="6ED09170" w:rsidR="00275B67" w:rsidRDefault="00275B67" w:rsidP="00275B67">
        <w:pPr>
          <w:pStyle w:val="Header"/>
          <w:jc w:val="right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DC418" w14:textId="77777777" w:rsidR="0004174D" w:rsidRDefault="0004174D" w:rsidP="007D1DFA">
      <w:r>
        <w:separator/>
      </w:r>
    </w:p>
  </w:footnote>
  <w:footnote w:type="continuationSeparator" w:id="0">
    <w:p w14:paraId="12E3E5AE" w14:textId="77777777" w:rsidR="0004174D" w:rsidRDefault="0004174D" w:rsidP="007D1DFA">
      <w:r>
        <w:continuationSeparator/>
      </w:r>
    </w:p>
  </w:footnote>
  <w:footnote w:id="1">
    <w:p w14:paraId="3F27C9E5" w14:textId="4BD96BF7" w:rsidR="007D1DFA" w:rsidRPr="007D1DFA" w:rsidRDefault="007D1DFA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 w:rsidRPr="007D1DFA">
        <w:t>https://publications.opec.org/woo/chapter/129/2355</w:t>
      </w:r>
    </w:p>
  </w:footnote>
  <w:footnote w:id="2">
    <w:p w14:paraId="37FBA3E4" w14:textId="0F2834E1" w:rsidR="007D1DFA" w:rsidRPr="007D1DFA" w:rsidRDefault="007D1DFA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 w:rsidRPr="007D1DFA">
        <w:t>https://www.iea.org/data-and-statistics/data-product/world-energy-outlook-2024-free-dataset</w:t>
      </w:r>
    </w:p>
  </w:footnote>
  <w:footnote w:id="3">
    <w:p w14:paraId="4823C8EF" w14:textId="042BEDD4" w:rsidR="00676358" w:rsidRPr="00676358" w:rsidRDefault="00676358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 w:rsidRPr="00676358">
        <w:t>https://www.iea.org/reports/oil-market-report-july-2024</w:t>
      </w:r>
    </w:p>
  </w:footnote>
  <w:footnote w:id="4">
    <w:p w14:paraId="2A777315" w14:textId="6106D286" w:rsidR="00676358" w:rsidRPr="00676358" w:rsidRDefault="00676358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 w:rsidRPr="00676358">
        <w:t>https://www.iea.org/reports/world-energy-outlook-2024</w:t>
      </w:r>
    </w:p>
  </w:footnote>
  <w:footnote w:id="5">
    <w:p w14:paraId="4F2B0937" w14:textId="0381FE67" w:rsidR="00F15DE3" w:rsidRPr="00F15DE3" w:rsidRDefault="00F15DE3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 w:rsidRPr="00F15DE3">
        <w:t>https://www.iea.org/reports/world-energy-outlook-2022/outlook-for-liquid-fuels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9911461"/>
      <w:docPartObj>
        <w:docPartGallery w:val="Page Numbers (Top of Page)"/>
        <w:docPartUnique/>
      </w:docPartObj>
    </w:sdtPr>
    <w:sdtContent>
      <w:p w14:paraId="71F3AAFD" w14:textId="3C5E3A75" w:rsidR="00275B67" w:rsidRDefault="00275B67" w:rsidP="000647F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70A69A" w14:textId="77777777" w:rsidR="00275B67" w:rsidRDefault="00275B67" w:rsidP="00275B6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9C83F" w14:textId="06638F92" w:rsidR="00275B67" w:rsidRPr="00275B67" w:rsidRDefault="00275B67" w:rsidP="00275B67">
    <w:pPr>
      <w:pStyle w:val="Header"/>
      <w:ind w:right="360"/>
      <w:rPr>
        <w:color w:val="D9D9D9" w:themeColor="background1" w:themeShade="D9"/>
        <w:lang w:val="tr-TR"/>
      </w:rPr>
    </w:pPr>
    <w:r w:rsidRPr="00275B67">
      <w:rPr>
        <w:color w:val="D9D9D9" w:themeColor="background1" w:themeShade="D9"/>
        <w:lang w:val="tr-TR"/>
      </w:rPr>
      <w:t>barissanli.com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1393A"/>
    <w:multiLevelType w:val="hybridMultilevel"/>
    <w:tmpl w:val="05D04BA6"/>
    <w:lvl w:ilvl="0" w:tplc="15944D6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81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67"/>
    <w:rsid w:val="00040FBA"/>
    <w:rsid w:val="0004174D"/>
    <w:rsid w:val="0009280C"/>
    <w:rsid w:val="00275B67"/>
    <w:rsid w:val="0048171D"/>
    <w:rsid w:val="004F21B2"/>
    <w:rsid w:val="00617919"/>
    <w:rsid w:val="006546DA"/>
    <w:rsid w:val="00676358"/>
    <w:rsid w:val="007D1DFA"/>
    <w:rsid w:val="008B593B"/>
    <w:rsid w:val="0093095C"/>
    <w:rsid w:val="00A074D0"/>
    <w:rsid w:val="00A17467"/>
    <w:rsid w:val="00A53E94"/>
    <w:rsid w:val="00B91F7E"/>
    <w:rsid w:val="00E646C2"/>
    <w:rsid w:val="00EC15F8"/>
    <w:rsid w:val="00EC3B9E"/>
    <w:rsid w:val="00F15DE3"/>
    <w:rsid w:val="00F2229D"/>
    <w:rsid w:val="00F9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97DC7E"/>
  <w15:chartTrackingRefBased/>
  <w15:docId w15:val="{376941AA-7B19-AD48-A918-8F70F983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67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1D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1D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1D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5D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D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B67"/>
  </w:style>
  <w:style w:type="paragraph" w:styleId="Footer">
    <w:name w:val="footer"/>
    <w:basedOn w:val="Normal"/>
    <w:link w:val="FooterChar"/>
    <w:uiPriority w:val="99"/>
    <w:unhideWhenUsed/>
    <w:rsid w:val="0027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B67"/>
  </w:style>
  <w:style w:type="character" w:styleId="PageNumber">
    <w:name w:val="page number"/>
    <w:basedOn w:val="DefaultParagraphFont"/>
    <w:uiPriority w:val="99"/>
    <w:semiHidden/>
    <w:unhideWhenUsed/>
    <w:rsid w:val="00275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issanli2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0C2B10-837C-454E-BCCB-962CA87A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Sanlı</dc:creator>
  <cp:keywords/>
  <dc:description/>
  <cp:lastModifiedBy>Barış Sanlı</cp:lastModifiedBy>
  <cp:revision>3</cp:revision>
  <dcterms:created xsi:type="dcterms:W3CDTF">2024-10-16T17:57:00Z</dcterms:created>
  <dcterms:modified xsi:type="dcterms:W3CDTF">2024-10-17T18:13:00Z</dcterms:modified>
</cp:coreProperties>
</file>