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E34BC" w14:textId="05EBA993" w:rsidR="007550F6" w:rsidRDefault="006546DA" w:rsidP="002353B3">
      <w:pPr>
        <w:pStyle w:val="Heading1"/>
        <w:rPr>
          <w:sz w:val="32"/>
          <w:szCs w:val="32"/>
          <w:lang w:val="tr-TR"/>
        </w:rPr>
      </w:pPr>
      <w:r w:rsidRPr="00CE4B88">
        <w:rPr>
          <w:sz w:val="32"/>
          <w:szCs w:val="32"/>
          <w:lang w:val="tr-TR"/>
        </w:rPr>
        <w:t>Enerji İstatistik Notu</w:t>
      </w:r>
      <w:r w:rsidR="005717BC" w:rsidRPr="00CE4B88">
        <w:rPr>
          <w:sz w:val="32"/>
          <w:szCs w:val="32"/>
          <w:lang w:val="tr-TR"/>
        </w:rPr>
        <w:t xml:space="preserve"> </w:t>
      </w:r>
      <w:r w:rsidR="00470257">
        <w:rPr>
          <w:sz w:val="32"/>
          <w:szCs w:val="32"/>
          <w:lang w:val="tr-TR"/>
        </w:rPr>
        <w:t>5</w:t>
      </w:r>
      <w:r w:rsidR="00673DC2">
        <w:rPr>
          <w:sz w:val="32"/>
          <w:szCs w:val="32"/>
          <w:lang w:val="tr-TR"/>
        </w:rPr>
        <w:t>2</w:t>
      </w:r>
      <w:r w:rsidR="00BA4308">
        <w:rPr>
          <w:sz w:val="32"/>
          <w:szCs w:val="32"/>
          <w:lang w:val="tr-TR"/>
        </w:rPr>
        <w:t xml:space="preserve">: </w:t>
      </w:r>
      <w:r w:rsidR="004401B4">
        <w:rPr>
          <w:sz w:val="32"/>
          <w:szCs w:val="32"/>
          <w:lang w:val="tr-TR"/>
        </w:rPr>
        <w:t>Lityum, Kobalt ve Silikon Fiyatlarında 2025 Beklentileri</w:t>
      </w:r>
    </w:p>
    <w:p w14:paraId="7EC47B28" w14:textId="77777777" w:rsidR="002353B3" w:rsidRPr="002353B3" w:rsidRDefault="002353B3" w:rsidP="002353B3">
      <w:pPr>
        <w:rPr>
          <w:lang w:val="tr-TR"/>
        </w:rPr>
      </w:pPr>
    </w:p>
    <w:p w14:paraId="57BD2A7B" w14:textId="36660E01" w:rsidR="006546DA" w:rsidRPr="00606149" w:rsidRDefault="0046414E" w:rsidP="006546DA">
      <w:pPr>
        <w:rPr>
          <w:i/>
          <w:iCs/>
        </w:rPr>
      </w:pPr>
      <w:r w:rsidRPr="00606149">
        <w:rPr>
          <w:i/>
          <w:iCs/>
          <w:lang w:val="tr-TR"/>
        </w:rPr>
        <w:t>Tek</w:t>
      </w:r>
      <w:r w:rsidR="006546DA" w:rsidRPr="00606149">
        <w:rPr>
          <w:i/>
          <w:iCs/>
          <w:lang w:val="tr-TR"/>
        </w:rPr>
        <w:t xml:space="preserve"> cümle:</w:t>
      </w:r>
      <w:r w:rsidR="006861F6" w:rsidRPr="00606149">
        <w:rPr>
          <w:i/>
          <w:iCs/>
          <w:lang w:val="tr-TR"/>
        </w:rPr>
        <w:t xml:space="preserve"> “</w:t>
      </w:r>
      <w:r w:rsidR="00606149" w:rsidRPr="00606149">
        <w:rPr>
          <w:i/>
          <w:iCs/>
          <w:lang w:val="tr-TR"/>
        </w:rPr>
        <w:t>2025’te bu yeni ekonominin iki önemli elementi lityum ve silikonda Çin’deki beklentiler fiyat düşüşlerinin durduğu şeklindedir.</w:t>
      </w:r>
      <w:r w:rsidR="00F2365A" w:rsidRPr="00606149">
        <w:rPr>
          <w:i/>
          <w:iCs/>
        </w:rPr>
        <w:t>”</w:t>
      </w:r>
    </w:p>
    <w:p w14:paraId="19AEFD12" w14:textId="77777777" w:rsidR="00F15DE3" w:rsidRPr="00CB7DC2" w:rsidRDefault="00F15DE3">
      <w:pPr>
        <w:rPr>
          <w:i/>
          <w:iCs/>
          <w:lang w:val="tr-TR"/>
        </w:rPr>
      </w:pPr>
    </w:p>
    <w:p w14:paraId="5197010E" w14:textId="034521BF" w:rsidR="006A6B2E" w:rsidRDefault="00F15DE3" w:rsidP="005319D6">
      <w:pPr>
        <w:rPr>
          <w:rStyle w:val="Hyperlink"/>
          <w:lang w:val="tr-TR"/>
        </w:rPr>
      </w:pPr>
      <w:r>
        <w:rPr>
          <w:lang w:val="tr-TR"/>
        </w:rPr>
        <w:t xml:space="preserve">Barış Sanlı, </w:t>
      </w:r>
      <w:hyperlink r:id="rId8" w:history="1">
        <w:r w:rsidRPr="000647F2">
          <w:rPr>
            <w:rStyle w:val="Hyperlink"/>
            <w:lang w:val="tr-TR"/>
          </w:rPr>
          <w:t>barissanli2@gmail.com</w:t>
        </w:r>
      </w:hyperlink>
    </w:p>
    <w:p w14:paraId="2DB7EE5F" w14:textId="59003E54" w:rsidR="00EE0286" w:rsidRDefault="00EE0286" w:rsidP="00B21605"/>
    <w:p w14:paraId="3D5E0222" w14:textId="565F49D5" w:rsidR="00F768B7" w:rsidRDefault="002353B3" w:rsidP="00EF2FFB">
      <w:pPr>
        <w:rPr>
          <w:lang w:val="tr-TR"/>
        </w:rPr>
      </w:pPr>
      <w:r>
        <w:rPr>
          <w:lang w:val="tr-TR"/>
        </w:rPr>
        <w:t>Yılı kapatırken, bazı daha gelişmiş konulara değinmek için de fırsatlar oluşmaktadır. Bunlardan bir tanesi de geleceğin enerji ve maden piyasalarındaki ürünler ve burada spekülasyon</w:t>
      </w:r>
      <w:r w:rsidR="00606149">
        <w:rPr>
          <w:lang w:val="tr-TR"/>
        </w:rPr>
        <w:t>un yönüdür</w:t>
      </w:r>
      <w:r>
        <w:rPr>
          <w:lang w:val="tr-TR"/>
        </w:rPr>
        <w:t xml:space="preserve">. Bu notta (ve </w:t>
      </w:r>
      <w:proofErr w:type="spellStart"/>
      <w:r>
        <w:rPr>
          <w:lang w:val="tr-TR"/>
        </w:rPr>
        <w:t>github’da</w:t>
      </w:r>
      <w:proofErr w:type="spellEnd"/>
      <w:r>
        <w:rPr>
          <w:lang w:val="tr-TR"/>
        </w:rPr>
        <w:t xml:space="preserve"> paylaşılan kodda) spekülatif hareket hacimlerinin nasıl takip edilebileceği gösterilecektir. </w:t>
      </w:r>
      <w:r w:rsidR="00606149">
        <w:rPr>
          <w:lang w:val="tr-TR"/>
        </w:rPr>
        <w:t>Oldukça teknik ve birazda makro okuma olduğundan biraz ileri düzeydir.</w:t>
      </w:r>
    </w:p>
    <w:p w14:paraId="7B1D18AB" w14:textId="77777777" w:rsidR="002353B3" w:rsidRDefault="002353B3" w:rsidP="00EF2FFB">
      <w:pPr>
        <w:rPr>
          <w:lang w:val="tr-TR"/>
        </w:rPr>
      </w:pPr>
    </w:p>
    <w:p w14:paraId="3EE76B8B" w14:textId="5A817EEC" w:rsidR="002353B3" w:rsidRDefault="002353B3" w:rsidP="00EF2FFB">
      <w:pPr>
        <w:rPr>
          <w:lang w:val="tr-TR"/>
        </w:rPr>
      </w:pPr>
      <w:r>
        <w:rPr>
          <w:lang w:val="tr-TR"/>
        </w:rPr>
        <w:t>Öncelikle Çin’de bu yeni enerji ekonomisine dair Guangzhou Gelecek Piyasalarındaki</w:t>
      </w:r>
      <w:r w:rsidR="004721C8">
        <w:rPr>
          <w:rStyle w:val="FootnoteReference"/>
          <w:lang w:val="tr-TR"/>
        </w:rPr>
        <w:footnoteReference w:id="1"/>
      </w:r>
      <w:r>
        <w:rPr>
          <w:lang w:val="tr-TR"/>
        </w:rPr>
        <w:t xml:space="preserve"> iki ürüne bakalım. Buradaki iki üründen bir tanesi “endüstriyel silikon”, diğeri de lityum karbonat</w:t>
      </w:r>
      <w:r w:rsidR="004721C8">
        <w:rPr>
          <w:lang w:val="tr-TR"/>
        </w:rPr>
        <w:t>tır. Bu piyasalarda ayrıca opsiyon fiyatlaması da vardır. Fakat bu kısma daha sonra petrol üzerinden yaklaşmak daha açıklayıcı olabilir. Aşağıdaki grafikte, 2025 yılı içerisinde lityum karbona</w:t>
      </w:r>
      <w:r w:rsidR="004401B4">
        <w:rPr>
          <w:lang w:val="tr-TR"/>
        </w:rPr>
        <w:t>t</w:t>
      </w:r>
      <w:r w:rsidR="004721C8">
        <w:rPr>
          <w:lang w:val="tr-TR"/>
        </w:rPr>
        <w:t xml:space="preserve"> fiyatlarında göreceli bir artış görülmektedir. Fiyatlar Yuan üzerinden olduğundan, daha zayıf bir </w:t>
      </w:r>
      <w:proofErr w:type="spellStart"/>
      <w:r w:rsidR="004721C8">
        <w:rPr>
          <w:lang w:val="tr-TR"/>
        </w:rPr>
        <w:t>yuan</w:t>
      </w:r>
      <w:proofErr w:type="spellEnd"/>
      <w:r w:rsidR="004721C8">
        <w:rPr>
          <w:lang w:val="tr-TR"/>
        </w:rPr>
        <w:t xml:space="preserve"> ile dolar bazında bu fiyat artışı sınırlı olabilir. </w:t>
      </w:r>
    </w:p>
    <w:p w14:paraId="6D0DF433" w14:textId="77777777" w:rsidR="004721C8" w:rsidRDefault="004721C8" w:rsidP="00EF2FFB">
      <w:pPr>
        <w:rPr>
          <w:lang w:val="tr-TR"/>
        </w:rPr>
      </w:pPr>
    </w:p>
    <w:p w14:paraId="77532B21" w14:textId="69136DFB" w:rsidR="004721C8" w:rsidRDefault="004721C8" w:rsidP="004721C8">
      <w:pPr>
        <w:jc w:val="center"/>
        <w:rPr>
          <w:lang w:val="tr-TR"/>
        </w:rPr>
      </w:pPr>
      <w:r>
        <w:rPr>
          <w:noProof/>
        </w:rPr>
        <w:drawing>
          <wp:inline distT="0" distB="0" distL="0" distR="0" wp14:anchorId="296F28C0" wp14:editId="36E21B23">
            <wp:extent cx="5731329" cy="3438797"/>
            <wp:effectExtent l="0" t="0" r="0" b="3175"/>
            <wp:docPr id="130940805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08057"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739759" cy="3443855"/>
                    </a:xfrm>
                    <a:prstGeom prst="rect">
                      <a:avLst/>
                    </a:prstGeom>
                  </pic:spPr>
                </pic:pic>
              </a:graphicData>
            </a:graphic>
          </wp:inline>
        </w:drawing>
      </w:r>
    </w:p>
    <w:p w14:paraId="4C018313" w14:textId="77777777" w:rsidR="004721C8" w:rsidRDefault="004721C8" w:rsidP="004721C8">
      <w:pPr>
        <w:jc w:val="center"/>
        <w:rPr>
          <w:lang w:val="tr-TR"/>
        </w:rPr>
      </w:pPr>
    </w:p>
    <w:p w14:paraId="4AF67DCB" w14:textId="28858280" w:rsidR="004721C8" w:rsidRDefault="004721C8" w:rsidP="004721C8">
      <w:pPr>
        <w:rPr>
          <w:lang w:val="tr-TR"/>
        </w:rPr>
      </w:pPr>
      <w:r>
        <w:rPr>
          <w:lang w:val="tr-TR"/>
        </w:rPr>
        <w:t>Bir diğer ilginç rakam ise endüstriyel silikon fiyatlarıdır. Lityumdaki kadar olmasa da silikon fiyatlarında da bir artış görülmektedir. Bu artışın yaz aylarında daha yüksek olacağı, sonra Eylül’e doğru azalacağı ama yıl sonunda tekrar artacağı görülmektedir.</w:t>
      </w:r>
    </w:p>
    <w:p w14:paraId="15CB4004" w14:textId="77777777" w:rsidR="004721C8" w:rsidRDefault="004721C8" w:rsidP="004721C8">
      <w:pPr>
        <w:rPr>
          <w:lang w:val="tr-TR"/>
        </w:rPr>
      </w:pPr>
    </w:p>
    <w:p w14:paraId="52957E78" w14:textId="3B9E4BB0" w:rsidR="004721C8" w:rsidRDefault="004721C8" w:rsidP="004721C8">
      <w:pPr>
        <w:rPr>
          <w:lang w:val="tr-TR"/>
        </w:rPr>
      </w:pPr>
      <w:r>
        <w:rPr>
          <w:lang w:val="tr-TR"/>
        </w:rPr>
        <w:t xml:space="preserve">Gelecek piyasaları “fiyat bu olacak” denilen yerlerden çok, yatırımcıların kendilerini korumaya aldıkları piyasalar olarak görülmelidir. Yani “gelecek fiyatı” bir beklenti-keşif fiyatıdır. Ama 2025’te bu yeni ekonominin iki önemli elementi lityum ve silikonda Çin’deki beklentiler fiyat düşüşlerinin durduğu şeklindedir. Ama bu görünüm bugünkü bakış açısıdır. 3 ay sonra bu beklentiler değişebilir. </w:t>
      </w:r>
    </w:p>
    <w:p w14:paraId="077C33C7" w14:textId="77777777" w:rsidR="004721C8" w:rsidRDefault="004721C8" w:rsidP="004721C8">
      <w:pPr>
        <w:rPr>
          <w:lang w:val="tr-TR"/>
        </w:rPr>
      </w:pPr>
    </w:p>
    <w:p w14:paraId="696BA8E4" w14:textId="4DD79000" w:rsidR="004721C8" w:rsidRDefault="004721C8" w:rsidP="004721C8">
      <w:pPr>
        <w:jc w:val="center"/>
        <w:rPr>
          <w:lang w:val="tr-TR"/>
        </w:rPr>
      </w:pPr>
      <w:r>
        <w:rPr>
          <w:noProof/>
        </w:rPr>
        <w:drawing>
          <wp:inline distT="0" distB="0" distL="0" distR="0" wp14:anchorId="61BC2FE8" wp14:editId="6C5F9A96">
            <wp:extent cx="5486400" cy="3291840"/>
            <wp:effectExtent l="0" t="0" r="0" b="0"/>
            <wp:docPr id="136122681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22681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495030" cy="3297018"/>
                    </a:xfrm>
                    <a:prstGeom prst="rect">
                      <a:avLst/>
                    </a:prstGeom>
                  </pic:spPr>
                </pic:pic>
              </a:graphicData>
            </a:graphic>
          </wp:inline>
        </w:drawing>
      </w:r>
    </w:p>
    <w:p w14:paraId="79B00168" w14:textId="77777777" w:rsidR="004721C8" w:rsidRDefault="004721C8" w:rsidP="00EF2FFB">
      <w:pPr>
        <w:rPr>
          <w:lang w:val="tr-TR"/>
        </w:rPr>
      </w:pPr>
    </w:p>
    <w:p w14:paraId="69076450" w14:textId="3CD51E61" w:rsidR="004721C8" w:rsidRDefault="003F3FE6" w:rsidP="00EF2FFB">
      <w:pPr>
        <w:rPr>
          <w:lang w:val="tr-TR"/>
        </w:rPr>
      </w:pPr>
      <w:r>
        <w:rPr>
          <w:lang w:val="tr-TR"/>
        </w:rPr>
        <w:t xml:space="preserve">Şimdi bir diğer önemli piyasa olarak ABD piyasasına ve bağlantılı piyasalara bakalım. Bu kısımdaki veriler için “Tacirlerin Yükümlülükleri” denilen, </w:t>
      </w:r>
      <w:proofErr w:type="spellStart"/>
      <w:r>
        <w:rPr>
          <w:lang w:val="tr-TR"/>
        </w:rPr>
        <w:t>Commitment</w:t>
      </w:r>
      <w:proofErr w:type="spellEnd"/>
      <w:r>
        <w:rPr>
          <w:lang w:val="tr-TR"/>
        </w:rPr>
        <w:t xml:space="preserve"> of </w:t>
      </w:r>
      <w:proofErr w:type="spellStart"/>
      <w:r>
        <w:rPr>
          <w:lang w:val="tr-TR"/>
        </w:rPr>
        <w:t>Traders</w:t>
      </w:r>
      <w:proofErr w:type="spellEnd"/>
      <w:r>
        <w:rPr>
          <w:lang w:val="tr-TR"/>
        </w:rPr>
        <w:t xml:space="preserve"> raporuna</w:t>
      </w:r>
      <w:r w:rsidR="004401B4">
        <w:rPr>
          <w:rStyle w:val="FootnoteReference"/>
          <w:lang w:val="tr-TR"/>
        </w:rPr>
        <w:footnoteReference w:id="2"/>
      </w:r>
      <w:r>
        <w:rPr>
          <w:lang w:val="tr-TR"/>
        </w:rPr>
        <w:t xml:space="preserve"> bakacağız. Burada çok fazla veri olduğundan kodlama ile gitmemiz gerekiyor. Haftalık yayınlanan raporlarda bakır, alüminyum, çelik, kobalt, lityum </w:t>
      </w:r>
      <w:proofErr w:type="spellStart"/>
      <w:r>
        <w:rPr>
          <w:lang w:val="tr-TR"/>
        </w:rPr>
        <w:t>hidroxit</w:t>
      </w:r>
      <w:proofErr w:type="spellEnd"/>
      <w:r>
        <w:rPr>
          <w:lang w:val="tr-TR"/>
        </w:rPr>
        <w:t xml:space="preserve">, platinum gibi birçok ürün bulunmaktadır. Çok fazla veri olduğundan kodun içinde bir arama fonksiyonu da vardır. </w:t>
      </w:r>
    </w:p>
    <w:p w14:paraId="3428FD15" w14:textId="77777777" w:rsidR="003F3FE6" w:rsidRDefault="003F3FE6" w:rsidP="00EF2FFB">
      <w:pPr>
        <w:rPr>
          <w:lang w:val="tr-TR"/>
        </w:rPr>
      </w:pPr>
    </w:p>
    <w:p w14:paraId="45CC42CA" w14:textId="3FEF8217" w:rsidR="003F3FE6" w:rsidRDefault="003F3FE6" w:rsidP="00EF2FFB">
      <w:pPr>
        <w:rPr>
          <w:lang w:val="tr-TR"/>
        </w:rPr>
      </w:pPr>
      <w:r>
        <w:rPr>
          <w:lang w:val="tr-TR"/>
        </w:rPr>
        <w:t xml:space="preserve">İlk olarak </w:t>
      </w:r>
      <w:proofErr w:type="spellStart"/>
      <w:r>
        <w:rPr>
          <w:lang w:val="tr-TR"/>
        </w:rPr>
        <w:t>lityum’dan</w:t>
      </w:r>
      <w:proofErr w:type="spellEnd"/>
      <w:r>
        <w:rPr>
          <w:lang w:val="tr-TR"/>
        </w:rPr>
        <w:t xml:space="preserve"> başlayalım. </w:t>
      </w:r>
      <w:proofErr w:type="spellStart"/>
      <w:r>
        <w:rPr>
          <w:lang w:val="tr-TR"/>
        </w:rPr>
        <w:t>Lityum’da</w:t>
      </w:r>
      <w:proofErr w:type="spellEnd"/>
      <w:r>
        <w:rPr>
          <w:lang w:val="tr-TR"/>
        </w:rPr>
        <w:t xml:space="preserve"> tüm pozisyonlara bakarsak, sanki tacirler için fiyatlar yüksek değildir. Aksine uzun pozisyonların artması, bir artış beklentisini de gösteriyor olabilir. </w:t>
      </w:r>
    </w:p>
    <w:p w14:paraId="1B5E60D2" w14:textId="77777777" w:rsidR="003F3FE6" w:rsidRDefault="003F3FE6" w:rsidP="00EF2FFB">
      <w:pPr>
        <w:rPr>
          <w:lang w:val="tr-TR"/>
        </w:rPr>
      </w:pPr>
    </w:p>
    <w:p w14:paraId="0D07F7D3" w14:textId="78334CF9" w:rsidR="003F3FE6" w:rsidRDefault="003F3FE6" w:rsidP="004401B4">
      <w:pPr>
        <w:jc w:val="center"/>
        <w:rPr>
          <w:lang w:val="tr-TR"/>
        </w:rPr>
      </w:pPr>
      <w:r>
        <w:rPr>
          <w:noProof/>
          <w:lang w:val="tr-TR"/>
        </w:rPr>
        <w:drawing>
          <wp:inline distT="0" distB="0" distL="0" distR="0" wp14:anchorId="631CD31B" wp14:editId="2FEA243A">
            <wp:extent cx="5831210" cy="3298372"/>
            <wp:effectExtent l="0" t="0" r="0" b="3810"/>
            <wp:docPr id="776961991"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961991" name="Picture 1" descr="A graph with a line going up&#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45856" cy="3306656"/>
                    </a:xfrm>
                    <a:prstGeom prst="rect">
                      <a:avLst/>
                    </a:prstGeom>
                  </pic:spPr>
                </pic:pic>
              </a:graphicData>
            </a:graphic>
          </wp:inline>
        </w:drawing>
      </w:r>
    </w:p>
    <w:p w14:paraId="5D329626" w14:textId="77777777" w:rsidR="003F3FE6" w:rsidRDefault="003F3FE6" w:rsidP="00EF2FFB">
      <w:pPr>
        <w:rPr>
          <w:lang w:val="tr-TR"/>
        </w:rPr>
      </w:pPr>
    </w:p>
    <w:p w14:paraId="512C8B15" w14:textId="472E3156" w:rsidR="003F3FE6" w:rsidRDefault="003F3FE6" w:rsidP="00EF2FFB">
      <w:pPr>
        <w:rPr>
          <w:lang w:val="tr-TR"/>
        </w:rPr>
      </w:pPr>
      <w:r>
        <w:rPr>
          <w:lang w:val="tr-TR"/>
        </w:rPr>
        <w:lastRenderedPageBreak/>
        <w:t xml:space="preserve">Fakat burada bir oyun daha vardır. Bu pozisyonların kırılımında, </w:t>
      </w:r>
      <w:r w:rsidRPr="003F3FE6">
        <w:rPr>
          <w:b/>
          <w:bCs/>
          <w:lang w:val="tr-TR"/>
        </w:rPr>
        <w:t>ticari</w:t>
      </w:r>
      <w:r>
        <w:rPr>
          <w:lang w:val="tr-TR"/>
        </w:rPr>
        <w:t xml:space="preserve"> (</w:t>
      </w:r>
      <w:proofErr w:type="spellStart"/>
      <w:r>
        <w:rPr>
          <w:lang w:val="tr-TR"/>
        </w:rPr>
        <w:t>commercial</w:t>
      </w:r>
      <w:proofErr w:type="spellEnd"/>
      <w:r>
        <w:rPr>
          <w:lang w:val="tr-TR"/>
        </w:rPr>
        <w:t xml:space="preserve">), bu işi </w:t>
      </w:r>
      <w:proofErr w:type="gramStart"/>
      <w:r>
        <w:rPr>
          <w:lang w:val="tr-TR"/>
        </w:rPr>
        <w:t>yapanlar(</w:t>
      </w:r>
      <w:proofErr w:type="gramEnd"/>
      <w:r>
        <w:rPr>
          <w:lang w:val="tr-TR"/>
        </w:rPr>
        <w:t xml:space="preserve">lityum </w:t>
      </w:r>
      <w:r w:rsidR="004401B4">
        <w:rPr>
          <w:lang w:val="tr-TR"/>
        </w:rPr>
        <w:t>ile ilgili işlerde çalışanlar</w:t>
      </w:r>
      <w:r>
        <w:rPr>
          <w:lang w:val="tr-TR"/>
        </w:rPr>
        <w:t xml:space="preserve">) ile asıl işi bu olmayan </w:t>
      </w:r>
      <w:r w:rsidRPr="003F3FE6">
        <w:rPr>
          <w:b/>
          <w:bCs/>
          <w:lang w:val="tr-TR"/>
        </w:rPr>
        <w:t>spekülatif</w:t>
      </w:r>
      <w:r>
        <w:rPr>
          <w:lang w:val="tr-TR"/>
        </w:rPr>
        <w:t>, banka, tacir, koruma fonu (</w:t>
      </w:r>
      <w:proofErr w:type="spellStart"/>
      <w:r>
        <w:rPr>
          <w:lang w:val="tr-TR"/>
        </w:rPr>
        <w:t>non-commercial</w:t>
      </w:r>
      <w:proofErr w:type="spellEnd"/>
      <w:r>
        <w:rPr>
          <w:lang w:val="tr-TR"/>
        </w:rPr>
        <w:t xml:space="preserve">) arasında farklar vardır. Aslında biraz birbirilerini de tamamlayabilmektedirler. </w:t>
      </w:r>
    </w:p>
    <w:p w14:paraId="2526BED6" w14:textId="77777777" w:rsidR="003F3FE6" w:rsidRDefault="003F3FE6" w:rsidP="00EF2FFB">
      <w:pPr>
        <w:rPr>
          <w:lang w:val="tr-TR"/>
        </w:rPr>
      </w:pPr>
    </w:p>
    <w:p w14:paraId="22080475" w14:textId="34E08A4F" w:rsidR="003F3FE6" w:rsidRDefault="003F3FE6" w:rsidP="00EF2FFB">
      <w:pPr>
        <w:rPr>
          <w:lang w:val="tr-TR"/>
        </w:rPr>
      </w:pPr>
      <w:r>
        <w:rPr>
          <w:noProof/>
          <w:lang w:val="tr-TR"/>
        </w:rPr>
        <w:drawing>
          <wp:inline distT="0" distB="0" distL="0" distR="0" wp14:anchorId="71AD8BF3" wp14:editId="4109F89D">
            <wp:extent cx="6645910" cy="3714115"/>
            <wp:effectExtent l="0" t="0" r="0" b="0"/>
            <wp:docPr id="1978843302"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843302" name="Picture 2" descr="A graph of different colored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645910" cy="3714115"/>
                    </a:xfrm>
                    <a:prstGeom prst="rect">
                      <a:avLst/>
                    </a:prstGeom>
                  </pic:spPr>
                </pic:pic>
              </a:graphicData>
            </a:graphic>
          </wp:inline>
        </w:drawing>
      </w:r>
    </w:p>
    <w:p w14:paraId="76252BB4" w14:textId="77777777" w:rsidR="003F3FE6" w:rsidRDefault="003F3FE6" w:rsidP="00EF2FFB">
      <w:pPr>
        <w:rPr>
          <w:lang w:val="tr-TR"/>
        </w:rPr>
      </w:pPr>
    </w:p>
    <w:p w14:paraId="50771240" w14:textId="77777777" w:rsidR="003F3FE6" w:rsidRDefault="003F3FE6" w:rsidP="00EF2FFB">
      <w:pPr>
        <w:rPr>
          <w:lang w:val="tr-TR"/>
        </w:rPr>
      </w:pPr>
    </w:p>
    <w:p w14:paraId="5FA9DAAB" w14:textId="39B714E6" w:rsidR="00897CB4" w:rsidRDefault="003F3FE6" w:rsidP="00EF2FFB">
      <w:pPr>
        <w:rPr>
          <w:lang w:val="tr-TR"/>
        </w:rPr>
      </w:pPr>
      <w:r>
        <w:rPr>
          <w:lang w:val="tr-TR"/>
        </w:rPr>
        <w:t>Yukarıdaki grafikte lityumda bu iş ile uğraşanların önemli bir kısmı</w:t>
      </w:r>
      <w:r w:rsidR="004401B4">
        <w:rPr>
          <w:lang w:val="tr-TR"/>
        </w:rPr>
        <w:t>nın</w:t>
      </w:r>
      <w:r>
        <w:rPr>
          <w:lang w:val="tr-TR"/>
        </w:rPr>
        <w:t xml:space="preserve"> kendilerini korumaya almış olduğu görünüyor. Yani uzun pozisyonlar ile gelecek kontratları alarak, maliyetlerini veya gelirlerini sabitlemişler. Onlara göre bu fiyatlar </w:t>
      </w:r>
      <w:proofErr w:type="gramStart"/>
      <w:r>
        <w:rPr>
          <w:lang w:val="tr-TR"/>
        </w:rPr>
        <w:t>tatminkar</w:t>
      </w:r>
      <w:proofErr w:type="gramEnd"/>
      <w:r w:rsidR="00897CB4">
        <w:rPr>
          <w:lang w:val="tr-TR"/>
        </w:rPr>
        <w:t xml:space="preserve">. Spekülatif, </w:t>
      </w:r>
      <w:proofErr w:type="spellStart"/>
      <w:r w:rsidR="00897CB4">
        <w:rPr>
          <w:lang w:val="tr-TR"/>
        </w:rPr>
        <w:t>hedge</w:t>
      </w:r>
      <w:proofErr w:type="spellEnd"/>
      <w:r w:rsidR="00897CB4">
        <w:rPr>
          <w:lang w:val="tr-TR"/>
        </w:rPr>
        <w:t xml:space="preserve"> fonlara göre </w:t>
      </w:r>
      <w:proofErr w:type="gramStart"/>
      <w:r w:rsidR="00897CB4">
        <w:rPr>
          <w:lang w:val="tr-TR"/>
        </w:rPr>
        <w:t>ise  (</w:t>
      </w:r>
      <w:proofErr w:type="gramEnd"/>
      <w:r w:rsidR="00897CB4">
        <w:rPr>
          <w:lang w:val="tr-TR"/>
        </w:rPr>
        <w:t xml:space="preserve">mavi), kısa </w:t>
      </w:r>
      <w:proofErr w:type="spellStart"/>
      <w:r w:rsidR="00897CB4">
        <w:rPr>
          <w:lang w:val="tr-TR"/>
        </w:rPr>
        <w:t>posizyonlar</w:t>
      </w:r>
      <w:proofErr w:type="spellEnd"/>
      <w:r w:rsidR="00897CB4">
        <w:rPr>
          <w:lang w:val="tr-TR"/>
        </w:rPr>
        <w:t xml:space="preserve"> yüksek. Bunun sebeplerinden biri her ticari hamlenin bir karşı tarafı olması beklenir. Yani lityum üreticisi kendini korumaya aldığında(</w:t>
      </w:r>
      <w:proofErr w:type="spellStart"/>
      <w:r w:rsidR="00897CB4">
        <w:rPr>
          <w:lang w:val="tr-TR"/>
        </w:rPr>
        <w:t>hedge</w:t>
      </w:r>
      <w:proofErr w:type="spellEnd"/>
      <w:r w:rsidR="00897CB4">
        <w:rPr>
          <w:lang w:val="tr-TR"/>
        </w:rPr>
        <w:t>), banka da bu pozisyonu sıfırlayacak karşı pozisyonu alabilir. Fakat burada spekülatif pozisyonlar</w:t>
      </w:r>
      <w:r w:rsidR="004401B4">
        <w:rPr>
          <w:lang w:val="tr-TR"/>
        </w:rPr>
        <w:t>da</w:t>
      </w:r>
      <w:r w:rsidR="00897CB4">
        <w:rPr>
          <w:lang w:val="tr-TR"/>
        </w:rPr>
        <w:t xml:space="preserve">(turuncu) hala lityumda bir fiyat artışı hareketi </w:t>
      </w:r>
      <w:r w:rsidR="004401B4">
        <w:rPr>
          <w:lang w:val="tr-TR"/>
        </w:rPr>
        <w:t>hissi</w:t>
      </w:r>
      <w:r w:rsidR="00897CB4">
        <w:rPr>
          <w:lang w:val="tr-TR"/>
        </w:rPr>
        <w:t xml:space="preserve"> görünmektedir. Tabii bu haftalık raporlardan çok makro bir okumadır. </w:t>
      </w:r>
    </w:p>
    <w:p w14:paraId="3B5CAB0C" w14:textId="77777777" w:rsidR="00897CB4" w:rsidRDefault="00897CB4" w:rsidP="00EF2FFB">
      <w:pPr>
        <w:rPr>
          <w:lang w:val="tr-TR"/>
        </w:rPr>
      </w:pPr>
    </w:p>
    <w:p w14:paraId="364F2417" w14:textId="1528619F" w:rsidR="00897CB4" w:rsidRDefault="00897CB4" w:rsidP="00897CB4">
      <w:pPr>
        <w:jc w:val="center"/>
        <w:rPr>
          <w:lang w:val="tr-TR"/>
        </w:rPr>
      </w:pPr>
      <w:r>
        <w:rPr>
          <w:noProof/>
          <w:lang w:val="tr-TR"/>
        </w:rPr>
        <w:drawing>
          <wp:inline distT="0" distB="0" distL="0" distR="0" wp14:anchorId="4935CD61" wp14:editId="1DFF3A3D">
            <wp:extent cx="4549931" cy="2522765"/>
            <wp:effectExtent l="0" t="0" r="0" b="5080"/>
            <wp:docPr id="230653332" name="Picture 3"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653332" name="Picture 3" descr="A graph with a line going up&#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71342" cy="2534637"/>
                    </a:xfrm>
                    <a:prstGeom prst="rect">
                      <a:avLst/>
                    </a:prstGeom>
                  </pic:spPr>
                </pic:pic>
              </a:graphicData>
            </a:graphic>
          </wp:inline>
        </w:drawing>
      </w:r>
    </w:p>
    <w:p w14:paraId="713AA3A0" w14:textId="6DFA3FD7" w:rsidR="00897CB4" w:rsidRDefault="00897CB4" w:rsidP="00EF2FFB">
      <w:pPr>
        <w:rPr>
          <w:lang w:val="tr-TR"/>
        </w:rPr>
      </w:pPr>
      <w:r>
        <w:rPr>
          <w:lang w:val="tr-TR"/>
        </w:rPr>
        <w:t>Toplam net pozisyonlara baktığımızda da karamsarlığın dipten çıktığını ama hala bocaladığını görebiliriz.</w:t>
      </w:r>
    </w:p>
    <w:p w14:paraId="4BD19780" w14:textId="77777777" w:rsidR="00897CB4" w:rsidRDefault="00897CB4" w:rsidP="00EF2FFB">
      <w:pPr>
        <w:rPr>
          <w:lang w:val="tr-TR"/>
        </w:rPr>
      </w:pPr>
    </w:p>
    <w:p w14:paraId="24842BF1" w14:textId="77777777" w:rsidR="00897CB4" w:rsidRDefault="00897CB4" w:rsidP="00EF2FFB">
      <w:pPr>
        <w:rPr>
          <w:lang w:val="tr-TR"/>
        </w:rPr>
      </w:pPr>
    </w:p>
    <w:p w14:paraId="1E733B36" w14:textId="3FA99372" w:rsidR="00897CB4" w:rsidRDefault="00897CB4" w:rsidP="00EF2FFB">
      <w:pPr>
        <w:rPr>
          <w:lang w:val="tr-TR"/>
        </w:rPr>
      </w:pPr>
      <w:r>
        <w:rPr>
          <w:lang w:val="tr-TR"/>
        </w:rPr>
        <w:t xml:space="preserve">Son kısımda da </w:t>
      </w:r>
      <w:proofErr w:type="spellStart"/>
      <w:r>
        <w:rPr>
          <w:lang w:val="tr-TR"/>
        </w:rPr>
        <w:t>kobalt’a</w:t>
      </w:r>
      <w:proofErr w:type="spellEnd"/>
      <w:r>
        <w:rPr>
          <w:lang w:val="tr-TR"/>
        </w:rPr>
        <w:t xml:space="preserve"> bakalım. </w:t>
      </w:r>
      <w:proofErr w:type="spellStart"/>
      <w:r>
        <w:rPr>
          <w:lang w:val="tr-TR"/>
        </w:rPr>
        <w:t>Kobalt’ta</w:t>
      </w:r>
      <w:proofErr w:type="spellEnd"/>
      <w:r>
        <w:rPr>
          <w:lang w:val="tr-TR"/>
        </w:rPr>
        <w:t xml:space="preserve"> durum nakavt durumunda gibidir. Yani bir anlamda lityum demir fosfat pillerin saltanatı sağlamlaşmış görünmektedir. O kadar ki, bu fiyat seviyelerinden büyük bir fiyat artışı beklentisi görülmemektedir. </w:t>
      </w:r>
    </w:p>
    <w:p w14:paraId="07586170" w14:textId="77777777" w:rsidR="00897CB4" w:rsidRDefault="00897CB4" w:rsidP="00EF2FFB">
      <w:pPr>
        <w:rPr>
          <w:lang w:val="tr-TR"/>
        </w:rPr>
      </w:pPr>
    </w:p>
    <w:p w14:paraId="137EFE3D" w14:textId="71C4AC39" w:rsidR="00897CB4" w:rsidRDefault="00897CB4" w:rsidP="00EF2FFB">
      <w:pPr>
        <w:rPr>
          <w:lang w:val="tr-TR"/>
        </w:rPr>
      </w:pPr>
      <w:r>
        <w:rPr>
          <w:noProof/>
          <w:lang w:val="tr-TR"/>
        </w:rPr>
        <w:drawing>
          <wp:inline distT="0" distB="0" distL="0" distR="0" wp14:anchorId="2521D94F" wp14:editId="21100A82">
            <wp:extent cx="6645910" cy="3749040"/>
            <wp:effectExtent l="0" t="0" r="0" b="0"/>
            <wp:docPr id="1275152154" name="Picture 4"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152154" name="Picture 4" descr="A graph showing a li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645910" cy="3749040"/>
                    </a:xfrm>
                    <a:prstGeom prst="rect">
                      <a:avLst/>
                    </a:prstGeom>
                  </pic:spPr>
                </pic:pic>
              </a:graphicData>
            </a:graphic>
          </wp:inline>
        </w:drawing>
      </w:r>
    </w:p>
    <w:p w14:paraId="0291B971" w14:textId="77777777" w:rsidR="00897CB4" w:rsidRDefault="00897CB4" w:rsidP="00EF2FFB">
      <w:pPr>
        <w:rPr>
          <w:lang w:val="tr-TR"/>
        </w:rPr>
      </w:pPr>
    </w:p>
    <w:p w14:paraId="1458CE6B" w14:textId="77777777" w:rsidR="00897CB4" w:rsidRDefault="00897CB4" w:rsidP="00EF2FFB">
      <w:pPr>
        <w:rPr>
          <w:lang w:val="tr-TR"/>
        </w:rPr>
      </w:pPr>
    </w:p>
    <w:p w14:paraId="77448F57" w14:textId="678A58B9" w:rsidR="00897CB4" w:rsidRDefault="00897CB4" w:rsidP="00EF2FFB">
      <w:pPr>
        <w:rPr>
          <w:lang w:val="tr-TR"/>
        </w:rPr>
      </w:pPr>
      <w:r>
        <w:rPr>
          <w:lang w:val="tr-TR"/>
        </w:rPr>
        <w:t xml:space="preserve">Pozisyonlara detaylı bakınca da kimsenin </w:t>
      </w:r>
      <w:proofErr w:type="spellStart"/>
      <w:r>
        <w:rPr>
          <w:lang w:val="tr-TR"/>
        </w:rPr>
        <w:t>kobalt’tan</w:t>
      </w:r>
      <w:proofErr w:type="spellEnd"/>
      <w:r>
        <w:rPr>
          <w:lang w:val="tr-TR"/>
        </w:rPr>
        <w:t xml:space="preserve"> pek de ümitli olmadığı görülebilir. Lityumun yukarı doğru giden eğrisinin yanında, kobalt</w:t>
      </w:r>
      <w:r w:rsidR="00606149">
        <w:rPr>
          <w:lang w:val="tr-TR"/>
        </w:rPr>
        <w:t>ta bu fiyat seviyesinde</w:t>
      </w:r>
      <w:r w:rsidR="004401B4">
        <w:rPr>
          <w:lang w:val="tr-TR"/>
        </w:rPr>
        <w:t>,</w:t>
      </w:r>
      <w:r w:rsidR="00606149">
        <w:rPr>
          <w:lang w:val="tr-TR"/>
        </w:rPr>
        <w:t xml:space="preserve"> spekülatörler bile satış yapıp çıkmaktadır. </w:t>
      </w:r>
    </w:p>
    <w:p w14:paraId="458395C1" w14:textId="77777777" w:rsidR="00897CB4" w:rsidRDefault="00897CB4" w:rsidP="00EF2FFB">
      <w:pPr>
        <w:rPr>
          <w:lang w:val="tr-TR"/>
        </w:rPr>
      </w:pPr>
    </w:p>
    <w:p w14:paraId="12264238" w14:textId="60C71C88" w:rsidR="00897CB4" w:rsidRPr="00EF2FFB" w:rsidRDefault="00897CB4" w:rsidP="00EF2FFB">
      <w:pPr>
        <w:rPr>
          <w:lang w:val="tr-TR"/>
        </w:rPr>
      </w:pPr>
      <w:r>
        <w:rPr>
          <w:noProof/>
          <w:lang w:val="tr-TR"/>
        </w:rPr>
        <w:drawing>
          <wp:inline distT="0" distB="0" distL="0" distR="0" wp14:anchorId="519E8477" wp14:editId="4D751876">
            <wp:extent cx="6645910" cy="3636010"/>
            <wp:effectExtent l="0" t="0" r="0" b="0"/>
            <wp:docPr id="1879038090" name="Picture 5"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038090" name="Picture 5" descr="A graph with different colored lin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645910" cy="3636010"/>
                    </a:xfrm>
                    <a:prstGeom prst="rect">
                      <a:avLst/>
                    </a:prstGeom>
                  </pic:spPr>
                </pic:pic>
              </a:graphicData>
            </a:graphic>
          </wp:inline>
        </w:drawing>
      </w:r>
    </w:p>
    <w:sectPr w:rsidR="00897CB4" w:rsidRPr="00EF2FFB" w:rsidSect="00A13B31">
      <w:headerReference w:type="even" r:id="rId18"/>
      <w:headerReference w:type="default" r:id="rId19"/>
      <w:footerReference w:type="default" r:id="rId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E908BD" w14:textId="77777777" w:rsidR="000A7F65" w:rsidRDefault="000A7F65" w:rsidP="007D1DFA">
      <w:r>
        <w:separator/>
      </w:r>
    </w:p>
  </w:endnote>
  <w:endnote w:type="continuationSeparator" w:id="0">
    <w:p w14:paraId="7C53AEF6" w14:textId="77777777" w:rsidR="000A7F65" w:rsidRDefault="000A7F65" w:rsidP="007D1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07661077"/>
      <w:docPartObj>
        <w:docPartGallery w:val="Page Numbers (Top of Page)"/>
        <w:docPartUnique/>
      </w:docPartObj>
    </w:sdtPr>
    <w:sdtContent>
      <w:p w14:paraId="10A44B94" w14:textId="6ED09170" w:rsidR="00275B67" w:rsidRDefault="00275B67" w:rsidP="00275B67">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A388C2" w14:textId="77777777" w:rsidR="000A7F65" w:rsidRDefault="000A7F65" w:rsidP="007D1DFA">
      <w:r>
        <w:separator/>
      </w:r>
    </w:p>
  </w:footnote>
  <w:footnote w:type="continuationSeparator" w:id="0">
    <w:p w14:paraId="3D5D8DCA" w14:textId="77777777" w:rsidR="000A7F65" w:rsidRDefault="000A7F65" w:rsidP="007D1DFA">
      <w:r>
        <w:continuationSeparator/>
      </w:r>
    </w:p>
  </w:footnote>
  <w:footnote w:id="1">
    <w:p w14:paraId="48DAF9DB" w14:textId="53DCD4C5" w:rsidR="004721C8" w:rsidRPr="004721C8" w:rsidRDefault="004721C8">
      <w:pPr>
        <w:pStyle w:val="FootnoteText"/>
        <w:rPr>
          <w:lang w:val="tr-TR"/>
        </w:rPr>
      </w:pPr>
      <w:r>
        <w:rPr>
          <w:rStyle w:val="FootnoteReference"/>
        </w:rPr>
        <w:footnoteRef/>
      </w:r>
      <w:r>
        <w:t xml:space="preserve"> </w:t>
      </w:r>
      <w:r w:rsidRPr="004721C8">
        <w:t>http://www.gfex.com.cn/gfex/yshq1/yshq.shtml#tsl</w:t>
      </w:r>
    </w:p>
  </w:footnote>
  <w:footnote w:id="2">
    <w:p w14:paraId="56FB4EFF" w14:textId="08426A6E" w:rsidR="004401B4" w:rsidRPr="004401B4" w:rsidRDefault="004401B4">
      <w:pPr>
        <w:pStyle w:val="FootnoteText"/>
        <w:rPr>
          <w:lang w:val="tr-TR"/>
        </w:rPr>
      </w:pPr>
      <w:r>
        <w:rPr>
          <w:rStyle w:val="FootnoteReference"/>
        </w:rPr>
        <w:footnoteRef/>
      </w:r>
      <w:r>
        <w:t xml:space="preserve"> </w:t>
      </w:r>
      <w:r w:rsidRPr="004401B4">
        <w:t>https://www.cftc.gov/MarketReports/CommitmentsofTraders/index.htm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9911461"/>
      <w:docPartObj>
        <w:docPartGallery w:val="Page Numbers (Top of Page)"/>
        <w:docPartUnique/>
      </w:docPartObj>
    </w:sdtPr>
    <w:sdtContent>
      <w:p w14:paraId="71F3AAFD" w14:textId="3C5E3A75" w:rsidR="00275B67" w:rsidRDefault="00275B67" w:rsidP="000647F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70A69A" w14:textId="77777777" w:rsidR="00275B67" w:rsidRDefault="00275B67" w:rsidP="00275B6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9C83F" w14:textId="06638F92" w:rsidR="00275B67" w:rsidRPr="00275B67" w:rsidRDefault="00275B67" w:rsidP="00275B67">
    <w:pPr>
      <w:pStyle w:val="Header"/>
      <w:ind w:right="360"/>
      <w:rPr>
        <w:color w:val="D9D9D9" w:themeColor="background1" w:themeShade="D9"/>
        <w:lang w:val="tr-TR"/>
      </w:rPr>
    </w:pPr>
    <w:r w:rsidRPr="00275B67">
      <w:rPr>
        <w:color w:val="D9D9D9" w:themeColor="background1" w:themeShade="D9"/>
        <w:lang w:val="tr-TR"/>
      </w:rPr>
      <w:t>barissanli.com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F34A6"/>
    <w:multiLevelType w:val="hybridMultilevel"/>
    <w:tmpl w:val="DCFA0444"/>
    <w:lvl w:ilvl="0" w:tplc="72FA6602">
      <w:start w:val="202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837B68"/>
    <w:multiLevelType w:val="hybridMultilevel"/>
    <w:tmpl w:val="3D0443D4"/>
    <w:lvl w:ilvl="0" w:tplc="AC302D90">
      <w:start w:val="202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986457"/>
    <w:multiLevelType w:val="hybridMultilevel"/>
    <w:tmpl w:val="32A405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67550A"/>
    <w:multiLevelType w:val="hybridMultilevel"/>
    <w:tmpl w:val="8E2250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A145B3"/>
    <w:multiLevelType w:val="hybridMultilevel"/>
    <w:tmpl w:val="D8DE3D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954C98"/>
    <w:multiLevelType w:val="hybridMultilevel"/>
    <w:tmpl w:val="59EE7B5A"/>
    <w:lvl w:ilvl="0" w:tplc="838AB138">
      <w:start w:val="205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290B30"/>
    <w:multiLevelType w:val="hybridMultilevel"/>
    <w:tmpl w:val="DBF60A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A65435"/>
    <w:multiLevelType w:val="hybridMultilevel"/>
    <w:tmpl w:val="E6B2D5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60D281D"/>
    <w:multiLevelType w:val="hybridMultilevel"/>
    <w:tmpl w:val="3CA012D8"/>
    <w:lvl w:ilvl="0" w:tplc="4A32BB76">
      <w:start w:val="10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486794"/>
    <w:multiLevelType w:val="hybridMultilevel"/>
    <w:tmpl w:val="8330523E"/>
    <w:lvl w:ilvl="0" w:tplc="A906F02C">
      <w:start w:val="202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E17978"/>
    <w:multiLevelType w:val="hybridMultilevel"/>
    <w:tmpl w:val="ABB4C592"/>
    <w:lvl w:ilvl="0" w:tplc="E91A3AB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845668"/>
    <w:multiLevelType w:val="hybridMultilevel"/>
    <w:tmpl w:val="99D40710"/>
    <w:lvl w:ilvl="0" w:tplc="53D8F174">
      <w:start w:val="2023"/>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675A16"/>
    <w:multiLevelType w:val="hybridMultilevel"/>
    <w:tmpl w:val="A4106E82"/>
    <w:lvl w:ilvl="0" w:tplc="5F580F98">
      <w:start w:val="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9F842A1"/>
    <w:multiLevelType w:val="hybridMultilevel"/>
    <w:tmpl w:val="C56EC2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DE1393A"/>
    <w:multiLevelType w:val="hybridMultilevel"/>
    <w:tmpl w:val="05D04BA6"/>
    <w:lvl w:ilvl="0" w:tplc="15944D60">
      <w:start w:val="202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9C1C89"/>
    <w:multiLevelType w:val="hybridMultilevel"/>
    <w:tmpl w:val="FA5AEE2A"/>
    <w:lvl w:ilvl="0" w:tplc="A48CFED6">
      <w:start w:val="4549"/>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0B25015"/>
    <w:multiLevelType w:val="hybridMultilevel"/>
    <w:tmpl w:val="FEE65D44"/>
    <w:lvl w:ilvl="0" w:tplc="64EE9C1A">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1F708A"/>
    <w:multiLevelType w:val="hybridMultilevel"/>
    <w:tmpl w:val="14B4B5EC"/>
    <w:lvl w:ilvl="0" w:tplc="C48E0E62">
      <w:start w:val="202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3A91B13"/>
    <w:multiLevelType w:val="hybridMultilevel"/>
    <w:tmpl w:val="820A32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56C2349"/>
    <w:multiLevelType w:val="hybridMultilevel"/>
    <w:tmpl w:val="23FE54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5803E0F"/>
    <w:multiLevelType w:val="hybridMultilevel"/>
    <w:tmpl w:val="D6CE51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5CC1CDD"/>
    <w:multiLevelType w:val="hybridMultilevel"/>
    <w:tmpl w:val="DC7E74B8"/>
    <w:lvl w:ilvl="0" w:tplc="BB124CE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87A4208"/>
    <w:multiLevelType w:val="hybridMultilevel"/>
    <w:tmpl w:val="4FB095EA"/>
    <w:lvl w:ilvl="0" w:tplc="A476CBBA">
      <w:start w:val="26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9C71DFC"/>
    <w:multiLevelType w:val="hybridMultilevel"/>
    <w:tmpl w:val="4D62F976"/>
    <w:lvl w:ilvl="0" w:tplc="52F04A9A">
      <w:start w:val="202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A461F10"/>
    <w:multiLevelType w:val="hybridMultilevel"/>
    <w:tmpl w:val="15E088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A8C1634"/>
    <w:multiLevelType w:val="hybridMultilevel"/>
    <w:tmpl w:val="AF2CBA64"/>
    <w:lvl w:ilvl="0" w:tplc="43B618F4">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B3C0C6B"/>
    <w:multiLevelType w:val="hybridMultilevel"/>
    <w:tmpl w:val="CC8A7B54"/>
    <w:lvl w:ilvl="0" w:tplc="F378F5FE">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7812229">
    <w:abstractNumId w:val="14"/>
  </w:num>
  <w:num w:numId="2" w16cid:durableId="610629591">
    <w:abstractNumId w:val="0"/>
  </w:num>
  <w:num w:numId="3" w16cid:durableId="2093548848">
    <w:abstractNumId w:val="25"/>
  </w:num>
  <w:num w:numId="4" w16cid:durableId="1167669628">
    <w:abstractNumId w:val="26"/>
  </w:num>
  <w:num w:numId="5" w16cid:durableId="808984501">
    <w:abstractNumId w:val="8"/>
  </w:num>
  <w:num w:numId="6" w16cid:durableId="1499034170">
    <w:abstractNumId w:val="4"/>
  </w:num>
  <w:num w:numId="7" w16cid:durableId="1421491724">
    <w:abstractNumId w:val="24"/>
  </w:num>
  <w:num w:numId="8" w16cid:durableId="1269193211">
    <w:abstractNumId w:val="18"/>
  </w:num>
  <w:num w:numId="9" w16cid:durableId="1748526985">
    <w:abstractNumId w:val="16"/>
  </w:num>
  <w:num w:numId="10" w16cid:durableId="250431060">
    <w:abstractNumId w:val="3"/>
  </w:num>
  <w:num w:numId="11" w16cid:durableId="1166937591">
    <w:abstractNumId w:val="13"/>
  </w:num>
  <w:num w:numId="12" w16cid:durableId="1929583004">
    <w:abstractNumId w:val="2"/>
  </w:num>
  <w:num w:numId="13" w16cid:durableId="636836712">
    <w:abstractNumId w:val="17"/>
  </w:num>
  <w:num w:numId="14" w16cid:durableId="1657998968">
    <w:abstractNumId w:val="9"/>
  </w:num>
  <w:num w:numId="15" w16cid:durableId="1466047942">
    <w:abstractNumId w:val="10"/>
  </w:num>
  <w:num w:numId="16" w16cid:durableId="57676785">
    <w:abstractNumId w:val="5"/>
  </w:num>
  <w:num w:numId="17" w16cid:durableId="78915598">
    <w:abstractNumId w:val="1"/>
  </w:num>
  <w:num w:numId="18" w16cid:durableId="2120442536">
    <w:abstractNumId w:val="19"/>
  </w:num>
  <w:num w:numId="19" w16cid:durableId="469597947">
    <w:abstractNumId w:val="12"/>
  </w:num>
  <w:num w:numId="20" w16cid:durableId="181864343">
    <w:abstractNumId w:val="15"/>
  </w:num>
  <w:num w:numId="21" w16cid:durableId="230047569">
    <w:abstractNumId w:val="22"/>
  </w:num>
  <w:num w:numId="22" w16cid:durableId="2132168454">
    <w:abstractNumId w:val="20"/>
  </w:num>
  <w:num w:numId="23" w16cid:durableId="254245288">
    <w:abstractNumId w:val="6"/>
  </w:num>
  <w:num w:numId="24" w16cid:durableId="772630752">
    <w:abstractNumId w:val="11"/>
  </w:num>
  <w:num w:numId="25" w16cid:durableId="1238638771">
    <w:abstractNumId w:val="23"/>
  </w:num>
  <w:num w:numId="26" w16cid:durableId="707023052">
    <w:abstractNumId w:val="7"/>
  </w:num>
  <w:num w:numId="27" w16cid:durableId="182427830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467"/>
    <w:rsid w:val="000029A7"/>
    <w:rsid w:val="00004CDF"/>
    <w:rsid w:val="00006779"/>
    <w:rsid w:val="000136C5"/>
    <w:rsid w:val="000148E3"/>
    <w:rsid w:val="00024415"/>
    <w:rsid w:val="00032945"/>
    <w:rsid w:val="00033C7B"/>
    <w:rsid w:val="00035FEC"/>
    <w:rsid w:val="00040FBA"/>
    <w:rsid w:val="000622B5"/>
    <w:rsid w:val="00067814"/>
    <w:rsid w:val="0007528A"/>
    <w:rsid w:val="00081FC8"/>
    <w:rsid w:val="0008489B"/>
    <w:rsid w:val="00090CCB"/>
    <w:rsid w:val="0009280C"/>
    <w:rsid w:val="000A3376"/>
    <w:rsid w:val="000A5AD3"/>
    <w:rsid w:val="000A7F65"/>
    <w:rsid w:val="000B1C9D"/>
    <w:rsid w:val="000B303A"/>
    <w:rsid w:val="000B6631"/>
    <w:rsid w:val="000B73DD"/>
    <w:rsid w:val="000C0CEC"/>
    <w:rsid w:val="000C1ACF"/>
    <w:rsid w:val="000D279C"/>
    <w:rsid w:val="000D7101"/>
    <w:rsid w:val="001076B6"/>
    <w:rsid w:val="001109B6"/>
    <w:rsid w:val="00122B63"/>
    <w:rsid w:val="00125288"/>
    <w:rsid w:val="0012531F"/>
    <w:rsid w:val="001269AD"/>
    <w:rsid w:val="00130B57"/>
    <w:rsid w:val="001356B3"/>
    <w:rsid w:val="0014485D"/>
    <w:rsid w:val="001638AF"/>
    <w:rsid w:val="001713C7"/>
    <w:rsid w:val="00175DDA"/>
    <w:rsid w:val="00184F86"/>
    <w:rsid w:val="001B0AEE"/>
    <w:rsid w:val="001C021D"/>
    <w:rsid w:val="001C1BB2"/>
    <w:rsid w:val="001D3FA8"/>
    <w:rsid w:val="001D6422"/>
    <w:rsid w:val="001E5895"/>
    <w:rsid w:val="001F02DC"/>
    <w:rsid w:val="001F34B4"/>
    <w:rsid w:val="001F38AC"/>
    <w:rsid w:val="00200E70"/>
    <w:rsid w:val="00206A99"/>
    <w:rsid w:val="002145BA"/>
    <w:rsid w:val="00216D38"/>
    <w:rsid w:val="002259C6"/>
    <w:rsid w:val="002353B3"/>
    <w:rsid w:val="00241A92"/>
    <w:rsid w:val="00242852"/>
    <w:rsid w:val="00246E50"/>
    <w:rsid w:val="00257AA9"/>
    <w:rsid w:val="0026521A"/>
    <w:rsid w:val="00275B67"/>
    <w:rsid w:val="00286F85"/>
    <w:rsid w:val="00291EC5"/>
    <w:rsid w:val="002947E9"/>
    <w:rsid w:val="002A62BA"/>
    <w:rsid w:val="002B4720"/>
    <w:rsid w:val="002B4FDE"/>
    <w:rsid w:val="002B5CD0"/>
    <w:rsid w:val="002B77FD"/>
    <w:rsid w:val="002C362B"/>
    <w:rsid w:val="002E61BF"/>
    <w:rsid w:val="002F4D9C"/>
    <w:rsid w:val="002F6270"/>
    <w:rsid w:val="002F7113"/>
    <w:rsid w:val="002F79D3"/>
    <w:rsid w:val="00307732"/>
    <w:rsid w:val="00320934"/>
    <w:rsid w:val="00320C15"/>
    <w:rsid w:val="003324C4"/>
    <w:rsid w:val="00333780"/>
    <w:rsid w:val="00351143"/>
    <w:rsid w:val="00352626"/>
    <w:rsid w:val="00352A93"/>
    <w:rsid w:val="003641DE"/>
    <w:rsid w:val="003744CE"/>
    <w:rsid w:val="00377ADD"/>
    <w:rsid w:val="003820F7"/>
    <w:rsid w:val="00386C82"/>
    <w:rsid w:val="003911F7"/>
    <w:rsid w:val="003A03E9"/>
    <w:rsid w:val="003A1324"/>
    <w:rsid w:val="003A364D"/>
    <w:rsid w:val="003D1FA3"/>
    <w:rsid w:val="003D3126"/>
    <w:rsid w:val="003D3283"/>
    <w:rsid w:val="003D37CB"/>
    <w:rsid w:val="003D3849"/>
    <w:rsid w:val="003D4B29"/>
    <w:rsid w:val="003D58DA"/>
    <w:rsid w:val="003E3818"/>
    <w:rsid w:val="003F3FE6"/>
    <w:rsid w:val="003F4795"/>
    <w:rsid w:val="00401A65"/>
    <w:rsid w:val="004046CF"/>
    <w:rsid w:val="00423B19"/>
    <w:rsid w:val="00430D31"/>
    <w:rsid w:val="0043235B"/>
    <w:rsid w:val="004401B4"/>
    <w:rsid w:val="00441171"/>
    <w:rsid w:val="00441186"/>
    <w:rsid w:val="004514E9"/>
    <w:rsid w:val="0046414E"/>
    <w:rsid w:val="00464241"/>
    <w:rsid w:val="004649F8"/>
    <w:rsid w:val="00470257"/>
    <w:rsid w:val="004721C8"/>
    <w:rsid w:val="0048171D"/>
    <w:rsid w:val="00483CEE"/>
    <w:rsid w:val="00484563"/>
    <w:rsid w:val="00484710"/>
    <w:rsid w:val="00485418"/>
    <w:rsid w:val="004860A5"/>
    <w:rsid w:val="00492B6A"/>
    <w:rsid w:val="00493F02"/>
    <w:rsid w:val="004A0123"/>
    <w:rsid w:val="004A52E8"/>
    <w:rsid w:val="004A5405"/>
    <w:rsid w:val="004B03CC"/>
    <w:rsid w:val="004B122A"/>
    <w:rsid w:val="004B57B1"/>
    <w:rsid w:val="004C442F"/>
    <w:rsid w:val="004D6932"/>
    <w:rsid w:val="004E712E"/>
    <w:rsid w:val="004E777B"/>
    <w:rsid w:val="004F0936"/>
    <w:rsid w:val="004F21B2"/>
    <w:rsid w:val="004F4911"/>
    <w:rsid w:val="004F4E9D"/>
    <w:rsid w:val="00516365"/>
    <w:rsid w:val="00530DB4"/>
    <w:rsid w:val="005319D6"/>
    <w:rsid w:val="00535CC4"/>
    <w:rsid w:val="00542AE5"/>
    <w:rsid w:val="005717BC"/>
    <w:rsid w:val="00571AD5"/>
    <w:rsid w:val="0057413A"/>
    <w:rsid w:val="00580FCE"/>
    <w:rsid w:val="0059329A"/>
    <w:rsid w:val="005A1C4A"/>
    <w:rsid w:val="005A1DFF"/>
    <w:rsid w:val="005A6D5C"/>
    <w:rsid w:val="005B66FF"/>
    <w:rsid w:val="005C2D2D"/>
    <w:rsid w:val="005C7BCC"/>
    <w:rsid w:val="005D525F"/>
    <w:rsid w:val="005D6AC0"/>
    <w:rsid w:val="005D741A"/>
    <w:rsid w:val="005E479C"/>
    <w:rsid w:val="005E5642"/>
    <w:rsid w:val="005F6E26"/>
    <w:rsid w:val="00606149"/>
    <w:rsid w:val="00611749"/>
    <w:rsid w:val="00617919"/>
    <w:rsid w:val="00620673"/>
    <w:rsid w:val="00623206"/>
    <w:rsid w:val="00623212"/>
    <w:rsid w:val="00625BC6"/>
    <w:rsid w:val="006354B1"/>
    <w:rsid w:val="00636550"/>
    <w:rsid w:val="00641E3A"/>
    <w:rsid w:val="0064205D"/>
    <w:rsid w:val="00650164"/>
    <w:rsid w:val="006546DA"/>
    <w:rsid w:val="006616A0"/>
    <w:rsid w:val="00666869"/>
    <w:rsid w:val="00667D31"/>
    <w:rsid w:val="006707CA"/>
    <w:rsid w:val="00673DC2"/>
    <w:rsid w:val="00675D63"/>
    <w:rsid w:val="00676358"/>
    <w:rsid w:val="00683780"/>
    <w:rsid w:val="00685A8C"/>
    <w:rsid w:val="00685F75"/>
    <w:rsid w:val="006861F6"/>
    <w:rsid w:val="00691F47"/>
    <w:rsid w:val="00692232"/>
    <w:rsid w:val="00692D0C"/>
    <w:rsid w:val="00693A0D"/>
    <w:rsid w:val="006A6B2E"/>
    <w:rsid w:val="006C4EAB"/>
    <w:rsid w:val="006C6978"/>
    <w:rsid w:val="006C737C"/>
    <w:rsid w:val="006C77D8"/>
    <w:rsid w:val="006D3945"/>
    <w:rsid w:val="006D4CEB"/>
    <w:rsid w:val="006D56C8"/>
    <w:rsid w:val="006E4989"/>
    <w:rsid w:val="006F49B8"/>
    <w:rsid w:val="006F5CF0"/>
    <w:rsid w:val="00717D06"/>
    <w:rsid w:val="007358A5"/>
    <w:rsid w:val="00742870"/>
    <w:rsid w:val="00743D7F"/>
    <w:rsid w:val="007550F6"/>
    <w:rsid w:val="0076578B"/>
    <w:rsid w:val="00766E9F"/>
    <w:rsid w:val="007755F0"/>
    <w:rsid w:val="00777990"/>
    <w:rsid w:val="0078100A"/>
    <w:rsid w:val="007844E7"/>
    <w:rsid w:val="00786CE7"/>
    <w:rsid w:val="00786D24"/>
    <w:rsid w:val="007920C0"/>
    <w:rsid w:val="00792FD3"/>
    <w:rsid w:val="0079568F"/>
    <w:rsid w:val="007965DD"/>
    <w:rsid w:val="007A7FB2"/>
    <w:rsid w:val="007D1DE6"/>
    <w:rsid w:val="007D1DFA"/>
    <w:rsid w:val="007D201A"/>
    <w:rsid w:val="007D3598"/>
    <w:rsid w:val="007D6160"/>
    <w:rsid w:val="007D6BCB"/>
    <w:rsid w:val="007E16ED"/>
    <w:rsid w:val="007F100F"/>
    <w:rsid w:val="007F1480"/>
    <w:rsid w:val="007F6D6F"/>
    <w:rsid w:val="00801CFC"/>
    <w:rsid w:val="00814861"/>
    <w:rsid w:val="0081636F"/>
    <w:rsid w:val="00816A84"/>
    <w:rsid w:val="00823A8B"/>
    <w:rsid w:val="00831AB7"/>
    <w:rsid w:val="008332BD"/>
    <w:rsid w:val="00844BAD"/>
    <w:rsid w:val="00846224"/>
    <w:rsid w:val="0085099C"/>
    <w:rsid w:val="00851F5A"/>
    <w:rsid w:val="00866B31"/>
    <w:rsid w:val="0086713E"/>
    <w:rsid w:val="00883372"/>
    <w:rsid w:val="00884517"/>
    <w:rsid w:val="00890CAE"/>
    <w:rsid w:val="008925E2"/>
    <w:rsid w:val="0089518E"/>
    <w:rsid w:val="00897774"/>
    <w:rsid w:val="00897CB4"/>
    <w:rsid w:val="008A5239"/>
    <w:rsid w:val="008B593B"/>
    <w:rsid w:val="008B5993"/>
    <w:rsid w:val="008B6B85"/>
    <w:rsid w:val="008B7E94"/>
    <w:rsid w:val="008D0A01"/>
    <w:rsid w:val="008D1BED"/>
    <w:rsid w:val="008D44D4"/>
    <w:rsid w:val="008F299D"/>
    <w:rsid w:val="00904312"/>
    <w:rsid w:val="009043CD"/>
    <w:rsid w:val="00904905"/>
    <w:rsid w:val="00905045"/>
    <w:rsid w:val="00906723"/>
    <w:rsid w:val="00911E96"/>
    <w:rsid w:val="009237EA"/>
    <w:rsid w:val="00927F0E"/>
    <w:rsid w:val="00946774"/>
    <w:rsid w:val="00951848"/>
    <w:rsid w:val="009623A9"/>
    <w:rsid w:val="009650C4"/>
    <w:rsid w:val="00966395"/>
    <w:rsid w:val="009667B3"/>
    <w:rsid w:val="00976BAA"/>
    <w:rsid w:val="009862FC"/>
    <w:rsid w:val="009A02CB"/>
    <w:rsid w:val="009A0E5C"/>
    <w:rsid w:val="009A3CA1"/>
    <w:rsid w:val="009A4780"/>
    <w:rsid w:val="009B0012"/>
    <w:rsid w:val="009B0D3B"/>
    <w:rsid w:val="009B14A2"/>
    <w:rsid w:val="009C060D"/>
    <w:rsid w:val="009C0CD7"/>
    <w:rsid w:val="009C2E19"/>
    <w:rsid w:val="009E206F"/>
    <w:rsid w:val="009E3E23"/>
    <w:rsid w:val="009E6315"/>
    <w:rsid w:val="009E7E0A"/>
    <w:rsid w:val="009F01E9"/>
    <w:rsid w:val="009F24C2"/>
    <w:rsid w:val="00A03B94"/>
    <w:rsid w:val="00A074D0"/>
    <w:rsid w:val="00A07F49"/>
    <w:rsid w:val="00A12129"/>
    <w:rsid w:val="00A13B31"/>
    <w:rsid w:val="00A17467"/>
    <w:rsid w:val="00A220E2"/>
    <w:rsid w:val="00A338F5"/>
    <w:rsid w:val="00A534A5"/>
    <w:rsid w:val="00A53E94"/>
    <w:rsid w:val="00A63E8A"/>
    <w:rsid w:val="00A6516A"/>
    <w:rsid w:val="00A8050F"/>
    <w:rsid w:val="00A868BF"/>
    <w:rsid w:val="00A87DC7"/>
    <w:rsid w:val="00A90051"/>
    <w:rsid w:val="00A93D66"/>
    <w:rsid w:val="00A94B76"/>
    <w:rsid w:val="00A96D4C"/>
    <w:rsid w:val="00AA4E89"/>
    <w:rsid w:val="00AB538A"/>
    <w:rsid w:val="00AC7306"/>
    <w:rsid w:val="00AD3DE4"/>
    <w:rsid w:val="00AD78A0"/>
    <w:rsid w:val="00AE027B"/>
    <w:rsid w:val="00AE7F6C"/>
    <w:rsid w:val="00AF286F"/>
    <w:rsid w:val="00B00970"/>
    <w:rsid w:val="00B03A86"/>
    <w:rsid w:val="00B0708A"/>
    <w:rsid w:val="00B119AE"/>
    <w:rsid w:val="00B1281E"/>
    <w:rsid w:val="00B12A31"/>
    <w:rsid w:val="00B1537E"/>
    <w:rsid w:val="00B20668"/>
    <w:rsid w:val="00B21605"/>
    <w:rsid w:val="00B369ED"/>
    <w:rsid w:val="00B44781"/>
    <w:rsid w:val="00B47C2E"/>
    <w:rsid w:val="00B52238"/>
    <w:rsid w:val="00B652AF"/>
    <w:rsid w:val="00B80177"/>
    <w:rsid w:val="00B81078"/>
    <w:rsid w:val="00B82624"/>
    <w:rsid w:val="00B90131"/>
    <w:rsid w:val="00B91F7E"/>
    <w:rsid w:val="00BA04B7"/>
    <w:rsid w:val="00BA4108"/>
    <w:rsid w:val="00BA4308"/>
    <w:rsid w:val="00BA5DD6"/>
    <w:rsid w:val="00BA5F7D"/>
    <w:rsid w:val="00BB7A7A"/>
    <w:rsid w:val="00BD4571"/>
    <w:rsid w:val="00BE13B8"/>
    <w:rsid w:val="00BE6310"/>
    <w:rsid w:val="00BE79D1"/>
    <w:rsid w:val="00BF2EC5"/>
    <w:rsid w:val="00C00169"/>
    <w:rsid w:val="00C025F9"/>
    <w:rsid w:val="00C12644"/>
    <w:rsid w:val="00C228AB"/>
    <w:rsid w:val="00C22D13"/>
    <w:rsid w:val="00C33410"/>
    <w:rsid w:val="00C34BDE"/>
    <w:rsid w:val="00C3599A"/>
    <w:rsid w:val="00C43FA0"/>
    <w:rsid w:val="00C45A3C"/>
    <w:rsid w:val="00C46DAF"/>
    <w:rsid w:val="00C53D3A"/>
    <w:rsid w:val="00C600F6"/>
    <w:rsid w:val="00C62B89"/>
    <w:rsid w:val="00C811BC"/>
    <w:rsid w:val="00C870CF"/>
    <w:rsid w:val="00C87CD8"/>
    <w:rsid w:val="00CA31A4"/>
    <w:rsid w:val="00CA788A"/>
    <w:rsid w:val="00CB2D67"/>
    <w:rsid w:val="00CB41F3"/>
    <w:rsid w:val="00CB7DC2"/>
    <w:rsid w:val="00CC484C"/>
    <w:rsid w:val="00CC4A5D"/>
    <w:rsid w:val="00CD31E8"/>
    <w:rsid w:val="00CE116C"/>
    <w:rsid w:val="00CE15EA"/>
    <w:rsid w:val="00CE4B88"/>
    <w:rsid w:val="00CF10F1"/>
    <w:rsid w:val="00D0356E"/>
    <w:rsid w:val="00D05715"/>
    <w:rsid w:val="00D1588F"/>
    <w:rsid w:val="00D16082"/>
    <w:rsid w:val="00D171E5"/>
    <w:rsid w:val="00D23BDA"/>
    <w:rsid w:val="00D243AC"/>
    <w:rsid w:val="00D25194"/>
    <w:rsid w:val="00D34449"/>
    <w:rsid w:val="00D36F36"/>
    <w:rsid w:val="00D5724D"/>
    <w:rsid w:val="00D6098B"/>
    <w:rsid w:val="00D62BB8"/>
    <w:rsid w:val="00D63D63"/>
    <w:rsid w:val="00DA1A98"/>
    <w:rsid w:val="00DA630A"/>
    <w:rsid w:val="00DB2483"/>
    <w:rsid w:val="00DB33F6"/>
    <w:rsid w:val="00DB7E58"/>
    <w:rsid w:val="00DC58A1"/>
    <w:rsid w:val="00DC62EA"/>
    <w:rsid w:val="00DD0A20"/>
    <w:rsid w:val="00DD2FF7"/>
    <w:rsid w:val="00DE4DAA"/>
    <w:rsid w:val="00DE6BA8"/>
    <w:rsid w:val="00DF5ACA"/>
    <w:rsid w:val="00DF6F90"/>
    <w:rsid w:val="00E048DC"/>
    <w:rsid w:val="00E1624C"/>
    <w:rsid w:val="00E16D52"/>
    <w:rsid w:val="00E20F4B"/>
    <w:rsid w:val="00E23843"/>
    <w:rsid w:val="00E42BB9"/>
    <w:rsid w:val="00E4650B"/>
    <w:rsid w:val="00E646C2"/>
    <w:rsid w:val="00E72518"/>
    <w:rsid w:val="00E7436D"/>
    <w:rsid w:val="00E74F21"/>
    <w:rsid w:val="00E9308D"/>
    <w:rsid w:val="00E93D97"/>
    <w:rsid w:val="00EA6294"/>
    <w:rsid w:val="00EB4626"/>
    <w:rsid w:val="00EB77E3"/>
    <w:rsid w:val="00EC15F8"/>
    <w:rsid w:val="00EC3B9E"/>
    <w:rsid w:val="00ED0B4D"/>
    <w:rsid w:val="00ED1134"/>
    <w:rsid w:val="00ED175D"/>
    <w:rsid w:val="00ED6972"/>
    <w:rsid w:val="00EE0286"/>
    <w:rsid w:val="00EF2F04"/>
    <w:rsid w:val="00EF2FFB"/>
    <w:rsid w:val="00F0089F"/>
    <w:rsid w:val="00F01CD5"/>
    <w:rsid w:val="00F04C20"/>
    <w:rsid w:val="00F07F89"/>
    <w:rsid w:val="00F15DE3"/>
    <w:rsid w:val="00F178CA"/>
    <w:rsid w:val="00F2229D"/>
    <w:rsid w:val="00F23463"/>
    <w:rsid w:val="00F2365A"/>
    <w:rsid w:val="00F239D3"/>
    <w:rsid w:val="00F36A25"/>
    <w:rsid w:val="00F42B50"/>
    <w:rsid w:val="00F434D2"/>
    <w:rsid w:val="00F52031"/>
    <w:rsid w:val="00F563E5"/>
    <w:rsid w:val="00F70BFC"/>
    <w:rsid w:val="00F72284"/>
    <w:rsid w:val="00F7588D"/>
    <w:rsid w:val="00F768B7"/>
    <w:rsid w:val="00F76A13"/>
    <w:rsid w:val="00F81A9A"/>
    <w:rsid w:val="00F83092"/>
    <w:rsid w:val="00F83221"/>
    <w:rsid w:val="00F833B7"/>
    <w:rsid w:val="00F83E6A"/>
    <w:rsid w:val="00F85774"/>
    <w:rsid w:val="00F96DA1"/>
    <w:rsid w:val="00FA2900"/>
    <w:rsid w:val="00FC470E"/>
    <w:rsid w:val="00FC4CB3"/>
    <w:rsid w:val="00FD07B6"/>
    <w:rsid w:val="00FD183F"/>
    <w:rsid w:val="00FD3425"/>
    <w:rsid w:val="00FD7A36"/>
    <w:rsid w:val="00FE0142"/>
    <w:rsid w:val="00FF51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7DC7E"/>
  <w15:chartTrackingRefBased/>
  <w15:docId w15:val="{376941AA-7B19-AD48-A918-8F70F983D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4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74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74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74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74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746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46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46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46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4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74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74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74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74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74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4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4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467"/>
    <w:rPr>
      <w:rFonts w:eastAsiaTheme="majorEastAsia" w:cstheme="majorBidi"/>
      <w:color w:val="272727" w:themeColor="text1" w:themeTint="D8"/>
    </w:rPr>
  </w:style>
  <w:style w:type="paragraph" w:styleId="Title">
    <w:name w:val="Title"/>
    <w:basedOn w:val="Normal"/>
    <w:next w:val="Normal"/>
    <w:link w:val="TitleChar"/>
    <w:uiPriority w:val="10"/>
    <w:qFormat/>
    <w:rsid w:val="00A174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4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46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4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46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17467"/>
    <w:rPr>
      <w:i/>
      <w:iCs/>
      <w:color w:val="404040" w:themeColor="text1" w:themeTint="BF"/>
    </w:rPr>
  </w:style>
  <w:style w:type="paragraph" w:styleId="ListParagraph">
    <w:name w:val="List Paragraph"/>
    <w:basedOn w:val="Normal"/>
    <w:uiPriority w:val="34"/>
    <w:qFormat/>
    <w:rsid w:val="00A17467"/>
    <w:pPr>
      <w:ind w:left="720"/>
      <w:contextualSpacing/>
    </w:pPr>
  </w:style>
  <w:style w:type="character" w:styleId="IntenseEmphasis">
    <w:name w:val="Intense Emphasis"/>
    <w:basedOn w:val="DefaultParagraphFont"/>
    <w:uiPriority w:val="21"/>
    <w:qFormat/>
    <w:rsid w:val="00A17467"/>
    <w:rPr>
      <w:i/>
      <w:iCs/>
      <w:color w:val="0F4761" w:themeColor="accent1" w:themeShade="BF"/>
    </w:rPr>
  </w:style>
  <w:style w:type="paragraph" w:styleId="IntenseQuote">
    <w:name w:val="Intense Quote"/>
    <w:basedOn w:val="Normal"/>
    <w:next w:val="Normal"/>
    <w:link w:val="IntenseQuoteChar"/>
    <w:uiPriority w:val="30"/>
    <w:qFormat/>
    <w:rsid w:val="00A174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7467"/>
    <w:rPr>
      <w:i/>
      <w:iCs/>
      <w:color w:val="0F4761" w:themeColor="accent1" w:themeShade="BF"/>
    </w:rPr>
  </w:style>
  <w:style w:type="character" w:styleId="IntenseReference">
    <w:name w:val="Intense Reference"/>
    <w:basedOn w:val="DefaultParagraphFont"/>
    <w:uiPriority w:val="32"/>
    <w:qFormat/>
    <w:rsid w:val="00A17467"/>
    <w:rPr>
      <w:b/>
      <w:bCs/>
      <w:smallCaps/>
      <w:color w:val="0F4761" w:themeColor="accent1" w:themeShade="BF"/>
      <w:spacing w:val="5"/>
    </w:rPr>
  </w:style>
  <w:style w:type="paragraph" w:styleId="FootnoteText">
    <w:name w:val="footnote text"/>
    <w:basedOn w:val="Normal"/>
    <w:link w:val="FootnoteTextChar"/>
    <w:uiPriority w:val="99"/>
    <w:semiHidden/>
    <w:unhideWhenUsed/>
    <w:rsid w:val="007D1DFA"/>
    <w:rPr>
      <w:sz w:val="20"/>
      <w:szCs w:val="20"/>
    </w:rPr>
  </w:style>
  <w:style w:type="character" w:customStyle="1" w:styleId="FootnoteTextChar">
    <w:name w:val="Footnote Text Char"/>
    <w:basedOn w:val="DefaultParagraphFont"/>
    <w:link w:val="FootnoteText"/>
    <w:uiPriority w:val="99"/>
    <w:semiHidden/>
    <w:rsid w:val="007D1DFA"/>
    <w:rPr>
      <w:sz w:val="20"/>
      <w:szCs w:val="20"/>
    </w:rPr>
  </w:style>
  <w:style w:type="character" w:styleId="FootnoteReference">
    <w:name w:val="footnote reference"/>
    <w:basedOn w:val="DefaultParagraphFont"/>
    <w:uiPriority w:val="99"/>
    <w:semiHidden/>
    <w:unhideWhenUsed/>
    <w:rsid w:val="007D1DFA"/>
    <w:rPr>
      <w:vertAlign w:val="superscript"/>
    </w:rPr>
  </w:style>
  <w:style w:type="character" w:styleId="Hyperlink">
    <w:name w:val="Hyperlink"/>
    <w:basedOn w:val="DefaultParagraphFont"/>
    <w:uiPriority w:val="99"/>
    <w:unhideWhenUsed/>
    <w:rsid w:val="00F15DE3"/>
    <w:rPr>
      <w:color w:val="467886" w:themeColor="hyperlink"/>
      <w:u w:val="single"/>
    </w:rPr>
  </w:style>
  <w:style w:type="character" w:styleId="UnresolvedMention">
    <w:name w:val="Unresolved Mention"/>
    <w:basedOn w:val="DefaultParagraphFont"/>
    <w:uiPriority w:val="99"/>
    <w:semiHidden/>
    <w:unhideWhenUsed/>
    <w:rsid w:val="00F15DE3"/>
    <w:rPr>
      <w:color w:val="605E5C"/>
      <w:shd w:val="clear" w:color="auto" w:fill="E1DFDD"/>
    </w:rPr>
  </w:style>
  <w:style w:type="paragraph" w:styleId="Header">
    <w:name w:val="header"/>
    <w:basedOn w:val="Normal"/>
    <w:link w:val="HeaderChar"/>
    <w:uiPriority w:val="99"/>
    <w:unhideWhenUsed/>
    <w:rsid w:val="00275B67"/>
    <w:pPr>
      <w:tabs>
        <w:tab w:val="center" w:pos="4513"/>
        <w:tab w:val="right" w:pos="9026"/>
      </w:tabs>
    </w:pPr>
  </w:style>
  <w:style w:type="character" w:customStyle="1" w:styleId="HeaderChar">
    <w:name w:val="Header Char"/>
    <w:basedOn w:val="DefaultParagraphFont"/>
    <w:link w:val="Header"/>
    <w:uiPriority w:val="99"/>
    <w:rsid w:val="00275B67"/>
  </w:style>
  <w:style w:type="paragraph" w:styleId="Footer">
    <w:name w:val="footer"/>
    <w:basedOn w:val="Normal"/>
    <w:link w:val="FooterChar"/>
    <w:uiPriority w:val="99"/>
    <w:unhideWhenUsed/>
    <w:rsid w:val="00275B67"/>
    <w:pPr>
      <w:tabs>
        <w:tab w:val="center" w:pos="4513"/>
        <w:tab w:val="right" w:pos="9026"/>
      </w:tabs>
    </w:pPr>
  </w:style>
  <w:style w:type="character" w:customStyle="1" w:styleId="FooterChar">
    <w:name w:val="Footer Char"/>
    <w:basedOn w:val="DefaultParagraphFont"/>
    <w:link w:val="Footer"/>
    <w:uiPriority w:val="99"/>
    <w:rsid w:val="00275B67"/>
  </w:style>
  <w:style w:type="character" w:styleId="PageNumber">
    <w:name w:val="page number"/>
    <w:basedOn w:val="DefaultParagraphFont"/>
    <w:uiPriority w:val="99"/>
    <w:semiHidden/>
    <w:unhideWhenUsed/>
    <w:rsid w:val="00275B67"/>
  </w:style>
  <w:style w:type="paragraph" w:styleId="NormalWeb">
    <w:name w:val="Normal (Web)"/>
    <w:basedOn w:val="Normal"/>
    <w:uiPriority w:val="99"/>
    <w:semiHidden/>
    <w:unhideWhenUsed/>
    <w:rsid w:val="008332BD"/>
    <w:pPr>
      <w:spacing w:before="100" w:beforeAutospacing="1" w:after="100" w:afterAutospacing="1"/>
    </w:pPr>
    <w:rPr>
      <w:rFonts w:ascii="Times New Roman" w:eastAsia="Times New Roman" w:hAnsi="Times New Roman" w:cs="Times New Roman"/>
      <w:kern w:val="0"/>
      <w:lang w:eastAsia="en-GB"/>
      <w14:ligatures w14:val="none"/>
    </w:rPr>
  </w:style>
  <w:style w:type="paragraph" w:styleId="Caption">
    <w:name w:val="caption"/>
    <w:basedOn w:val="Normal"/>
    <w:next w:val="Normal"/>
    <w:uiPriority w:val="35"/>
    <w:unhideWhenUsed/>
    <w:qFormat/>
    <w:rsid w:val="006D3945"/>
    <w:pPr>
      <w:spacing w:after="200"/>
    </w:pPr>
    <w:rPr>
      <w:i/>
      <w:iCs/>
      <w:color w:val="0E2841" w:themeColor="text2"/>
      <w:sz w:val="18"/>
      <w:szCs w:val="18"/>
    </w:rPr>
  </w:style>
  <w:style w:type="table" w:styleId="GridTable1Light">
    <w:name w:val="Grid Table 1 Light"/>
    <w:basedOn w:val="TableNormal"/>
    <w:uiPriority w:val="46"/>
    <w:rsid w:val="00535CC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A13B3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3235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80FC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122B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6516A"/>
    <w:rPr>
      <w:color w:val="96607D" w:themeColor="followedHyperlink"/>
      <w:u w:val="single"/>
    </w:rPr>
  </w:style>
  <w:style w:type="paragraph" w:customStyle="1" w:styleId="p1">
    <w:name w:val="p1"/>
    <w:basedOn w:val="Normal"/>
    <w:rsid w:val="00EF2FFB"/>
    <w:rPr>
      <w:rFonts w:ascii="Helvetica" w:eastAsia="Times New Roman" w:hAnsi="Helvetica" w:cs="Times New Roman"/>
      <w:color w:val="000000"/>
      <w:kern w:val="0"/>
      <w:sz w:val="18"/>
      <w:szCs w:val="18"/>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91247">
      <w:bodyDiv w:val="1"/>
      <w:marLeft w:val="0"/>
      <w:marRight w:val="0"/>
      <w:marTop w:val="0"/>
      <w:marBottom w:val="0"/>
      <w:divBdr>
        <w:top w:val="none" w:sz="0" w:space="0" w:color="auto"/>
        <w:left w:val="none" w:sz="0" w:space="0" w:color="auto"/>
        <w:bottom w:val="none" w:sz="0" w:space="0" w:color="auto"/>
        <w:right w:val="none" w:sz="0" w:space="0" w:color="auto"/>
      </w:divBdr>
    </w:div>
    <w:div w:id="37752129">
      <w:bodyDiv w:val="1"/>
      <w:marLeft w:val="0"/>
      <w:marRight w:val="0"/>
      <w:marTop w:val="0"/>
      <w:marBottom w:val="0"/>
      <w:divBdr>
        <w:top w:val="none" w:sz="0" w:space="0" w:color="auto"/>
        <w:left w:val="none" w:sz="0" w:space="0" w:color="auto"/>
        <w:bottom w:val="none" w:sz="0" w:space="0" w:color="auto"/>
        <w:right w:val="none" w:sz="0" w:space="0" w:color="auto"/>
      </w:divBdr>
    </w:div>
    <w:div w:id="64960875">
      <w:bodyDiv w:val="1"/>
      <w:marLeft w:val="0"/>
      <w:marRight w:val="0"/>
      <w:marTop w:val="0"/>
      <w:marBottom w:val="0"/>
      <w:divBdr>
        <w:top w:val="none" w:sz="0" w:space="0" w:color="auto"/>
        <w:left w:val="none" w:sz="0" w:space="0" w:color="auto"/>
        <w:bottom w:val="none" w:sz="0" w:space="0" w:color="auto"/>
        <w:right w:val="none" w:sz="0" w:space="0" w:color="auto"/>
      </w:divBdr>
    </w:div>
    <w:div w:id="118575596">
      <w:bodyDiv w:val="1"/>
      <w:marLeft w:val="0"/>
      <w:marRight w:val="0"/>
      <w:marTop w:val="0"/>
      <w:marBottom w:val="0"/>
      <w:divBdr>
        <w:top w:val="none" w:sz="0" w:space="0" w:color="auto"/>
        <w:left w:val="none" w:sz="0" w:space="0" w:color="auto"/>
        <w:bottom w:val="none" w:sz="0" w:space="0" w:color="auto"/>
        <w:right w:val="none" w:sz="0" w:space="0" w:color="auto"/>
      </w:divBdr>
    </w:div>
    <w:div w:id="155734509">
      <w:bodyDiv w:val="1"/>
      <w:marLeft w:val="0"/>
      <w:marRight w:val="0"/>
      <w:marTop w:val="0"/>
      <w:marBottom w:val="0"/>
      <w:divBdr>
        <w:top w:val="none" w:sz="0" w:space="0" w:color="auto"/>
        <w:left w:val="none" w:sz="0" w:space="0" w:color="auto"/>
        <w:bottom w:val="none" w:sz="0" w:space="0" w:color="auto"/>
        <w:right w:val="none" w:sz="0" w:space="0" w:color="auto"/>
      </w:divBdr>
    </w:div>
    <w:div w:id="180046003">
      <w:bodyDiv w:val="1"/>
      <w:marLeft w:val="0"/>
      <w:marRight w:val="0"/>
      <w:marTop w:val="0"/>
      <w:marBottom w:val="0"/>
      <w:divBdr>
        <w:top w:val="none" w:sz="0" w:space="0" w:color="auto"/>
        <w:left w:val="none" w:sz="0" w:space="0" w:color="auto"/>
        <w:bottom w:val="none" w:sz="0" w:space="0" w:color="auto"/>
        <w:right w:val="none" w:sz="0" w:space="0" w:color="auto"/>
      </w:divBdr>
    </w:div>
    <w:div w:id="225144331">
      <w:bodyDiv w:val="1"/>
      <w:marLeft w:val="0"/>
      <w:marRight w:val="0"/>
      <w:marTop w:val="0"/>
      <w:marBottom w:val="0"/>
      <w:divBdr>
        <w:top w:val="none" w:sz="0" w:space="0" w:color="auto"/>
        <w:left w:val="none" w:sz="0" w:space="0" w:color="auto"/>
        <w:bottom w:val="none" w:sz="0" w:space="0" w:color="auto"/>
        <w:right w:val="none" w:sz="0" w:space="0" w:color="auto"/>
      </w:divBdr>
    </w:div>
    <w:div w:id="230194020">
      <w:bodyDiv w:val="1"/>
      <w:marLeft w:val="0"/>
      <w:marRight w:val="0"/>
      <w:marTop w:val="0"/>
      <w:marBottom w:val="0"/>
      <w:divBdr>
        <w:top w:val="none" w:sz="0" w:space="0" w:color="auto"/>
        <w:left w:val="none" w:sz="0" w:space="0" w:color="auto"/>
        <w:bottom w:val="none" w:sz="0" w:space="0" w:color="auto"/>
        <w:right w:val="none" w:sz="0" w:space="0" w:color="auto"/>
      </w:divBdr>
    </w:div>
    <w:div w:id="275523682">
      <w:bodyDiv w:val="1"/>
      <w:marLeft w:val="0"/>
      <w:marRight w:val="0"/>
      <w:marTop w:val="0"/>
      <w:marBottom w:val="0"/>
      <w:divBdr>
        <w:top w:val="none" w:sz="0" w:space="0" w:color="auto"/>
        <w:left w:val="none" w:sz="0" w:space="0" w:color="auto"/>
        <w:bottom w:val="none" w:sz="0" w:space="0" w:color="auto"/>
        <w:right w:val="none" w:sz="0" w:space="0" w:color="auto"/>
      </w:divBdr>
    </w:div>
    <w:div w:id="370694724">
      <w:bodyDiv w:val="1"/>
      <w:marLeft w:val="0"/>
      <w:marRight w:val="0"/>
      <w:marTop w:val="0"/>
      <w:marBottom w:val="0"/>
      <w:divBdr>
        <w:top w:val="none" w:sz="0" w:space="0" w:color="auto"/>
        <w:left w:val="none" w:sz="0" w:space="0" w:color="auto"/>
        <w:bottom w:val="none" w:sz="0" w:space="0" w:color="auto"/>
        <w:right w:val="none" w:sz="0" w:space="0" w:color="auto"/>
      </w:divBdr>
    </w:div>
    <w:div w:id="387727860">
      <w:bodyDiv w:val="1"/>
      <w:marLeft w:val="0"/>
      <w:marRight w:val="0"/>
      <w:marTop w:val="0"/>
      <w:marBottom w:val="0"/>
      <w:divBdr>
        <w:top w:val="none" w:sz="0" w:space="0" w:color="auto"/>
        <w:left w:val="none" w:sz="0" w:space="0" w:color="auto"/>
        <w:bottom w:val="none" w:sz="0" w:space="0" w:color="auto"/>
        <w:right w:val="none" w:sz="0" w:space="0" w:color="auto"/>
      </w:divBdr>
    </w:div>
    <w:div w:id="443961079">
      <w:bodyDiv w:val="1"/>
      <w:marLeft w:val="0"/>
      <w:marRight w:val="0"/>
      <w:marTop w:val="0"/>
      <w:marBottom w:val="0"/>
      <w:divBdr>
        <w:top w:val="none" w:sz="0" w:space="0" w:color="auto"/>
        <w:left w:val="none" w:sz="0" w:space="0" w:color="auto"/>
        <w:bottom w:val="none" w:sz="0" w:space="0" w:color="auto"/>
        <w:right w:val="none" w:sz="0" w:space="0" w:color="auto"/>
      </w:divBdr>
    </w:div>
    <w:div w:id="491069455">
      <w:bodyDiv w:val="1"/>
      <w:marLeft w:val="0"/>
      <w:marRight w:val="0"/>
      <w:marTop w:val="0"/>
      <w:marBottom w:val="0"/>
      <w:divBdr>
        <w:top w:val="none" w:sz="0" w:space="0" w:color="auto"/>
        <w:left w:val="none" w:sz="0" w:space="0" w:color="auto"/>
        <w:bottom w:val="none" w:sz="0" w:space="0" w:color="auto"/>
        <w:right w:val="none" w:sz="0" w:space="0" w:color="auto"/>
      </w:divBdr>
    </w:div>
    <w:div w:id="563838839">
      <w:bodyDiv w:val="1"/>
      <w:marLeft w:val="0"/>
      <w:marRight w:val="0"/>
      <w:marTop w:val="0"/>
      <w:marBottom w:val="0"/>
      <w:divBdr>
        <w:top w:val="none" w:sz="0" w:space="0" w:color="auto"/>
        <w:left w:val="none" w:sz="0" w:space="0" w:color="auto"/>
        <w:bottom w:val="none" w:sz="0" w:space="0" w:color="auto"/>
        <w:right w:val="none" w:sz="0" w:space="0" w:color="auto"/>
      </w:divBdr>
    </w:div>
    <w:div w:id="599263445">
      <w:bodyDiv w:val="1"/>
      <w:marLeft w:val="0"/>
      <w:marRight w:val="0"/>
      <w:marTop w:val="0"/>
      <w:marBottom w:val="0"/>
      <w:divBdr>
        <w:top w:val="none" w:sz="0" w:space="0" w:color="auto"/>
        <w:left w:val="none" w:sz="0" w:space="0" w:color="auto"/>
        <w:bottom w:val="none" w:sz="0" w:space="0" w:color="auto"/>
        <w:right w:val="none" w:sz="0" w:space="0" w:color="auto"/>
      </w:divBdr>
    </w:div>
    <w:div w:id="632443319">
      <w:bodyDiv w:val="1"/>
      <w:marLeft w:val="0"/>
      <w:marRight w:val="0"/>
      <w:marTop w:val="0"/>
      <w:marBottom w:val="0"/>
      <w:divBdr>
        <w:top w:val="none" w:sz="0" w:space="0" w:color="auto"/>
        <w:left w:val="none" w:sz="0" w:space="0" w:color="auto"/>
        <w:bottom w:val="none" w:sz="0" w:space="0" w:color="auto"/>
        <w:right w:val="none" w:sz="0" w:space="0" w:color="auto"/>
      </w:divBdr>
    </w:div>
    <w:div w:id="644817816">
      <w:bodyDiv w:val="1"/>
      <w:marLeft w:val="0"/>
      <w:marRight w:val="0"/>
      <w:marTop w:val="0"/>
      <w:marBottom w:val="0"/>
      <w:divBdr>
        <w:top w:val="none" w:sz="0" w:space="0" w:color="auto"/>
        <w:left w:val="none" w:sz="0" w:space="0" w:color="auto"/>
        <w:bottom w:val="none" w:sz="0" w:space="0" w:color="auto"/>
        <w:right w:val="none" w:sz="0" w:space="0" w:color="auto"/>
      </w:divBdr>
    </w:div>
    <w:div w:id="672488804">
      <w:bodyDiv w:val="1"/>
      <w:marLeft w:val="0"/>
      <w:marRight w:val="0"/>
      <w:marTop w:val="0"/>
      <w:marBottom w:val="0"/>
      <w:divBdr>
        <w:top w:val="none" w:sz="0" w:space="0" w:color="auto"/>
        <w:left w:val="none" w:sz="0" w:space="0" w:color="auto"/>
        <w:bottom w:val="none" w:sz="0" w:space="0" w:color="auto"/>
        <w:right w:val="none" w:sz="0" w:space="0" w:color="auto"/>
      </w:divBdr>
    </w:div>
    <w:div w:id="709493095">
      <w:bodyDiv w:val="1"/>
      <w:marLeft w:val="0"/>
      <w:marRight w:val="0"/>
      <w:marTop w:val="0"/>
      <w:marBottom w:val="0"/>
      <w:divBdr>
        <w:top w:val="none" w:sz="0" w:space="0" w:color="auto"/>
        <w:left w:val="none" w:sz="0" w:space="0" w:color="auto"/>
        <w:bottom w:val="none" w:sz="0" w:space="0" w:color="auto"/>
        <w:right w:val="none" w:sz="0" w:space="0" w:color="auto"/>
      </w:divBdr>
    </w:div>
    <w:div w:id="728726715">
      <w:bodyDiv w:val="1"/>
      <w:marLeft w:val="0"/>
      <w:marRight w:val="0"/>
      <w:marTop w:val="0"/>
      <w:marBottom w:val="0"/>
      <w:divBdr>
        <w:top w:val="none" w:sz="0" w:space="0" w:color="auto"/>
        <w:left w:val="none" w:sz="0" w:space="0" w:color="auto"/>
        <w:bottom w:val="none" w:sz="0" w:space="0" w:color="auto"/>
        <w:right w:val="none" w:sz="0" w:space="0" w:color="auto"/>
      </w:divBdr>
    </w:div>
    <w:div w:id="731003263">
      <w:bodyDiv w:val="1"/>
      <w:marLeft w:val="0"/>
      <w:marRight w:val="0"/>
      <w:marTop w:val="0"/>
      <w:marBottom w:val="0"/>
      <w:divBdr>
        <w:top w:val="none" w:sz="0" w:space="0" w:color="auto"/>
        <w:left w:val="none" w:sz="0" w:space="0" w:color="auto"/>
        <w:bottom w:val="none" w:sz="0" w:space="0" w:color="auto"/>
        <w:right w:val="none" w:sz="0" w:space="0" w:color="auto"/>
      </w:divBdr>
    </w:div>
    <w:div w:id="760953878">
      <w:bodyDiv w:val="1"/>
      <w:marLeft w:val="0"/>
      <w:marRight w:val="0"/>
      <w:marTop w:val="0"/>
      <w:marBottom w:val="0"/>
      <w:divBdr>
        <w:top w:val="none" w:sz="0" w:space="0" w:color="auto"/>
        <w:left w:val="none" w:sz="0" w:space="0" w:color="auto"/>
        <w:bottom w:val="none" w:sz="0" w:space="0" w:color="auto"/>
        <w:right w:val="none" w:sz="0" w:space="0" w:color="auto"/>
      </w:divBdr>
    </w:div>
    <w:div w:id="853424151">
      <w:bodyDiv w:val="1"/>
      <w:marLeft w:val="0"/>
      <w:marRight w:val="0"/>
      <w:marTop w:val="0"/>
      <w:marBottom w:val="0"/>
      <w:divBdr>
        <w:top w:val="none" w:sz="0" w:space="0" w:color="auto"/>
        <w:left w:val="none" w:sz="0" w:space="0" w:color="auto"/>
        <w:bottom w:val="none" w:sz="0" w:space="0" w:color="auto"/>
        <w:right w:val="none" w:sz="0" w:space="0" w:color="auto"/>
      </w:divBdr>
    </w:div>
    <w:div w:id="960724354">
      <w:bodyDiv w:val="1"/>
      <w:marLeft w:val="0"/>
      <w:marRight w:val="0"/>
      <w:marTop w:val="0"/>
      <w:marBottom w:val="0"/>
      <w:divBdr>
        <w:top w:val="none" w:sz="0" w:space="0" w:color="auto"/>
        <w:left w:val="none" w:sz="0" w:space="0" w:color="auto"/>
        <w:bottom w:val="none" w:sz="0" w:space="0" w:color="auto"/>
        <w:right w:val="none" w:sz="0" w:space="0" w:color="auto"/>
      </w:divBdr>
    </w:div>
    <w:div w:id="977539473">
      <w:bodyDiv w:val="1"/>
      <w:marLeft w:val="0"/>
      <w:marRight w:val="0"/>
      <w:marTop w:val="0"/>
      <w:marBottom w:val="0"/>
      <w:divBdr>
        <w:top w:val="none" w:sz="0" w:space="0" w:color="auto"/>
        <w:left w:val="none" w:sz="0" w:space="0" w:color="auto"/>
        <w:bottom w:val="none" w:sz="0" w:space="0" w:color="auto"/>
        <w:right w:val="none" w:sz="0" w:space="0" w:color="auto"/>
      </w:divBdr>
    </w:div>
    <w:div w:id="1194146556">
      <w:bodyDiv w:val="1"/>
      <w:marLeft w:val="0"/>
      <w:marRight w:val="0"/>
      <w:marTop w:val="0"/>
      <w:marBottom w:val="0"/>
      <w:divBdr>
        <w:top w:val="none" w:sz="0" w:space="0" w:color="auto"/>
        <w:left w:val="none" w:sz="0" w:space="0" w:color="auto"/>
        <w:bottom w:val="none" w:sz="0" w:space="0" w:color="auto"/>
        <w:right w:val="none" w:sz="0" w:space="0" w:color="auto"/>
      </w:divBdr>
    </w:div>
    <w:div w:id="1213811756">
      <w:bodyDiv w:val="1"/>
      <w:marLeft w:val="0"/>
      <w:marRight w:val="0"/>
      <w:marTop w:val="0"/>
      <w:marBottom w:val="0"/>
      <w:divBdr>
        <w:top w:val="none" w:sz="0" w:space="0" w:color="auto"/>
        <w:left w:val="none" w:sz="0" w:space="0" w:color="auto"/>
        <w:bottom w:val="none" w:sz="0" w:space="0" w:color="auto"/>
        <w:right w:val="none" w:sz="0" w:space="0" w:color="auto"/>
      </w:divBdr>
    </w:div>
    <w:div w:id="1352755913">
      <w:bodyDiv w:val="1"/>
      <w:marLeft w:val="0"/>
      <w:marRight w:val="0"/>
      <w:marTop w:val="0"/>
      <w:marBottom w:val="0"/>
      <w:divBdr>
        <w:top w:val="none" w:sz="0" w:space="0" w:color="auto"/>
        <w:left w:val="none" w:sz="0" w:space="0" w:color="auto"/>
        <w:bottom w:val="none" w:sz="0" w:space="0" w:color="auto"/>
        <w:right w:val="none" w:sz="0" w:space="0" w:color="auto"/>
      </w:divBdr>
    </w:div>
    <w:div w:id="1451246655">
      <w:bodyDiv w:val="1"/>
      <w:marLeft w:val="0"/>
      <w:marRight w:val="0"/>
      <w:marTop w:val="0"/>
      <w:marBottom w:val="0"/>
      <w:divBdr>
        <w:top w:val="none" w:sz="0" w:space="0" w:color="auto"/>
        <w:left w:val="none" w:sz="0" w:space="0" w:color="auto"/>
        <w:bottom w:val="none" w:sz="0" w:space="0" w:color="auto"/>
        <w:right w:val="none" w:sz="0" w:space="0" w:color="auto"/>
      </w:divBdr>
    </w:div>
    <w:div w:id="1475021671">
      <w:bodyDiv w:val="1"/>
      <w:marLeft w:val="0"/>
      <w:marRight w:val="0"/>
      <w:marTop w:val="0"/>
      <w:marBottom w:val="0"/>
      <w:divBdr>
        <w:top w:val="none" w:sz="0" w:space="0" w:color="auto"/>
        <w:left w:val="none" w:sz="0" w:space="0" w:color="auto"/>
        <w:bottom w:val="none" w:sz="0" w:space="0" w:color="auto"/>
        <w:right w:val="none" w:sz="0" w:space="0" w:color="auto"/>
      </w:divBdr>
    </w:div>
    <w:div w:id="1475641320">
      <w:bodyDiv w:val="1"/>
      <w:marLeft w:val="0"/>
      <w:marRight w:val="0"/>
      <w:marTop w:val="0"/>
      <w:marBottom w:val="0"/>
      <w:divBdr>
        <w:top w:val="none" w:sz="0" w:space="0" w:color="auto"/>
        <w:left w:val="none" w:sz="0" w:space="0" w:color="auto"/>
        <w:bottom w:val="none" w:sz="0" w:space="0" w:color="auto"/>
        <w:right w:val="none" w:sz="0" w:space="0" w:color="auto"/>
      </w:divBdr>
    </w:div>
    <w:div w:id="1497843285">
      <w:bodyDiv w:val="1"/>
      <w:marLeft w:val="0"/>
      <w:marRight w:val="0"/>
      <w:marTop w:val="0"/>
      <w:marBottom w:val="0"/>
      <w:divBdr>
        <w:top w:val="none" w:sz="0" w:space="0" w:color="auto"/>
        <w:left w:val="none" w:sz="0" w:space="0" w:color="auto"/>
        <w:bottom w:val="none" w:sz="0" w:space="0" w:color="auto"/>
        <w:right w:val="none" w:sz="0" w:space="0" w:color="auto"/>
      </w:divBdr>
    </w:div>
    <w:div w:id="1501233970">
      <w:bodyDiv w:val="1"/>
      <w:marLeft w:val="0"/>
      <w:marRight w:val="0"/>
      <w:marTop w:val="0"/>
      <w:marBottom w:val="0"/>
      <w:divBdr>
        <w:top w:val="none" w:sz="0" w:space="0" w:color="auto"/>
        <w:left w:val="none" w:sz="0" w:space="0" w:color="auto"/>
        <w:bottom w:val="none" w:sz="0" w:space="0" w:color="auto"/>
        <w:right w:val="none" w:sz="0" w:space="0" w:color="auto"/>
      </w:divBdr>
    </w:div>
    <w:div w:id="1568683885">
      <w:bodyDiv w:val="1"/>
      <w:marLeft w:val="0"/>
      <w:marRight w:val="0"/>
      <w:marTop w:val="0"/>
      <w:marBottom w:val="0"/>
      <w:divBdr>
        <w:top w:val="none" w:sz="0" w:space="0" w:color="auto"/>
        <w:left w:val="none" w:sz="0" w:space="0" w:color="auto"/>
        <w:bottom w:val="none" w:sz="0" w:space="0" w:color="auto"/>
        <w:right w:val="none" w:sz="0" w:space="0" w:color="auto"/>
      </w:divBdr>
    </w:div>
    <w:div w:id="1576238795">
      <w:bodyDiv w:val="1"/>
      <w:marLeft w:val="0"/>
      <w:marRight w:val="0"/>
      <w:marTop w:val="0"/>
      <w:marBottom w:val="0"/>
      <w:divBdr>
        <w:top w:val="none" w:sz="0" w:space="0" w:color="auto"/>
        <w:left w:val="none" w:sz="0" w:space="0" w:color="auto"/>
        <w:bottom w:val="none" w:sz="0" w:space="0" w:color="auto"/>
        <w:right w:val="none" w:sz="0" w:space="0" w:color="auto"/>
      </w:divBdr>
    </w:div>
    <w:div w:id="1623340901">
      <w:bodyDiv w:val="1"/>
      <w:marLeft w:val="0"/>
      <w:marRight w:val="0"/>
      <w:marTop w:val="0"/>
      <w:marBottom w:val="0"/>
      <w:divBdr>
        <w:top w:val="none" w:sz="0" w:space="0" w:color="auto"/>
        <w:left w:val="none" w:sz="0" w:space="0" w:color="auto"/>
        <w:bottom w:val="none" w:sz="0" w:space="0" w:color="auto"/>
        <w:right w:val="none" w:sz="0" w:space="0" w:color="auto"/>
      </w:divBdr>
    </w:div>
    <w:div w:id="1637830962">
      <w:bodyDiv w:val="1"/>
      <w:marLeft w:val="0"/>
      <w:marRight w:val="0"/>
      <w:marTop w:val="0"/>
      <w:marBottom w:val="0"/>
      <w:divBdr>
        <w:top w:val="none" w:sz="0" w:space="0" w:color="auto"/>
        <w:left w:val="none" w:sz="0" w:space="0" w:color="auto"/>
        <w:bottom w:val="none" w:sz="0" w:space="0" w:color="auto"/>
        <w:right w:val="none" w:sz="0" w:space="0" w:color="auto"/>
      </w:divBdr>
    </w:div>
    <w:div w:id="1717966439">
      <w:bodyDiv w:val="1"/>
      <w:marLeft w:val="0"/>
      <w:marRight w:val="0"/>
      <w:marTop w:val="0"/>
      <w:marBottom w:val="0"/>
      <w:divBdr>
        <w:top w:val="none" w:sz="0" w:space="0" w:color="auto"/>
        <w:left w:val="none" w:sz="0" w:space="0" w:color="auto"/>
        <w:bottom w:val="none" w:sz="0" w:space="0" w:color="auto"/>
        <w:right w:val="none" w:sz="0" w:space="0" w:color="auto"/>
      </w:divBdr>
    </w:div>
    <w:div w:id="1754358013">
      <w:bodyDiv w:val="1"/>
      <w:marLeft w:val="0"/>
      <w:marRight w:val="0"/>
      <w:marTop w:val="0"/>
      <w:marBottom w:val="0"/>
      <w:divBdr>
        <w:top w:val="none" w:sz="0" w:space="0" w:color="auto"/>
        <w:left w:val="none" w:sz="0" w:space="0" w:color="auto"/>
        <w:bottom w:val="none" w:sz="0" w:space="0" w:color="auto"/>
        <w:right w:val="none" w:sz="0" w:space="0" w:color="auto"/>
      </w:divBdr>
    </w:div>
    <w:div w:id="1781097376">
      <w:bodyDiv w:val="1"/>
      <w:marLeft w:val="0"/>
      <w:marRight w:val="0"/>
      <w:marTop w:val="0"/>
      <w:marBottom w:val="0"/>
      <w:divBdr>
        <w:top w:val="none" w:sz="0" w:space="0" w:color="auto"/>
        <w:left w:val="none" w:sz="0" w:space="0" w:color="auto"/>
        <w:bottom w:val="none" w:sz="0" w:space="0" w:color="auto"/>
        <w:right w:val="none" w:sz="0" w:space="0" w:color="auto"/>
      </w:divBdr>
    </w:div>
    <w:div w:id="1868834221">
      <w:bodyDiv w:val="1"/>
      <w:marLeft w:val="0"/>
      <w:marRight w:val="0"/>
      <w:marTop w:val="0"/>
      <w:marBottom w:val="0"/>
      <w:divBdr>
        <w:top w:val="none" w:sz="0" w:space="0" w:color="auto"/>
        <w:left w:val="none" w:sz="0" w:space="0" w:color="auto"/>
        <w:bottom w:val="none" w:sz="0" w:space="0" w:color="auto"/>
        <w:right w:val="none" w:sz="0" w:space="0" w:color="auto"/>
      </w:divBdr>
    </w:div>
    <w:div w:id="1985351678">
      <w:bodyDiv w:val="1"/>
      <w:marLeft w:val="0"/>
      <w:marRight w:val="0"/>
      <w:marTop w:val="0"/>
      <w:marBottom w:val="0"/>
      <w:divBdr>
        <w:top w:val="none" w:sz="0" w:space="0" w:color="auto"/>
        <w:left w:val="none" w:sz="0" w:space="0" w:color="auto"/>
        <w:bottom w:val="none" w:sz="0" w:space="0" w:color="auto"/>
        <w:right w:val="none" w:sz="0" w:space="0" w:color="auto"/>
      </w:divBdr>
    </w:div>
    <w:div w:id="206983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rissanli2@gmail.com"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sv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C2B10-837C-454E-BCCB-962CA87AF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Barış Sanlı</dc:creator>
  <cp:keywords/>
  <dc:description/>
  <cp:lastModifiedBy>Barış Sanlı</cp:lastModifiedBy>
  <cp:revision>4</cp:revision>
  <cp:lastPrinted>2024-12-13T18:15:00Z</cp:lastPrinted>
  <dcterms:created xsi:type="dcterms:W3CDTF">2024-12-23T19:47:00Z</dcterms:created>
  <dcterms:modified xsi:type="dcterms:W3CDTF">2024-12-23T20:41:00Z</dcterms:modified>
</cp:coreProperties>
</file>