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E34BC" w14:textId="7FD820CB" w:rsidR="007550F6" w:rsidRPr="00B16675" w:rsidRDefault="006546DA" w:rsidP="002353B3">
      <w:pPr>
        <w:pStyle w:val="Heading1"/>
        <w:rPr>
          <w:sz w:val="32"/>
          <w:szCs w:val="32"/>
          <w:lang w:val="tr-TR"/>
        </w:rPr>
      </w:pPr>
      <w:bookmarkStart w:id="0" w:name="OLE_LINK1"/>
      <w:r w:rsidRPr="00B16675">
        <w:rPr>
          <w:sz w:val="32"/>
          <w:szCs w:val="32"/>
          <w:lang w:val="tr-TR"/>
        </w:rPr>
        <w:t>Enerji İstatistik Notu</w:t>
      </w:r>
      <w:r w:rsidR="005717BC" w:rsidRPr="00B16675">
        <w:rPr>
          <w:sz w:val="32"/>
          <w:szCs w:val="32"/>
          <w:lang w:val="tr-TR"/>
        </w:rPr>
        <w:t xml:space="preserve"> </w:t>
      </w:r>
      <w:r w:rsidR="00E16121" w:rsidRPr="00B16675">
        <w:rPr>
          <w:sz w:val="32"/>
          <w:szCs w:val="32"/>
          <w:lang w:val="tr-TR"/>
        </w:rPr>
        <w:t>7</w:t>
      </w:r>
      <w:r w:rsidR="00DA5BB7">
        <w:rPr>
          <w:sz w:val="32"/>
          <w:szCs w:val="32"/>
          <w:lang w:val="tr-TR"/>
        </w:rPr>
        <w:t>5</w:t>
      </w:r>
      <w:r w:rsidR="009A1676" w:rsidRPr="00B16675">
        <w:rPr>
          <w:sz w:val="32"/>
          <w:szCs w:val="32"/>
          <w:lang w:val="tr-TR"/>
        </w:rPr>
        <w:t>:</w:t>
      </w:r>
      <w:r w:rsidR="00FE61AC" w:rsidRPr="00B16675">
        <w:rPr>
          <w:sz w:val="32"/>
          <w:szCs w:val="32"/>
          <w:lang w:val="tr-TR"/>
        </w:rPr>
        <w:t xml:space="preserve"> </w:t>
      </w:r>
      <w:r w:rsidR="00DA5BB7">
        <w:rPr>
          <w:sz w:val="32"/>
          <w:szCs w:val="32"/>
          <w:lang w:val="tr-TR"/>
        </w:rPr>
        <w:t>Enerji Harcamaları ve Ekonomik Büyüme</w:t>
      </w:r>
    </w:p>
    <w:bookmarkEnd w:id="0"/>
    <w:p w14:paraId="7EC47B28" w14:textId="77777777" w:rsidR="002353B3" w:rsidRPr="00B16675" w:rsidRDefault="002353B3" w:rsidP="002353B3">
      <w:pPr>
        <w:rPr>
          <w:lang w:val="tr-TR"/>
        </w:rPr>
      </w:pPr>
    </w:p>
    <w:p w14:paraId="5C03F809" w14:textId="48AB4128" w:rsidR="00BC5AF2" w:rsidRPr="00B16675" w:rsidRDefault="00BC5AF2" w:rsidP="00BC5AF2">
      <w:pPr>
        <w:rPr>
          <w:lang w:val="tr-TR"/>
        </w:rPr>
      </w:pPr>
      <w:r w:rsidRPr="00B16675">
        <w:rPr>
          <w:lang w:val="tr-TR"/>
        </w:rPr>
        <w:t>Tek cümle</w:t>
      </w:r>
      <w:r w:rsidRPr="00B16675">
        <w:rPr>
          <w:i/>
          <w:iCs/>
          <w:lang w:val="tr-TR"/>
        </w:rPr>
        <w:t>:</w:t>
      </w:r>
      <w:r w:rsidRPr="00B16675">
        <w:rPr>
          <w:lang w:val="tr-TR"/>
        </w:rPr>
        <w:t xml:space="preserve"> </w:t>
      </w:r>
      <w:r w:rsidR="00C06960" w:rsidRPr="00B16675">
        <w:rPr>
          <w:lang w:val="tr-TR"/>
        </w:rPr>
        <w:t>“</w:t>
      </w:r>
      <w:r w:rsidR="00131B1D" w:rsidRPr="00131B1D">
        <w:rPr>
          <w:i/>
          <w:iCs/>
          <w:lang w:val="tr-TR"/>
        </w:rPr>
        <w:t xml:space="preserve">Uzun dönemde 5.8 </w:t>
      </w:r>
      <w:proofErr w:type="gramStart"/>
      <w:r w:rsidR="00131B1D" w:rsidRPr="00131B1D">
        <w:rPr>
          <w:i/>
          <w:iCs/>
          <w:lang w:val="tr-TR"/>
        </w:rPr>
        <w:t>GJ</w:t>
      </w:r>
      <w:r w:rsidR="00131B1D" w:rsidRPr="00131B1D">
        <w:rPr>
          <w:i/>
          <w:iCs/>
          <w:lang w:val="tr-TR"/>
        </w:rPr>
        <w:t>(</w:t>
      </w:r>
      <w:proofErr w:type="gramEnd"/>
      <w:r w:rsidR="00131B1D" w:rsidRPr="00131B1D">
        <w:rPr>
          <w:i/>
          <w:iCs/>
          <w:lang w:val="tr-TR"/>
        </w:rPr>
        <w:t>1 Varil eşdeğeri enerji)</w:t>
      </w:r>
      <w:r w:rsidR="00131B1D" w:rsidRPr="00131B1D">
        <w:rPr>
          <w:i/>
          <w:iCs/>
          <w:lang w:val="tr-TR"/>
        </w:rPr>
        <w:t xml:space="preserve"> için </w:t>
      </w:r>
      <w:r w:rsidR="00131B1D" w:rsidRPr="00131B1D">
        <w:rPr>
          <w:i/>
          <w:iCs/>
          <w:lang w:val="tr-TR"/>
        </w:rPr>
        <w:t xml:space="preserve">Türkiye’nin ortalama enerji harcaması 2015 ABD doları ile </w:t>
      </w:r>
      <w:r w:rsidR="00131B1D" w:rsidRPr="00131B1D">
        <w:rPr>
          <w:i/>
          <w:iCs/>
          <w:lang w:val="tr-TR"/>
        </w:rPr>
        <w:t>60$</w:t>
      </w:r>
      <w:r w:rsidR="00131B1D" w:rsidRPr="00131B1D">
        <w:rPr>
          <w:i/>
          <w:iCs/>
          <w:lang w:val="tr-TR"/>
        </w:rPr>
        <w:t xml:space="preserve"> ki </w:t>
      </w:r>
      <w:r w:rsidR="00131B1D" w:rsidRPr="00131B1D">
        <w:rPr>
          <w:i/>
          <w:iCs/>
          <w:lang w:val="tr-TR"/>
        </w:rPr>
        <w:t xml:space="preserve">2025’teki </w:t>
      </w:r>
      <w:r w:rsidR="00131B1D" w:rsidRPr="00131B1D">
        <w:rPr>
          <w:i/>
          <w:iCs/>
          <w:lang w:val="tr-TR"/>
        </w:rPr>
        <w:t xml:space="preserve">ABD doları cinsinden </w:t>
      </w:r>
      <w:r w:rsidR="00131B1D" w:rsidRPr="00131B1D">
        <w:rPr>
          <w:i/>
          <w:iCs/>
          <w:lang w:val="tr-TR"/>
        </w:rPr>
        <w:t>81$/varil değerine denktir</w:t>
      </w:r>
      <w:r w:rsidR="00131B1D">
        <w:rPr>
          <w:lang w:val="tr-TR"/>
        </w:rPr>
        <w:t>”</w:t>
      </w:r>
      <w:r w:rsidR="00FD7B1E">
        <w:rPr>
          <w:lang w:val="tr-TR"/>
        </w:rPr>
        <w:t xml:space="preserve"> </w:t>
      </w:r>
    </w:p>
    <w:p w14:paraId="1F4F51DB" w14:textId="77777777" w:rsidR="00BC5AF2" w:rsidRPr="00B16675" w:rsidRDefault="00BC5AF2" w:rsidP="00BC5AF2">
      <w:pPr>
        <w:rPr>
          <w:i/>
          <w:iCs/>
          <w:lang w:val="tr-TR"/>
        </w:rPr>
      </w:pPr>
    </w:p>
    <w:p w14:paraId="4103F734" w14:textId="77777777" w:rsidR="00BC5AF2" w:rsidRPr="00B16675" w:rsidRDefault="00BC5AF2" w:rsidP="00BC5AF2">
      <w:pPr>
        <w:rPr>
          <w:lang w:val="tr-TR"/>
        </w:rPr>
      </w:pPr>
      <w:r w:rsidRPr="00B16675">
        <w:rPr>
          <w:lang w:val="tr-TR"/>
        </w:rPr>
        <w:t xml:space="preserve">Barış Sanlı, </w:t>
      </w:r>
      <w:hyperlink r:id="rId8" w:history="1">
        <w:r w:rsidRPr="00B16675">
          <w:rPr>
            <w:rStyle w:val="Hyperlink"/>
            <w:lang w:val="tr-TR"/>
          </w:rPr>
          <w:t>barissanli2@gmail.com</w:t>
        </w:r>
      </w:hyperlink>
    </w:p>
    <w:p w14:paraId="63ADF765" w14:textId="77777777" w:rsidR="00BC5AF2" w:rsidRPr="00B16675" w:rsidRDefault="00BC5AF2" w:rsidP="00BC5AF2">
      <w:pPr>
        <w:rPr>
          <w:rStyle w:val="Hyperlink"/>
          <w:lang w:val="tr-TR"/>
        </w:rPr>
      </w:pPr>
    </w:p>
    <w:p w14:paraId="491C84EB" w14:textId="019FAFD3" w:rsidR="00826CE2" w:rsidRPr="00B16675" w:rsidRDefault="00AB3E96" w:rsidP="00BC5AF2">
      <w:pPr>
        <w:rPr>
          <w:lang w:val="tr-TR"/>
        </w:rPr>
      </w:pPr>
      <w:r w:rsidRPr="00B16675">
        <w:rPr>
          <w:lang w:val="tr-TR"/>
        </w:rPr>
        <w:t>Excel</w:t>
      </w:r>
      <w:r w:rsidR="00FD7B1E">
        <w:rPr>
          <w:lang w:val="tr-TR"/>
        </w:rPr>
        <w:t xml:space="preserve"> ve Jupyter(+</w:t>
      </w:r>
      <w:proofErr w:type="spellStart"/>
      <w:r w:rsidR="00FD7B1E">
        <w:rPr>
          <w:lang w:val="tr-TR"/>
        </w:rPr>
        <w:t>Pickle</w:t>
      </w:r>
      <w:proofErr w:type="spellEnd"/>
      <w:r w:rsidR="00FD7B1E">
        <w:rPr>
          <w:lang w:val="tr-TR"/>
        </w:rPr>
        <w:t>)</w:t>
      </w:r>
      <w:r w:rsidR="00826CE2" w:rsidRPr="00B16675">
        <w:rPr>
          <w:lang w:val="tr-TR"/>
        </w:rPr>
        <w:t xml:space="preserve">: </w:t>
      </w:r>
      <w:hyperlink r:id="rId9" w:history="1">
        <w:r w:rsidR="00826CE2" w:rsidRPr="00B16675">
          <w:rPr>
            <w:rStyle w:val="Hyperlink"/>
            <w:lang w:val="tr-TR"/>
          </w:rPr>
          <w:t>http://github.com/barissanli/ein</w:t>
        </w:r>
      </w:hyperlink>
    </w:p>
    <w:p w14:paraId="774B330E" w14:textId="77777777" w:rsidR="00826CE2" w:rsidRDefault="00826CE2" w:rsidP="00BC5AF2">
      <w:pPr>
        <w:rPr>
          <w:rStyle w:val="Hyperlink"/>
          <w:color w:val="auto"/>
          <w:u w:val="none"/>
          <w:lang w:val="tr-TR"/>
        </w:rPr>
      </w:pPr>
    </w:p>
    <w:p w14:paraId="55BBE5C8" w14:textId="5AD95B1F" w:rsidR="006A3A01" w:rsidRDefault="00CF2AD1" w:rsidP="00BC5AF2">
      <w:pPr>
        <w:rPr>
          <w:rStyle w:val="Hyperlink"/>
          <w:color w:val="auto"/>
          <w:u w:val="none"/>
          <w:lang w:val="tr-TR"/>
        </w:rPr>
      </w:pPr>
      <w:r>
        <w:rPr>
          <w:rStyle w:val="Hyperlink"/>
          <w:color w:val="auto"/>
          <w:u w:val="none"/>
          <w:lang w:val="tr-TR"/>
        </w:rPr>
        <w:t>Türkiye’de enerji harcamalarının GSYİH içindeki payı arttıkça bu büyümeyi nasıl etkiliyor? Bugünkü enerji notunun konusu bu. Ama cevap net değil, fakat çok ilginç bazı grafikler var. Belki de bazı işaretler var. Sorunun temel sebebi ekonomik büyüme veya küçülmenin sadece enerjiye bağlı olmaması.</w:t>
      </w:r>
      <w:r w:rsidR="00910FD4">
        <w:rPr>
          <w:rStyle w:val="Hyperlink"/>
          <w:color w:val="auto"/>
          <w:u w:val="none"/>
          <w:lang w:val="tr-TR"/>
        </w:rPr>
        <w:t xml:space="preserve"> Buradaki hesaplamalar Türkiye’nin toplam tüketimin</w:t>
      </w:r>
      <w:r w:rsidR="00131B1D">
        <w:rPr>
          <w:rStyle w:val="Hyperlink"/>
          <w:color w:val="auto"/>
          <w:u w:val="none"/>
          <w:lang w:val="tr-TR"/>
        </w:rPr>
        <w:t xml:space="preserve"> üzerinden</w:t>
      </w:r>
      <w:r w:rsidR="00910FD4">
        <w:rPr>
          <w:rStyle w:val="Hyperlink"/>
          <w:color w:val="auto"/>
          <w:u w:val="none"/>
          <w:lang w:val="tr-TR"/>
        </w:rPr>
        <w:t xml:space="preserve"> yapılmış olup, ithalat maliyeti değildir. Tüketim miktarı ile uluslararası en yakın petrol, gaz, kömür fiyatının çarpımı ile hesaplanmıştır.</w:t>
      </w:r>
      <w:r w:rsidR="00131B1D">
        <w:rPr>
          <w:rStyle w:val="Hyperlink"/>
          <w:color w:val="auto"/>
          <w:u w:val="none"/>
          <w:lang w:val="tr-TR"/>
        </w:rPr>
        <w:t xml:space="preserve"> İç fiyatlar veya vergiler hesaba katılmamıştır. </w:t>
      </w:r>
    </w:p>
    <w:p w14:paraId="133B788B" w14:textId="77777777" w:rsidR="00FD7B1E" w:rsidRDefault="00FD7B1E" w:rsidP="00BC5AF2">
      <w:pPr>
        <w:rPr>
          <w:rStyle w:val="Hyperlink"/>
          <w:color w:val="auto"/>
          <w:u w:val="none"/>
          <w:lang w:val="tr-TR"/>
        </w:rPr>
      </w:pPr>
    </w:p>
    <w:p w14:paraId="797CC795" w14:textId="0E990A75" w:rsidR="00FD7B1E" w:rsidRDefault="00FD7B1E" w:rsidP="00BC5AF2">
      <w:pPr>
        <w:rPr>
          <w:rStyle w:val="Hyperlink"/>
          <w:color w:val="auto"/>
          <w:u w:val="none"/>
          <w:lang w:val="tr-TR"/>
        </w:rPr>
      </w:pPr>
      <w:r>
        <w:rPr>
          <w:rStyle w:val="Hyperlink"/>
          <w:color w:val="auto"/>
          <w:u w:val="none"/>
          <w:lang w:val="tr-TR"/>
        </w:rPr>
        <w:t xml:space="preserve">Ayrıca tüm hesaplamalar 2015 ABD doları cinsinden yapıldığından, 2025 yılı ABD dolarının değerine getirmek için 1.36 ile çarpmak gerekecektir. </w:t>
      </w:r>
    </w:p>
    <w:p w14:paraId="0AB48DB4" w14:textId="77777777" w:rsidR="00CF2AD1" w:rsidRDefault="00CF2AD1" w:rsidP="00BC5AF2">
      <w:pPr>
        <w:rPr>
          <w:rStyle w:val="Hyperlink"/>
          <w:color w:val="auto"/>
          <w:u w:val="none"/>
          <w:lang w:val="tr-TR"/>
        </w:rPr>
      </w:pPr>
    </w:p>
    <w:p w14:paraId="69A4F92B" w14:textId="11188791" w:rsidR="00CF2AD1" w:rsidRDefault="00CF2AD1" w:rsidP="00BC5AF2">
      <w:pPr>
        <w:rPr>
          <w:rStyle w:val="Hyperlink"/>
          <w:color w:val="auto"/>
          <w:u w:val="none"/>
          <w:lang w:val="tr-TR"/>
        </w:rPr>
      </w:pPr>
      <w:r>
        <w:rPr>
          <w:rStyle w:val="Hyperlink"/>
          <w:color w:val="auto"/>
          <w:u w:val="none"/>
          <w:lang w:val="tr-TR"/>
        </w:rPr>
        <w:t xml:space="preserve">Veri olarak </w:t>
      </w:r>
      <w:proofErr w:type="spellStart"/>
      <w:r>
        <w:rPr>
          <w:rStyle w:val="Hyperlink"/>
          <w:color w:val="auto"/>
          <w:u w:val="none"/>
          <w:lang w:val="tr-TR"/>
        </w:rPr>
        <w:t>Energy</w:t>
      </w:r>
      <w:proofErr w:type="spellEnd"/>
      <w:r>
        <w:rPr>
          <w:rStyle w:val="Hyperlink"/>
          <w:color w:val="auto"/>
          <w:u w:val="none"/>
          <w:lang w:val="tr-TR"/>
        </w:rPr>
        <w:t xml:space="preserve"> </w:t>
      </w:r>
      <w:proofErr w:type="spellStart"/>
      <w:r>
        <w:rPr>
          <w:rStyle w:val="Hyperlink"/>
          <w:color w:val="auto"/>
          <w:u w:val="none"/>
          <w:lang w:val="tr-TR"/>
        </w:rPr>
        <w:t>Inst</w:t>
      </w:r>
      <w:proofErr w:type="spellEnd"/>
      <w:r>
        <w:rPr>
          <w:rStyle w:val="Hyperlink"/>
          <w:color w:val="auto"/>
          <w:u w:val="none"/>
          <w:lang w:val="tr-TR"/>
        </w:rPr>
        <w:t xml:space="preserve">, Dünya Bankası büyüme ve emtia fiyatları </w:t>
      </w:r>
      <w:r w:rsidR="00131B1D">
        <w:rPr>
          <w:rStyle w:val="Hyperlink"/>
          <w:color w:val="auto"/>
          <w:u w:val="none"/>
          <w:lang w:val="tr-TR"/>
        </w:rPr>
        <w:t xml:space="preserve">kullanılmış ve </w:t>
      </w:r>
      <w:r>
        <w:rPr>
          <w:rStyle w:val="Hyperlink"/>
          <w:color w:val="auto"/>
          <w:u w:val="none"/>
          <w:lang w:val="tr-TR"/>
        </w:rPr>
        <w:t>yıllık seviyede bir araya getiril</w:t>
      </w:r>
      <w:r w:rsidR="00131B1D">
        <w:rPr>
          <w:rStyle w:val="Hyperlink"/>
          <w:color w:val="auto"/>
          <w:u w:val="none"/>
          <w:lang w:val="tr-TR"/>
        </w:rPr>
        <w:t>miştir</w:t>
      </w:r>
      <w:r>
        <w:rPr>
          <w:rStyle w:val="Hyperlink"/>
          <w:color w:val="auto"/>
          <w:u w:val="none"/>
          <w:lang w:val="tr-TR"/>
        </w:rPr>
        <w:t xml:space="preserve">. Emtia fiyatlarında reel fiyat endeksi 2010 yılı dolarına göre, Dünya Bankası sabit büyüme de 2015 yılı dolarına göre verildiği için emtia fiyatları 2010-2015 dolar enflasyonu olan %8 arttırılarak hesaplandı. Sonunda Türkiye’nin </w:t>
      </w:r>
      <w:proofErr w:type="spellStart"/>
      <w:r>
        <w:rPr>
          <w:rStyle w:val="Hyperlink"/>
          <w:color w:val="auto"/>
          <w:u w:val="none"/>
          <w:lang w:val="tr-TR"/>
        </w:rPr>
        <w:t>ExaJoule</w:t>
      </w:r>
      <w:proofErr w:type="spellEnd"/>
      <w:r>
        <w:rPr>
          <w:rStyle w:val="Hyperlink"/>
          <w:color w:val="auto"/>
          <w:u w:val="none"/>
          <w:lang w:val="tr-TR"/>
        </w:rPr>
        <w:t xml:space="preserve"> olarak petrol, gaz ve kömür tüketiminin maliyeti uluslararası fiyatlar baz alınarak hesaplandı. Burada yerli kömür maliyetlerinde hata yapıldığı iddia edilebilir ama kalorifik olarak olunca bu hata düşünüldüğü kadar büyük değildir. İlgili dosyalar Jupyter notebook ve veri dosyasında mevcuttur.</w:t>
      </w:r>
    </w:p>
    <w:p w14:paraId="38D68C48" w14:textId="046C73AE" w:rsidR="006A3A01" w:rsidRDefault="006A3A01" w:rsidP="00BC5AF2">
      <w:pPr>
        <w:rPr>
          <w:rStyle w:val="Hyperlink"/>
          <w:color w:val="auto"/>
          <w:u w:val="none"/>
          <w:lang w:val="tr-TR"/>
        </w:rPr>
      </w:pPr>
    </w:p>
    <w:p w14:paraId="12C885DC" w14:textId="0FAEDB3C" w:rsidR="0092733B" w:rsidRDefault="00CF2AD1" w:rsidP="00EE4A8B">
      <w:pPr>
        <w:rPr>
          <w:lang w:val="tr-TR"/>
        </w:rPr>
      </w:pPr>
      <w:r>
        <w:rPr>
          <w:noProof/>
          <w:lang w:val="tr-TR"/>
        </w:rPr>
        <w:drawing>
          <wp:inline distT="0" distB="0" distL="0" distR="0" wp14:anchorId="12BE1156" wp14:editId="421D57F3">
            <wp:extent cx="6645910" cy="3186430"/>
            <wp:effectExtent l="0" t="0" r="0" b="1270"/>
            <wp:docPr id="1541352868"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52868" name="Picture 2" descr="A graph with lines and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45910" cy="3186430"/>
                    </a:xfrm>
                    <a:prstGeom prst="rect">
                      <a:avLst/>
                    </a:prstGeom>
                  </pic:spPr>
                </pic:pic>
              </a:graphicData>
            </a:graphic>
          </wp:inline>
        </w:drawing>
      </w:r>
    </w:p>
    <w:p w14:paraId="22B689A9" w14:textId="77777777" w:rsidR="00910FD4" w:rsidRDefault="00910FD4" w:rsidP="00EE4A8B">
      <w:pPr>
        <w:rPr>
          <w:lang w:val="tr-TR"/>
        </w:rPr>
      </w:pPr>
    </w:p>
    <w:p w14:paraId="5C6F4C9C" w14:textId="4EAFBA5D" w:rsidR="00910FD4" w:rsidRDefault="00910FD4" w:rsidP="00EE4A8B">
      <w:pPr>
        <w:rPr>
          <w:lang w:val="tr-TR"/>
        </w:rPr>
      </w:pPr>
      <w:r>
        <w:rPr>
          <w:lang w:val="tr-TR"/>
        </w:rPr>
        <w:t>Türkiye’nin enerji tüketimi maliyetinde</w:t>
      </w:r>
      <w:r w:rsidR="00FD7B1E">
        <w:rPr>
          <w:lang w:val="tr-TR"/>
        </w:rPr>
        <w:t xml:space="preserve"> 2015 yılı ABD doları cinsinden</w:t>
      </w:r>
      <w:r>
        <w:rPr>
          <w:lang w:val="tr-TR"/>
        </w:rPr>
        <w:t xml:space="preserve">, 2022 hariç zirve hep petrolün olmuştur, hatta bu son dönemlerde de oldukça artmıştır. Petrol maliyeti 20-25 milyar dolar aralığından 30 </w:t>
      </w:r>
      <w:proofErr w:type="gramStart"/>
      <w:r>
        <w:rPr>
          <w:lang w:val="tr-TR"/>
        </w:rPr>
        <w:t>milyar</w:t>
      </w:r>
      <w:r w:rsidR="00131B1D">
        <w:rPr>
          <w:lang w:val="tr-TR"/>
        </w:rPr>
        <w:t>(</w:t>
      </w:r>
      <w:proofErr w:type="gramEnd"/>
      <w:r w:rsidR="00131B1D">
        <w:rPr>
          <w:lang w:val="tr-TR"/>
        </w:rPr>
        <w:t xml:space="preserve">2025 ABD </w:t>
      </w:r>
      <w:proofErr w:type="gramStart"/>
      <w:r w:rsidR="00131B1D">
        <w:rPr>
          <w:lang w:val="tr-TR"/>
        </w:rPr>
        <w:t>Doları</w:t>
      </w:r>
      <w:proofErr w:type="gramEnd"/>
      <w:r w:rsidR="00131B1D">
        <w:rPr>
          <w:lang w:val="tr-TR"/>
        </w:rPr>
        <w:t xml:space="preserve"> ile 40 milyar)</w:t>
      </w:r>
      <w:r>
        <w:rPr>
          <w:lang w:val="tr-TR"/>
        </w:rPr>
        <w:t xml:space="preserve"> zeminine oturmuş görünmektedir. Gaz maliyeti ise 10-20 </w:t>
      </w:r>
      <w:r>
        <w:rPr>
          <w:lang w:val="tr-TR"/>
        </w:rPr>
        <w:lastRenderedPageBreak/>
        <w:t>milyar $ arasında değişirken 2022’de ani bir sıçrama ile 60 milyar $’ı aşmıştır, sonra geri düşmüş olmasına rağmen hala yüksek bir seviyededir. Kömür maliyeti ise 10 milyar $’</w:t>
      </w:r>
      <w:proofErr w:type="spellStart"/>
      <w:r>
        <w:rPr>
          <w:lang w:val="tr-TR"/>
        </w:rPr>
        <w:t>ın</w:t>
      </w:r>
      <w:proofErr w:type="spellEnd"/>
      <w:r>
        <w:rPr>
          <w:lang w:val="tr-TR"/>
        </w:rPr>
        <w:t xml:space="preserve"> biraz altındadır.  </w:t>
      </w:r>
    </w:p>
    <w:p w14:paraId="7634F5E2" w14:textId="77777777" w:rsidR="00910FD4" w:rsidRDefault="00910FD4" w:rsidP="00EE4A8B">
      <w:pPr>
        <w:rPr>
          <w:lang w:val="tr-TR"/>
        </w:rPr>
      </w:pPr>
    </w:p>
    <w:p w14:paraId="229CCFB1" w14:textId="2BB3B3E7" w:rsidR="00910FD4" w:rsidRDefault="00910FD4" w:rsidP="00EE4A8B">
      <w:pPr>
        <w:rPr>
          <w:lang w:val="tr-TR"/>
        </w:rPr>
      </w:pPr>
      <w:r>
        <w:rPr>
          <w:lang w:val="tr-TR"/>
        </w:rPr>
        <w:t xml:space="preserve">Tabii bu </w:t>
      </w:r>
      <w:proofErr w:type="spellStart"/>
      <w:r>
        <w:rPr>
          <w:lang w:val="tr-TR"/>
        </w:rPr>
        <w:t>bu</w:t>
      </w:r>
      <w:proofErr w:type="spellEnd"/>
      <w:r>
        <w:rPr>
          <w:lang w:val="tr-TR"/>
        </w:rPr>
        <w:t xml:space="preserve"> rakamların bir de </w:t>
      </w:r>
      <w:proofErr w:type="spellStart"/>
      <w:r>
        <w:rPr>
          <w:lang w:val="tr-TR"/>
        </w:rPr>
        <w:t>GSYİH’e</w:t>
      </w:r>
      <w:proofErr w:type="spellEnd"/>
      <w:r>
        <w:rPr>
          <w:lang w:val="tr-TR"/>
        </w:rPr>
        <w:t xml:space="preserve"> oranına bakmakta fayda vardır. Petrol genelde </w:t>
      </w:r>
      <w:proofErr w:type="gramStart"/>
      <w:r>
        <w:rPr>
          <w:lang w:val="tr-TR"/>
        </w:rPr>
        <w:t>%2.5</w:t>
      </w:r>
      <w:proofErr w:type="gramEnd"/>
      <w:r>
        <w:rPr>
          <w:lang w:val="tr-TR"/>
        </w:rPr>
        <w:t xml:space="preserve">-3, gaz %1-2, kömür ise </w:t>
      </w:r>
      <w:proofErr w:type="gramStart"/>
      <w:r>
        <w:rPr>
          <w:lang w:val="tr-TR"/>
        </w:rPr>
        <w:t>%0.5</w:t>
      </w:r>
      <w:proofErr w:type="gramEnd"/>
      <w:r>
        <w:rPr>
          <w:lang w:val="tr-TR"/>
        </w:rPr>
        <w:t xml:space="preserve">-1 civarında seyretmiştir. </w:t>
      </w:r>
    </w:p>
    <w:p w14:paraId="48646749" w14:textId="77777777" w:rsidR="00910FD4" w:rsidRDefault="00910FD4" w:rsidP="00EE4A8B">
      <w:pPr>
        <w:rPr>
          <w:lang w:val="tr-TR"/>
        </w:rPr>
      </w:pPr>
    </w:p>
    <w:p w14:paraId="24191CB6" w14:textId="77777777" w:rsidR="00910FD4" w:rsidRDefault="00910FD4" w:rsidP="00EE4A8B">
      <w:pPr>
        <w:rPr>
          <w:lang w:val="tr-TR"/>
        </w:rPr>
      </w:pPr>
    </w:p>
    <w:p w14:paraId="2EDC548E" w14:textId="55A48940" w:rsidR="00910FD4" w:rsidRDefault="00910FD4" w:rsidP="00EE4A8B">
      <w:pPr>
        <w:rPr>
          <w:lang w:val="tr-TR"/>
        </w:rPr>
      </w:pPr>
      <w:r>
        <w:rPr>
          <w:noProof/>
          <w:lang w:val="tr-TR"/>
        </w:rPr>
        <w:drawing>
          <wp:inline distT="0" distB="0" distL="0" distR="0" wp14:anchorId="243248E6" wp14:editId="299917C7">
            <wp:extent cx="6645910" cy="3129280"/>
            <wp:effectExtent l="0" t="0" r="0" b="0"/>
            <wp:docPr id="1788275993" name="Picture 3" descr="A graph with lines and a line in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75993" name="Picture 3" descr="A graph with lines and a line in different colo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645910" cy="3129280"/>
                    </a:xfrm>
                    <a:prstGeom prst="rect">
                      <a:avLst/>
                    </a:prstGeom>
                  </pic:spPr>
                </pic:pic>
              </a:graphicData>
            </a:graphic>
          </wp:inline>
        </w:drawing>
      </w:r>
    </w:p>
    <w:p w14:paraId="0B42F8D7" w14:textId="77777777" w:rsidR="00910FD4" w:rsidRDefault="00910FD4" w:rsidP="00EE4A8B">
      <w:pPr>
        <w:rPr>
          <w:lang w:val="tr-TR"/>
        </w:rPr>
      </w:pPr>
    </w:p>
    <w:p w14:paraId="04394FB0" w14:textId="57A8B31B" w:rsidR="00910FD4" w:rsidRDefault="00910FD4" w:rsidP="00EE4A8B">
      <w:pPr>
        <w:rPr>
          <w:lang w:val="tr-TR"/>
        </w:rPr>
      </w:pPr>
      <w:r>
        <w:rPr>
          <w:lang w:val="tr-TR"/>
        </w:rPr>
        <w:t xml:space="preserve">Tüm bu birimler </w:t>
      </w:r>
      <w:proofErr w:type="spellStart"/>
      <w:proofErr w:type="gramStart"/>
      <w:r>
        <w:rPr>
          <w:lang w:val="tr-TR"/>
        </w:rPr>
        <w:t>ExaJoule</w:t>
      </w:r>
      <w:proofErr w:type="spellEnd"/>
      <w:r>
        <w:rPr>
          <w:lang w:val="tr-TR"/>
        </w:rPr>
        <w:t>(</w:t>
      </w:r>
      <w:proofErr w:type="gramEnd"/>
      <w:r>
        <w:rPr>
          <w:lang w:val="tr-TR"/>
        </w:rPr>
        <w:t>EJ) üzerinden hesaplandığından toplam maliyeti ve GJ tüketim başına ne kadar ödeme yapıldığı</w:t>
      </w:r>
      <w:r w:rsidR="005C3B60">
        <w:rPr>
          <w:lang w:val="tr-TR"/>
        </w:rPr>
        <w:t>,</w:t>
      </w:r>
      <w:r>
        <w:rPr>
          <w:lang w:val="tr-TR"/>
        </w:rPr>
        <w:t xml:space="preserve"> </w:t>
      </w:r>
      <w:r w:rsidR="005C3B60">
        <w:rPr>
          <w:lang w:val="tr-TR"/>
        </w:rPr>
        <w:t xml:space="preserve">5.86 </w:t>
      </w:r>
      <w:proofErr w:type="gramStart"/>
      <w:r w:rsidR="005C3B60">
        <w:rPr>
          <w:lang w:val="tr-TR"/>
        </w:rPr>
        <w:t>GJ(</w:t>
      </w:r>
      <w:proofErr w:type="gramEnd"/>
      <w:r w:rsidR="005C3B60">
        <w:rPr>
          <w:lang w:val="tr-TR"/>
        </w:rPr>
        <w:t>=1 varil petrol eşdeğeri) yani 1 varil petrole denk enerji için ne kadar para ödendiği de bulunabilir. Bu sonuç daha şaşırtıcıdır.</w:t>
      </w:r>
    </w:p>
    <w:p w14:paraId="5EA610B1" w14:textId="77777777" w:rsidR="005C3B60" w:rsidRDefault="005C3B60" w:rsidP="00EE4A8B">
      <w:pPr>
        <w:rPr>
          <w:lang w:val="tr-TR"/>
        </w:rPr>
      </w:pPr>
    </w:p>
    <w:p w14:paraId="2C3CD675" w14:textId="468D5A6D" w:rsidR="005C3B60" w:rsidRDefault="005C3B60" w:rsidP="00EE4A8B">
      <w:pPr>
        <w:rPr>
          <w:lang w:val="tr-TR"/>
        </w:rPr>
      </w:pPr>
      <w:r>
        <w:rPr>
          <w:lang w:val="tr-TR"/>
        </w:rPr>
        <w:t>2022 yılı haricinde Türkiye’deki enerji harcamalarının birim varil eşdeğer fiyatı Brent fiyatın altında kalmıştır. Burada düşük seyreden gaz ve kömür tüketimi ana sebepler olarak sayılabilir. Yalnız 2022 şoku gerçekten büyük bir şok olmuştur. Gaz fiyatlarındaki artış, 90$/varil Brent fiyatının olduğu bir dünyada Avrupa Birliği gibi</w:t>
      </w:r>
      <w:r w:rsidR="00131B1D">
        <w:rPr>
          <w:lang w:val="tr-TR"/>
        </w:rPr>
        <w:t>,</w:t>
      </w:r>
      <w:r>
        <w:rPr>
          <w:lang w:val="tr-TR"/>
        </w:rPr>
        <w:t xml:space="preserve"> gazdan dolayı Türkiye’nin birim enerji maliyetini de 120$’a çekmiştir. Bu sebeple yerli gaz üretimi ve keşfi muhtemelen son dönemin en önemli arz güvenliği aracıdır. </w:t>
      </w:r>
    </w:p>
    <w:p w14:paraId="53BB017A" w14:textId="77777777" w:rsidR="00910FD4" w:rsidRDefault="00910FD4" w:rsidP="00EE4A8B">
      <w:pPr>
        <w:rPr>
          <w:lang w:val="tr-TR"/>
        </w:rPr>
      </w:pPr>
    </w:p>
    <w:p w14:paraId="20E81A9A" w14:textId="77777777" w:rsidR="00910FD4" w:rsidRDefault="00910FD4" w:rsidP="00EE4A8B">
      <w:pPr>
        <w:rPr>
          <w:lang w:val="tr-TR"/>
        </w:rPr>
      </w:pPr>
    </w:p>
    <w:p w14:paraId="74AD2C30" w14:textId="069DA1E5" w:rsidR="00910FD4" w:rsidRDefault="00910FD4" w:rsidP="00EE4A8B">
      <w:pPr>
        <w:rPr>
          <w:lang w:val="tr-TR"/>
        </w:rPr>
      </w:pPr>
      <w:r>
        <w:rPr>
          <w:noProof/>
          <w:lang w:val="tr-TR"/>
        </w:rPr>
        <w:lastRenderedPageBreak/>
        <w:drawing>
          <wp:inline distT="0" distB="0" distL="0" distR="0" wp14:anchorId="4BBE4C26" wp14:editId="4C225DA3">
            <wp:extent cx="6645910" cy="3039110"/>
            <wp:effectExtent l="0" t="0" r="0" b="0"/>
            <wp:docPr id="1709475947"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75947" name="Picture 4" descr="A graph with a line and a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645910" cy="3039110"/>
                    </a:xfrm>
                    <a:prstGeom prst="rect">
                      <a:avLst/>
                    </a:prstGeom>
                  </pic:spPr>
                </pic:pic>
              </a:graphicData>
            </a:graphic>
          </wp:inline>
        </w:drawing>
      </w:r>
    </w:p>
    <w:p w14:paraId="3BCE6882" w14:textId="77777777" w:rsidR="005C3B60" w:rsidRDefault="005C3B60" w:rsidP="00EE4A8B">
      <w:pPr>
        <w:rPr>
          <w:lang w:val="tr-TR"/>
        </w:rPr>
      </w:pPr>
    </w:p>
    <w:p w14:paraId="77984C31" w14:textId="38A4C161" w:rsidR="005C3B60" w:rsidRDefault="005C3B60" w:rsidP="00EE4A8B">
      <w:pPr>
        <w:rPr>
          <w:lang w:val="tr-TR"/>
        </w:rPr>
      </w:pPr>
      <w:r>
        <w:rPr>
          <w:lang w:val="tr-TR"/>
        </w:rPr>
        <w:t xml:space="preserve">Peki bu büyüme üzerine nasıl bir etki yapmıştır. Burada, </w:t>
      </w:r>
      <w:proofErr w:type="spellStart"/>
      <w:r>
        <w:rPr>
          <w:lang w:val="tr-TR"/>
        </w:rPr>
        <w:t>birşeyi</w:t>
      </w:r>
      <w:proofErr w:type="spellEnd"/>
      <w:r>
        <w:rPr>
          <w:lang w:val="tr-TR"/>
        </w:rPr>
        <w:t xml:space="preserve"> açıklığa kavuşturmak gerek</w:t>
      </w:r>
      <w:r w:rsidR="00131B1D">
        <w:rPr>
          <w:lang w:val="tr-TR"/>
        </w:rPr>
        <w:t>iyor.</w:t>
      </w:r>
      <w:r>
        <w:rPr>
          <w:lang w:val="tr-TR"/>
        </w:rPr>
        <w:t xml:space="preserve"> Granger nedensellik testlerinde net bir etki görülmemiştir. Fakat bir de grafiğe bakalım.</w:t>
      </w:r>
    </w:p>
    <w:p w14:paraId="74D74499" w14:textId="77777777" w:rsidR="005C3B60" w:rsidRDefault="005C3B60" w:rsidP="00EE4A8B">
      <w:pPr>
        <w:rPr>
          <w:lang w:val="tr-TR"/>
        </w:rPr>
      </w:pPr>
    </w:p>
    <w:p w14:paraId="31B5982B" w14:textId="77777777" w:rsidR="005C3B60" w:rsidRDefault="005C3B60" w:rsidP="00EE4A8B">
      <w:pPr>
        <w:rPr>
          <w:lang w:val="tr-TR"/>
        </w:rPr>
      </w:pPr>
    </w:p>
    <w:p w14:paraId="4D46179A" w14:textId="0E67BFC0" w:rsidR="005C3B60" w:rsidRDefault="005C3B60" w:rsidP="00EE4A8B">
      <w:pPr>
        <w:rPr>
          <w:lang w:val="tr-TR"/>
        </w:rPr>
      </w:pPr>
      <w:r>
        <w:rPr>
          <w:noProof/>
          <w:lang w:val="tr-TR"/>
        </w:rPr>
        <w:drawing>
          <wp:inline distT="0" distB="0" distL="0" distR="0" wp14:anchorId="3D33E1B2" wp14:editId="2AAE82DF">
            <wp:extent cx="6645910" cy="3333750"/>
            <wp:effectExtent l="0" t="0" r="0" b="6350"/>
            <wp:docPr id="2079043529" name="Picture 5"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43529" name="Picture 5" descr="A graph with a line and a blue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645910" cy="3333750"/>
                    </a:xfrm>
                    <a:prstGeom prst="rect">
                      <a:avLst/>
                    </a:prstGeom>
                  </pic:spPr>
                </pic:pic>
              </a:graphicData>
            </a:graphic>
          </wp:inline>
        </w:drawing>
      </w:r>
    </w:p>
    <w:p w14:paraId="0D234B68" w14:textId="77777777" w:rsidR="005C3B60" w:rsidRDefault="005C3B60" w:rsidP="00EE4A8B">
      <w:pPr>
        <w:rPr>
          <w:lang w:val="tr-TR"/>
        </w:rPr>
      </w:pPr>
    </w:p>
    <w:p w14:paraId="7A42896A" w14:textId="37D0421B" w:rsidR="005C3B60" w:rsidRDefault="005C3B60" w:rsidP="00EE4A8B">
      <w:pPr>
        <w:rPr>
          <w:lang w:val="tr-TR"/>
        </w:rPr>
      </w:pPr>
      <w:r>
        <w:rPr>
          <w:lang w:val="tr-TR"/>
        </w:rPr>
        <w:t>Grafikteki ekonomik büyüme(mavi) ve toplam enerji harcamalarının GSYİH içindeki oranında, bazı ilişkiler seçilebilmektedir. Mesela 2008 gibi yüksek maliyetli bir yılı negatif bir büyüme takip etmiştir. Ama bunun temel sebebi küresel ekonomik krizdir.</w:t>
      </w:r>
    </w:p>
    <w:p w14:paraId="450303C7" w14:textId="77777777" w:rsidR="005C3B60" w:rsidRDefault="005C3B60" w:rsidP="00EE4A8B">
      <w:pPr>
        <w:rPr>
          <w:lang w:val="tr-TR"/>
        </w:rPr>
      </w:pPr>
    </w:p>
    <w:p w14:paraId="72F6F4CF" w14:textId="1F102CDB" w:rsidR="005C3B60" w:rsidRDefault="005C3B60" w:rsidP="00EE4A8B">
      <w:pPr>
        <w:rPr>
          <w:lang w:val="tr-TR"/>
        </w:rPr>
      </w:pPr>
      <w:r>
        <w:rPr>
          <w:lang w:val="tr-TR"/>
        </w:rPr>
        <w:t>2016 gibi düşük maliyetli bir yılı da yüksek büyümeli bir 2017 sonra artan maliyetlerle tekrar düşen bir büyüme dönemi takip etmiştir. 2022 gibi çok yüksek maliyetli bir dönemi de benzer şekilde düşük büyüme dönemleri takip ettiği söylenebilir. Fakat tekrar hatırlatmakta yarar var, testler bu ilişkileri ispatlamıyor. Sadece gözlemle bu ilişkiyi söylüyoruz</w:t>
      </w:r>
      <w:r w:rsidR="00131B1D">
        <w:rPr>
          <w:lang w:val="tr-TR"/>
        </w:rPr>
        <w:t xml:space="preserve">. </w:t>
      </w:r>
      <w:r>
        <w:rPr>
          <w:lang w:val="tr-TR"/>
        </w:rPr>
        <w:t>Türkiye’de büyüme birçok şeye bağlı olduğundan her seferin</w:t>
      </w:r>
      <w:r w:rsidR="00131B1D">
        <w:rPr>
          <w:lang w:val="tr-TR"/>
        </w:rPr>
        <w:t>d</w:t>
      </w:r>
      <w:r>
        <w:rPr>
          <w:lang w:val="tr-TR"/>
        </w:rPr>
        <w:t xml:space="preserve">e farklı 2-3 sebep öne çıkıyor da olabilir. </w:t>
      </w:r>
    </w:p>
    <w:p w14:paraId="36CA5E15" w14:textId="77777777" w:rsidR="005C3B60" w:rsidRDefault="005C3B60" w:rsidP="00EE4A8B">
      <w:pPr>
        <w:rPr>
          <w:lang w:val="tr-TR"/>
        </w:rPr>
      </w:pPr>
    </w:p>
    <w:p w14:paraId="4BB0631D" w14:textId="428F4E95" w:rsidR="005C3B60" w:rsidRDefault="005C3B60" w:rsidP="00EE4A8B">
      <w:pPr>
        <w:rPr>
          <w:lang w:val="tr-TR"/>
        </w:rPr>
      </w:pPr>
      <w:r>
        <w:rPr>
          <w:lang w:val="tr-TR"/>
        </w:rPr>
        <w:lastRenderedPageBreak/>
        <w:t>Fakat son bir grafik daha göstermek istiyorum ki, bu biraz papatya falı da olabilir. Kararı okuyucu vermeli. 7 yıllık ortalama % ekonomik büyüme ile 3 yıllık ortalama % enerji harcamalarının oranı grafiğinde biraz çok belirgin bir ilişki göze çarpmakta ve hatta ileri doğru da bir çıkarım tüyosu vermektedir. Tabii ekonominin tek derdi enerji harcamaları olsaydı…</w:t>
      </w:r>
    </w:p>
    <w:p w14:paraId="0F9C5219" w14:textId="77777777" w:rsidR="002F1C6B" w:rsidRDefault="002F1C6B" w:rsidP="00EE4A8B">
      <w:pPr>
        <w:rPr>
          <w:lang w:val="tr-TR"/>
        </w:rPr>
      </w:pPr>
    </w:p>
    <w:p w14:paraId="39484BE1" w14:textId="32926104" w:rsidR="002F1C6B" w:rsidRDefault="002F1C6B" w:rsidP="00EE4A8B">
      <w:pPr>
        <w:rPr>
          <w:lang w:val="tr-TR"/>
        </w:rPr>
      </w:pPr>
      <w:r>
        <w:rPr>
          <w:lang w:val="tr-TR"/>
        </w:rPr>
        <w:t>Aşağıdaki grafikte 7 yıllık büyüme ortalaması ile 3 yıllık enerji harcamalarının ekonomideki payı gösterilmiştir. Buradaki ilişki çok net gibidir. Enerji maliyetleri arttıkça büyüme yavaşlamış, enerji maliyetleri düştükçe de ekonomik büyüme hızlanmış görülmektedir.</w:t>
      </w:r>
    </w:p>
    <w:p w14:paraId="0F9B8CD5" w14:textId="77777777" w:rsidR="002F1C6B" w:rsidRDefault="002F1C6B" w:rsidP="00EE4A8B">
      <w:pPr>
        <w:rPr>
          <w:lang w:val="tr-TR"/>
        </w:rPr>
      </w:pPr>
    </w:p>
    <w:p w14:paraId="26090D16" w14:textId="1DCB1C7B" w:rsidR="002F1C6B" w:rsidRDefault="002F1C6B" w:rsidP="00EE4A8B">
      <w:pPr>
        <w:rPr>
          <w:lang w:val="tr-TR"/>
        </w:rPr>
      </w:pPr>
      <w:r>
        <w:rPr>
          <w:lang w:val="tr-TR"/>
        </w:rPr>
        <w:t xml:space="preserve">Burada </w:t>
      </w:r>
      <w:proofErr w:type="spellStart"/>
      <w:r>
        <w:rPr>
          <w:lang w:val="tr-TR"/>
        </w:rPr>
        <w:t>birşeyin</w:t>
      </w:r>
      <w:proofErr w:type="spellEnd"/>
      <w:r>
        <w:rPr>
          <w:lang w:val="tr-TR"/>
        </w:rPr>
        <w:t xml:space="preserve"> altını çizmek gerek. Bunlar içerideki fiyatlar değildir. Yani sübvanse edilmiş fiyatlar değildir. Bu fiyatlar </w:t>
      </w:r>
      <w:proofErr w:type="spellStart"/>
      <w:r>
        <w:rPr>
          <w:lang w:val="tr-TR"/>
        </w:rPr>
        <w:t>Energy</w:t>
      </w:r>
      <w:proofErr w:type="spellEnd"/>
      <w:r>
        <w:rPr>
          <w:lang w:val="tr-TR"/>
        </w:rPr>
        <w:t xml:space="preserve"> </w:t>
      </w:r>
      <w:proofErr w:type="spellStart"/>
      <w:r>
        <w:rPr>
          <w:lang w:val="tr-TR"/>
        </w:rPr>
        <w:t>Inst</w:t>
      </w:r>
      <w:proofErr w:type="spellEnd"/>
      <w:r>
        <w:rPr>
          <w:lang w:val="tr-TR"/>
        </w:rPr>
        <w:t xml:space="preserve"> Türkiye verilerindeki tüketimlerin uluslararası ABD doları cinsinden emtia fiyatları ile çarpılmış halidir. Peki bu ne demek?</w:t>
      </w:r>
    </w:p>
    <w:p w14:paraId="71822A19" w14:textId="77777777" w:rsidR="005C3B60" w:rsidRDefault="005C3B60" w:rsidP="00EE4A8B">
      <w:pPr>
        <w:rPr>
          <w:lang w:val="tr-TR"/>
        </w:rPr>
      </w:pPr>
    </w:p>
    <w:p w14:paraId="79888D07" w14:textId="44E22862" w:rsidR="005C3B60" w:rsidRDefault="005C3B60" w:rsidP="00EE4A8B">
      <w:pPr>
        <w:rPr>
          <w:lang w:val="tr-TR"/>
        </w:rPr>
      </w:pPr>
      <w:r>
        <w:rPr>
          <w:noProof/>
        </w:rPr>
        <w:drawing>
          <wp:inline distT="0" distB="0" distL="0" distR="0" wp14:anchorId="33340DEC" wp14:editId="3643EB49">
            <wp:extent cx="6645910" cy="3555365"/>
            <wp:effectExtent l="0" t="0" r="0" b="635"/>
            <wp:docPr id="24671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12295" name=""/>
                    <pic:cNvPicPr/>
                  </pic:nvPicPr>
                  <pic:blipFill>
                    <a:blip r:embed="rId14"/>
                    <a:stretch>
                      <a:fillRect/>
                    </a:stretch>
                  </pic:blipFill>
                  <pic:spPr>
                    <a:xfrm>
                      <a:off x="0" y="0"/>
                      <a:ext cx="6645910" cy="3555365"/>
                    </a:xfrm>
                    <a:prstGeom prst="rect">
                      <a:avLst/>
                    </a:prstGeom>
                  </pic:spPr>
                </pic:pic>
              </a:graphicData>
            </a:graphic>
          </wp:inline>
        </w:drawing>
      </w:r>
    </w:p>
    <w:p w14:paraId="53480D66" w14:textId="77777777" w:rsidR="002F1C6B" w:rsidRDefault="002F1C6B" w:rsidP="00EE4A8B">
      <w:pPr>
        <w:rPr>
          <w:lang w:val="tr-TR"/>
        </w:rPr>
      </w:pPr>
    </w:p>
    <w:p w14:paraId="6A314B44" w14:textId="65040412" w:rsidR="002F1C6B" w:rsidRDefault="00131B1D" w:rsidP="00EE4A8B">
      <w:pPr>
        <w:rPr>
          <w:lang w:val="tr-TR"/>
        </w:rPr>
      </w:pPr>
      <w:r>
        <w:rPr>
          <w:lang w:val="tr-TR"/>
        </w:rPr>
        <w:t xml:space="preserve">Bazı </w:t>
      </w:r>
      <w:r w:rsidR="002F1C6B">
        <w:rPr>
          <w:lang w:val="tr-TR"/>
        </w:rPr>
        <w:t>sonuçlar var, fakat bunları iddia edemiyoru</w:t>
      </w:r>
      <w:r>
        <w:rPr>
          <w:lang w:val="tr-TR"/>
        </w:rPr>
        <w:t>m</w:t>
      </w:r>
      <w:r w:rsidR="002F1C6B">
        <w:rPr>
          <w:lang w:val="tr-TR"/>
        </w:rPr>
        <w:t>. Daha çok düşünsel hipotezler olarak değerlendirebiliriz.</w:t>
      </w:r>
    </w:p>
    <w:p w14:paraId="4B86A1F8" w14:textId="07009159" w:rsidR="00FD7B1E" w:rsidRDefault="00FD7B1E" w:rsidP="00EE4A8B">
      <w:pPr>
        <w:rPr>
          <w:lang w:val="tr-TR"/>
        </w:rPr>
      </w:pPr>
      <w:r>
        <w:rPr>
          <w:lang w:val="tr-TR"/>
        </w:rPr>
        <w:t xml:space="preserve"> </w:t>
      </w:r>
    </w:p>
    <w:p w14:paraId="67F7D194" w14:textId="1BEE3694" w:rsidR="00FD7B1E" w:rsidRPr="00FD7B1E" w:rsidRDefault="00FD7B1E" w:rsidP="00FD7B1E">
      <w:pPr>
        <w:pStyle w:val="ListParagraph"/>
        <w:numPr>
          <w:ilvl w:val="0"/>
          <w:numId w:val="43"/>
        </w:numPr>
        <w:rPr>
          <w:lang w:val="tr-TR"/>
        </w:rPr>
      </w:pPr>
      <w:r>
        <w:rPr>
          <w:lang w:val="tr-TR"/>
        </w:rPr>
        <w:t xml:space="preserve">Tüm hesaplar 2015 USD dolarına göre hesaplandığı için 2025 seviyesine getirmek için 1.36 ile çarpılarak enflasyon düzeltmesi yapılması gerektiği hatırdan çıkmamalıdır. </w:t>
      </w:r>
    </w:p>
    <w:p w14:paraId="2EF39B51" w14:textId="77777777" w:rsidR="002F1C6B" w:rsidRDefault="002F1C6B" w:rsidP="00EE4A8B">
      <w:pPr>
        <w:rPr>
          <w:lang w:val="tr-TR"/>
        </w:rPr>
      </w:pPr>
    </w:p>
    <w:p w14:paraId="00398EBF" w14:textId="2876EEB6" w:rsidR="002F1C6B" w:rsidRPr="002F1C6B" w:rsidRDefault="002F1C6B" w:rsidP="002F1C6B">
      <w:pPr>
        <w:pStyle w:val="ListParagraph"/>
        <w:numPr>
          <w:ilvl w:val="0"/>
          <w:numId w:val="43"/>
        </w:numPr>
        <w:rPr>
          <w:lang w:val="tr-TR"/>
        </w:rPr>
      </w:pPr>
      <w:r>
        <w:rPr>
          <w:lang w:val="tr-TR"/>
        </w:rPr>
        <w:t>Türkiye’nin yıllık enerji tüketim harcaması 40</w:t>
      </w:r>
      <w:r w:rsidR="00FD7B1E">
        <w:rPr>
          <w:lang w:val="tr-TR"/>
        </w:rPr>
        <w:t>(*1.36)</w:t>
      </w:r>
      <w:r>
        <w:rPr>
          <w:lang w:val="tr-TR"/>
        </w:rPr>
        <w:t xml:space="preserve"> milyar $ civarındayken, artan gaz fiyatları ile bu 60 milyar $</w:t>
      </w:r>
      <w:r w:rsidR="00FD7B1E">
        <w:rPr>
          <w:lang w:val="tr-TR"/>
        </w:rPr>
        <w:t>(1*36)</w:t>
      </w:r>
      <w:r>
        <w:rPr>
          <w:lang w:val="tr-TR"/>
        </w:rPr>
        <w:t xml:space="preserve"> bandına oturmuştur.</w:t>
      </w:r>
    </w:p>
    <w:p w14:paraId="5FB10A32" w14:textId="77777777" w:rsidR="002F1C6B" w:rsidRDefault="002F1C6B" w:rsidP="00EE4A8B">
      <w:pPr>
        <w:rPr>
          <w:lang w:val="tr-TR"/>
        </w:rPr>
      </w:pPr>
    </w:p>
    <w:p w14:paraId="45FA4678" w14:textId="730E3F98" w:rsidR="002F1C6B" w:rsidRDefault="002F1C6B" w:rsidP="00EE4A8B">
      <w:pPr>
        <w:rPr>
          <w:lang w:val="tr-TR"/>
        </w:rPr>
      </w:pPr>
      <w:r>
        <w:rPr>
          <w:noProof/>
          <w:lang w:val="tr-TR"/>
        </w:rPr>
        <w:lastRenderedPageBreak/>
        <w:drawing>
          <wp:inline distT="0" distB="0" distL="0" distR="0" wp14:anchorId="04AAADA6" wp14:editId="6F1847F7">
            <wp:extent cx="6645910" cy="3209925"/>
            <wp:effectExtent l="0" t="0" r="0" b="3175"/>
            <wp:docPr id="889990521" name="Picture 7"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90521" name="Picture 7" descr="A graph with a line going up&#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645910" cy="3209925"/>
                    </a:xfrm>
                    <a:prstGeom prst="rect">
                      <a:avLst/>
                    </a:prstGeom>
                  </pic:spPr>
                </pic:pic>
              </a:graphicData>
            </a:graphic>
          </wp:inline>
        </w:drawing>
      </w:r>
    </w:p>
    <w:p w14:paraId="042987F6" w14:textId="77777777" w:rsidR="002F1C6B" w:rsidRDefault="002F1C6B" w:rsidP="00EE4A8B">
      <w:pPr>
        <w:rPr>
          <w:lang w:val="tr-TR"/>
        </w:rPr>
      </w:pPr>
    </w:p>
    <w:p w14:paraId="16EE7E5F" w14:textId="64D68B6B" w:rsidR="002F1C6B" w:rsidRDefault="002F1C6B" w:rsidP="002F1C6B">
      <w:pPr>
        <w:pStyle w:val="ListParagraph"/>
        <w:numPr>
          <w:ilvl w:val="0"/>
          <w:numId w:val="43"/>
        </w:numPr>
        <w:rPr>
          <w:lang w:val="tr-TR"/>
        </w:rPr>
      </w:pPr>
      <w:r>
        <w:rPr>
          <w:lang w:val="tr-TR"/>
        </w:rPr>
        <w:t xml:space="preserve">Bu rakamın </w:t>
      </w:r>
      <w:proofErr w:type="spellStart"/>
      <w:r>
        <w:rPr>
          <w:lang w:val="tr-TR"/>
        </w:rPr>
        <w:t>GSYİH’e</w:t>
      </w:r>
      <w:proofErr w:type="spellEnd"/>
      <w:r>
        <w:rPr>
          <w:lang w:val="tr-TR"/>
        </w:rPr>
        <w:t xml:space="preserve"> oranı %4 civarındayken 2021-2022 de keskin bir artış görmüş fakat sonra düşmüştür.</w:t>
      </w:r>
    </w:p>
    <w:p w14:paraId="1B41621F" w14:textId="77777777" w:rsidR="002F1C6B" w:rsidRDefault="002F1C6B" w:rsidP="002F1C6B">
      <w:pPr>
        <w:rPr>
          <w:lang w:val="tr-TR"/>
        </w:rPr>
      </w:pPr>
    </w:p>
    <w:p w14:paraId="6738FB81" w14:textId="10156413" w:rsidR="002F1C6B" w:rsidRDefault="002F1C6B" w:rsidP="002F1C6B">
      <w:pPr>
        <w:rPr>
          <w:lang w:val="tr-TR"/>
        </w:rPr>
      </w:pPr>
      <w:r>
        <w:rPr>
          <w:noProof/>
          <w:lang w:val="tr-TR"/>
        </w:rPr>
        <w:drawing>
          <wp:inline distT="0" distB="0" distL="0" distR="0" wp14:anchorId="1FACE912" wp14:editId="509F51A3">
            <wp:extent cx="6645910" cy="3205480"/>
            <wp:effectExtent l="0" t="0" r="0" b="0"/>
            <wp:docPr id="395951742" name="Picture 8"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51742" name="Picture 8" descr="A graph with a line going up&#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645910" cy="3205480"/>
                    </a:xfrm>
                    <a:prstGeom prst="rect">
                      <a:avLst/>
                    </a:prstGeom>
                  </pic:spPr>
                </pic:pic>
              </a:graphicData>
            </a:graphic>
          </wp:inline>
        </w:drawing>
      </w:r>
    </w:p>
    <w:p w14:paraId="081B6890" w14:textId="77777777" w:rsidR="002F1C6B" w:rsidRDefault="002F1C6B" w:rsidP="002F1C6B">
      <w:pPr>
        <w:rPr>
          <w:lang w:val="tr-TR"/>
        </w:rPr>
      </w:pPr>
    </w:p>
    <w:p w14:paraId="499F2447" w14:textId="7A26985C" w:rsidR="00FD7B1E" w:rsidRDefault="002F1C6B" w:rsidP="00FD7B1E">
      <w:pPr>
        <w:pStyle w:val="ListParagraph"/>
        <w:numPr>
          <w:ilvl w:val="0"/>
          <w:numId w:val="43"/>
        </w:numPr>
        <w:rPr>
          <w:lang w:val="tr-TR"/>
        </w:rPr>
      </w:pPr>
      <w:r w:rsidRPr="002F1C6B">
        <w:rPr>
          <w:lang w:val="tr-TR"/>
        </w:rPr>
        <w:t>1 varil eşdeğeri (5.8 GJ) için ödenen bedel uzun</w:t>
      </w:r>
      <w:r>
        <w:rPr>
          <w:lang w:val="tr-TR"/>
        </w:rPr>
        <w:t xml:space="preserve"> dönemde petrol fiyatının altında kalmış fakat bu oran değişmiştir. Bazı yıllar 10 $ bazı yıllar ise 40$ daha düşük rakamlar gerçekleşmiştir. </w:t>
      </w:r>
      <w:r w:rsidR="00FD7B1E">
        <w:rPr>
          <w:lang w:val="tr-TR"/>
        </w:rPr>
        <w:t>Uzun dönemde 5.8 GJ için 60$(*1.36) rakamı ki 2025’teki 81$/varil değerine denktir, kötü bir tahmin görünmemektedir.</w:t>
      </w:r>
    </w:p>
    <w:p w14:paraId="4C30CA42" w14:textId="373A88EC" w:rsidR="00FD7B1E" w:rsidRDefault="00FD7B1E" w:rsidP="00FD7B1E">
      <w:pPr>
        <w:pStyle w:val="ListParagraph"/>
        <w:numPr>
          <w:ilvl w:val="0"/>
          <w:numId w:val="43"/>
        </w:numPr>
        <w:rPr>
          <w:lang w:val="tr-TR"/>
        </w:rPr>
      </w:pPr>
      <w:r>
        <w:rPr>
          <w:lang w:val="tr-TR"/>
        </w:rPr>
        <w:t xml:space="preserve">Yüksek maliyet dönemlerini </w:t>
      </w:r>
      <w:r w:rsidR="00131B1D">
        <w:rPr>
          <w:lang w:val="tr-TR"/>
        </w:rPr>
        <w:t>nispeten</w:t>
      </w:r>
      <w:r>
        <w:rPr>
          <w:lang w:val="tr-TR"/>
        </w:rPr>
        <w:t xml:space="preserve"> düşük büyüme takip etmiştir. Yani fiyatlar sübvanse edilse de edilmese de (hesapta doğrudan uluslararası emtia fiyatı alınmıştır) bu noktada çok az istisna görülmektedir. Fakat sübvansiyonlar şokun etkisini yayıyor ve derinleşmesini önlüyor da olabilir.</w:t>
      </w:r>
    </w:p>
    <w:p w14:paraId="67D35654" w14:textId="377E42EF" w:rsidR="00FD7B1E" w:rsidRDefault="00FD7B1E" w:rsidP="00FD7B1E">
      <w:pPr>
        <w:pStyle w:val="ListParagraph"/>
        <w:numPr>
          <w:ilvl w:val="0"/>
          <w:numId w:val="43"/>
        </w:numPr>
        <w:rPr>
          <w:lang w:val="tr-TR"/>
        </w:rPr>
      </w:pPr>
      <w:r>
        <w:rPr>
          <w:lang w:val="tr-TR"/>
        </w:rPr>
        <w:t xml:space="preserve">Enerji maliyetlerinden, elektrik tarafına gelirsek, 1611 kWh (yani 1 varil eşdeğer petrol) fiyatı 60$ civarındadır. Ama bu elektrik olduğundan %50 verimle çevrim dersek 1611 </w:t>
      </w:r>
      <w:proofErr w:type="spellStart"/>
      <w:r>
        <w:rPr>
          <w:lang w:val="tr-TR"/>
        </w:rPr>
        <w:t>kWh’i</w:t>
      </w:r>
      <w:proofErr w:type="spellEnd"/>
      <w:r>
        <w:rPr>
          <w:lang w:val="tr-TR"/>
        </w:rPr>
        <w:t xml:space="preserve"> 120 $ gibi bir </w:t>
      </w:r>
      <w:r>
        <w:rPr>
          <w:lang w:val="tr-TR"/>
        </w:rPr>
        <w:lastRenderedPageBreak/>
        <w:t xml:space="preserve">rakama erişiriz. Bu da bizi 2015 ABD doları ile 7.4 </w:t>
      </w:r>
      <w:proofErr w:type="spellStart"/>
      <w:r>
        <w:rPr>
          <w:lang w:val="tr-TR"/>
        </w:rPr>
        <w:t>cent</w:t>
      </w:r>
      <w:proofErr w:type="spellEnd"/>
      <w:r>
        <w:rPr>
          <w:lang w:val="tr-TR"/>
        </w:rPr>
        <w:t xml:space="preserve">/kWh (*1.36), 2025 ABD doları ile 10 </w:t>
      </w:r>
      <w:proofErr w:type="spellStart"/>
      <w:r>
        <w:rPr>
          <w:lang w:val="tr-TR"/>
        </w:rPr>
        <w:t>cent</w:t>
      </w:r>
      <w:proofErr w:type="spellEnd"/>
      <w:r>
        <w:rPr>
          <w:lang w:val="tr-TR"/>
        </w:rPr>
        <w:t xml:space="preserve">/kWh elektrik maliyetine getirir. Yine bir hata yapmayı göze alırsak </w:t>
      </w:r>
      <w:proofErr w:type="gramStart"/>
      <w:r>
        <w:rPr>
          <w:lang w:val="tr-TR"/>
        </w:rPr>
        <w:t>uzun  dönemli</w:t>
      </w:r>
      <w:proofErr w:type="gramEnd"/>
      <w:r>
        <w:rPr>
          <w:lang w:val="tr-TR"/>
        </w:rPr>
        <w:t xml:space="preserve"> “doğal” elektrik fiyatının bu civarlarda olması beklenebilir. </w:t>
      </w:r>
    </w:p>
    <w:p w14:paraId="426673A1" w14:textId="77777777" w:rsidR="00FD7B1E" w:rsidRDefault="00FD7B1E" w:rsidP="00FD7B1E">
      <w:pPr>
        <w:rPr>
          <w:lang w:val="tr-TR"/>
        </w:rPr>
      </w:pPr>
    </w:p>
    <w:p w14:paraId="3FE57980" w14:textId="7F1E2460" w:rsidR="002F1C6B" w:rsidRPr="00FD7B1E" w:rsidRDefault="002F1C6B" w:rsidP="00FD7B1E">
      <w:pPr>
        <w:rPr>
          <w:lang w:val="tr-TR"/>
        </w:rPr>
      </w:pPr>
      <w:r w:rsidRPr="00FD7B1E">
        <w:rPr>
          <w:lang w:val="tr-TR"/>
        </w:rPr>
        <w:t xml:space="preserve"> </w:t>
      </w:r>
    </w:p>
    <w:sectPr w:rsidR="002F1C6B" w:rsidRPr="00FD7B1E" w:rsidSect="00A13B31">
      <w:headerReference w:type="even" r:id="rId17"/>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9B143" w14:textId="77777777" w:rsidR="003C0497" w:rsidRDefault="003C0497" w:rsidP="007D1DFA">
      <w:r>
        <w:separator/>
      </w:r>
    </w:p>
  </w:endnote>
  <w:endnote w:type="continuationSeparator" w:id="0">
    <w:p w14:paraId="1FD06B88" w14:textId="77777777" w:rsidR="003C0497" w:rsidRDefault="003C0497" w:rsidP="007D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7661077"/>
      <w:docPartObj>
        <w:docPartGallery w:val="Page Numbers (Top of Page)"/>
        <w:docPartUnique/>
      </w:docPartObj>
    </w:sdtPr>
    <w:sdtContent>
      <w:p w14:paraId="10A44B94" w14:textId="6ED09170" w:rsidR="00275B67" w:rsidRDefault="00275B67" w:rsidP="00275B6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537E9" w14:textId="77777777" w:rsidR="003C0497" w:rsidRDefault="003C0497" w:rsidP="007D1DFA">
      <w:r>
        <w:separator/>
      </w:r>
    </w:p>
  </w:footnote>
  <w:footnote w:type="continuationSeparator" w:id="0">
    <w:p w14:paraId="457E4D49" w14:textId="77777777" w:rsidR="003C0497" w:rsidRDefault="003C0497" w:rsidP="007D1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911461"/>
      <w:docPartObj>
        <w:docPartGallery w:val="Page Numbers (Top of Page)"/>
        <w:docPartUnique/>
      </w:docPartObj>
    </w:sdtPr>
    <w:sdtContent>
      <w:p w14:paraId="71F3AAFD" w14:textId="3C5E3A75" w:rsidR="00275B67" w:rsidRDefault="00275B67" w:rsidP="000647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70A69A" w14:textId="77777777" w:rsidR="00275B67" w:rsidRDefault="00275B67" w:rsidP="00275B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9C83F" w14:textId="06638F92" w:rsidR="00275B67" w:rsidRPr="00275B67" w:rsidRDefault="00275B67" w:rsidP="00275B67">
    <w:pPr>
      <w:pStyle w:val="Header"/>
      <w:ind w:right="360"/>
      <w:rPr>
        <w:color w:val="D9D9D9" w:themeColor="background1" w:themeShade="D9"/>
        <w:lang w:val="tr-TR"/>
      </w:rPr>
    </w:pPr>
    <w:r w:rsidRPr="00275B67">
      <w:rPr>
        <w:color w:val="D9D9D9" w:themeColor="background1" w:themeShade="D9"/>
        <w:lang w:val="tr-TR"/>
      </w:rPr>
      <w:t>barissanli.com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68F"/>
    <w:multiLevelType w:val="hybridMultilevel"/>
    <w:tmpl w:val="2EC83B86"/>
    <w:lvl w:ilvl="0" w:tplc="121060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F34A6"/>
    <w:multiLevelType w:val="hybridMultilevel"/>
    <w:tmpl w:val="DCFA0444"/>
    <w:lvl w:ilvl="0" w:tplc="72FA6602">
      <w:start w:val="20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173293"/>
    <w:multiLevelType w:val="hybridMultilevel"/>
    <w:tmpl w:val="4FDE7A4E"/>
    <w:lvl w:ilvl="0" w:tplc="27EE1D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9062E"/>
    <w:multiLevelType w:val="hybridMultilevel"/>
    <w:tmpl w:val="EBBC11DE"/>
    <w:lvl w:ilvl="0" w:tplc="AB823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837B68"/>
    <w:multiLevelType w:val="hybridMultilevel"/>
    <w:tmpl w:val="3D0443D4"/>
    <w:lvl w:ilvl="0" w:tplc="AC302D90">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986457"/>
    <w:multiLevelType w:val="hybridMultilevel"/>
    <w:tmpl w:val="32A40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67550A"/>
    <w:multiLevelType w:val="hybridMultilevel"/>
    <w:tmpl w:val="8E225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A145B3"/>
    <w:multiLevelType w:val="hybridMultilevel"/>
    <w:tmpl w:val="D8DE3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F55684"/>
    <w:multiLevelType w:val="hybridMultilevel"/>
    <w:tmpl w:val="6FEE9ECC"/>
    <w:lvl w:ilvl="0" w:tplc="6D3E6D74">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954C98"/>
    <w:multiLevelType w:val="hybridMultilevel"/>
    <w:tmpl w:val="59EE7B5A"/>
    <w:lvl w:ilvl="0" w:tplc="838AB138">
      <w:start w:val="20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290B30"/>
    <w:multiLevelType w:val="hybridMultilevel"/>
    <w:tmpl w:val="DBF60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A65435"/>
    <w:multiLevelType w:val="hybridMultilevel"/>
    <w:tmpl w:val="E6B2D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0D281D"/>
    <w:multiLevelType w:val="hybridMultilevel"/>
    <w:tmpl w:val="3CA012D8"/>
    <w:lvl w:ilvl="0" w:tplc="4A32BB76">
      <w:start w:val="10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116A9A"/>
    <w:multiLevelType w:val="hybridMultilevel"/>
    <w:tmpl w:val="A61C2006"/>
    <w:lvl w:ilvl="0" w:tplc="7EBA4CB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3B4879"/>
    <w:multiLevelType w:val="hybridMultilevel"/>
    <w:tmpl w:val="06F4254C"/>
    <w:lvl w:ilvl="0" w:tplc="A15CBB5A">
      <w:start w:val="202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396537"/>
    <w:multiLevelType w:val="hybridMultilevel"/>
    <w:tmpl w:val="8F36AFFE"/>
    <w:lvl w:ilvl="0" w:tplc="208884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B51387"/>
    <w:multiLevelType w:val="hybridMultilevel"/>
    <w:tmpl w:val="CA52568C"/>
    <w:lvl w:ilvl="0" w:tplc="AB823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86794"/>
    <w:multiLevelType w:val="hybridMultilevel"/>
    <w:tmpl w:val="8330523E"/>
    <w:lvl w:ilvl="0" w:tplc="A906F02C">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17978"/>
    <w:multiLevelType w:val="hybridMultilevel"/>
    <w:tmpl w:val="ABB4C592"/>
    <w:lvl w:ilvl="0" w:tplc="E91A3A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845668"/>
    <w:multiLevelType w:val="hybridMultilevel"/>
    <w:tmpl w:val="99D40710"/>
    <w:lvl w:ilvl="0" w:tplc="53D8F174">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675A16"/>
    <w:multiLevelType w:val="hybridMultilevel"/>
    <w:tmpl w:val="A4106E82"/>
    <w:lvl w:ilvl="0" w:tplc="5F580F98">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F842A1"/>
    <w:multiLevelType w:val="hybridMultilevel"/>
    <w:tmpl w:val="C56EC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A96D56"/>
    <w:multiLevelType w:val="hybridMultilevel"/>
    <w:tmpl w:val="A6E2D176"/>
    <w:lvl w:ilvl="0" w:tplc="66C04C62">
      <w:start w:val="20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E1393A"/>
    <w:multiLevelType w:val="hybridMultilevel"/>
    <w:tmpl w:val="05D04BA6"/>
    <w:lvl w:ilvl="0" w:tplc="15944D60">
      <w:start w:val="20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745CCA"/>
    <w:multiLevelType w:val="hybridMultilevel"/>
    <w:tmpl w:val="AE661834"/>
    <w:lvl w:ilvl="0" w:tplc="DD0CC7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9C1C89"/>
    <w:multiLevelType w:val="hybridMultilevel"/>
    <w:tmpl w:val="FA5AEE2A"/>
    <w:lvl w:ilvl="0" w:tplc="A48CFED6">
      <w:start w:val="454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F750BD"/>
    <w:multiLevelType w:val="hybridMultilevel"/>
    <w:tmpl w:val="31062CDA"/>
    <w:lvl w:ilvl="0" w:tplc="AB8238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B25015"/>
    <w:multiLevelType w:val="hybridMultilevel"/>
    <w:tmpl w:val="FEE65D44"/>
    <w:lvl w:ilvl="0" w:tplc="64EE9C1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E85AD3"/>
    <w:multiLevelType w:val="hybridMultilevel"/>
    <w:tmpl w:val="50E4A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1F708A"/>
    <w:multiLevelType w:val="hybridMultilevel"/>
    <w:tmpl w:val="14B4B5EC"/>
    <w:lvl w:ilvl="0" w:tplc="C48E0E62">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A91B13"/>
    <w:multiLevelType w:val="hybridMultilevel"/>
    <w:tmpl w:val="820A3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606630"/>
    <w:multiLevelType w:val="hybridMultilevel"/>
    <w:tmpl w:val="0DDAA6CA"/>
    <w:lvl w:ilvl="0" w:tplc="1BAE27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6C2349"/>
    <w:multiLevelType w:val="hybridMultilevel"/>
    <w:tmpl w:val="23FE5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803E0F"/>
    <w:multiLevelType w:val="hybridMultilevel"/>
    <w:tmpl w:val="D6CE5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CC1CDD"/>
    <w:multiLevelType w:val="hybridMultilevel"/>
    <w:tmpl w:val="DC7E74B8"/>
    <w:lvl w:ilvl="0" w:tplc="BB124C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4B3F38"/>
    <w:multiLevelType w:val="hybridMultilevel"/>
    <w:tmpl w:val="225C8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DD6329"/>
    <w:multiLevelType w:val="hybridMultilevel"/>
    <w:tmpl w:val="EB26D1C6"/>
    <w:lvl w:ilvl="0" w:tplc="5E94AFC0">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7A4208"/>
    <w:multiLevelType w:val="hybridMultilevel"/>
    <w:tmpl w:val="4FB095EA"/>
    <w:lvl w:ilvl="0" w:tplc="A476CBBA">
      <w:start w:val="26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C71DFC"/>
    <w:multiLevelType w:val="hybridMultilevel"/>
    <w:tmpl w:val="4D62F976"/>
    <w:lvl w:ilvl="0" w:tplc="52F04A9A">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461F10"/>
    <w:multiLevelType w:val="hybridMultilevel"/>
    <w:tmpl w:val="15E08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8C1634"/>
    <w:multiLevelType w:val="hybridMultilevel"/>
    <w:tmpl w:val="AF2CBA64"/>
    <w:lvl w:ilvl="0" w:tplc="43B618F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3C0C6B"/>
    <w:multiLevelType w:val="hybridMultilevel"/>
    <w:tmpl w:val="CC8A7B54"/>
    <w:lvl w:ilvl="0" w:tplc="F378F5F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5D2310"/>
    <w:multiLevelType w:val="hybridMultilevel"/>
    <w:tmpl w:val="9C88A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7812229">
    <w:abstractNumId w:val="23"/>
  </w:num>
  <w:num w:numId="2" w16cid:durableId="610629591">
    <w:abstractNumId w:val="1"/>
  </w:num>
  <w:num w:numId="3" w16cid:durableId="2093548848">
    <w:abstractNumId w:val="40"/>
  </w:num>
  <w:num w:numId="4" w16cid:durableId="1167669628">
    <w:abstractNumId w:val="41"/>
  </w:num>
  <w:num w:numId="5" w16cid:durableId="808984501">
    <w:abstractNumId w:val="12"/>
  </w:num>
  <w:num w:numId="6" w16cid:durableId="1499034170">
    <w:abstractNumId w:val="7"/>
  </w:num>
  <w:num w:numId="7" w16cid:durableId="1421491724">
    <w:abstractNumId w:val="39"/>
  </w:num>
  <w:num w:numId="8" w16cid:durableId="1269193211">
    <w:abstractNumId w:val="30"/>
  </w:num>
  <w:num w:numId="9" w16cid:durableId="1748526985">
    <w:abstractNumId w:val="27"/>
  </w:num>
  <w:num w:numId="10" w16cid:durableId="250431060">
    <w:abstractNumId w:val="6"/>
  </w:num>
  <w:num w:numId="11" w16cid:durableId="1166937591">
    <w:abstractNumId w:val="21"/>
  </w:num>
  <w:num w:numId="12" w16cid:durableId="1929583004">
    <w:abstractNumId w:val="5"/>
  </w:num>
  <w:num w:numId="13" w16cid:durableId="636836712">
    <w:abstractNumId w:val="29"/>
  </w:num>
  <w:num w:numId="14" w16cid:durableId="1657998968">
    <w:abstractNumId w:val="17"/>
  </w:num>
  <w:num w:numId="15" w16cid:durableId="1466047942">
    <w:abstractNumId w:val="18"/>
  </w:num>
  <w:num w:numId="16" w16cid:durableId="57676785">
    <w:abstractNumId w:val="9"/>
  </w:num>
  <w:num w:numId="17" w16cid:durableId="78915598">
    <w:abstractNumId w:val="4"/>
  </w:num>
  <w:num w:numId="18" w16cid:durableId="2120442536">
    <w:abstractNumId w:val="32"/>
  </w:num>
  <w:num w:numId="19" w16cid:durableId="469597947">
    <w:abstractNumId w:val="20"/>
  </w:num>
  <w:num w:numId="20" w16cid:durableId="181864343">
    <w:abstractNumId w:val="25"/>
  </w:num>
  <w:num w:numId="21" w16cid:durableId="230047569">
    <w:abstractNumId w:val="37"/>
  </w:num>
  <w:num w:numId="22" w16cid:durableId="2132168454">
    <w:abstractNumId w:val="33"/>
  </w:num>
  <w:num w:numId="23" w16cid:durableId="254245288">
    <w:abstractNumId w:val="10"/>
  </w:num>
  <w:num w:numId="24" w16cid:durableId="772630752">
    <w:abstractNumId w:val="19"/>
  </w:num>
  <w:num w:numId="25" w16cid:durableId="1238638771">
    <w:abstractNumId w:val="38"/>
  </w:num>
  <w:num w:numId="26" w16cid:durableId="707023052">
    <w:abstractNumId w:val="11"/>
  </w:num>
  <w:num w:numId="27" w16cid:durableId="1824278301">
    <w:abstractNumId w:val="34"/>
  </w:num>
  <w:num w:numId="28" w16cid:durableId="855310916">
    <w:abstractNumId w:val="28"/>
  </w:num>
  <w:num w:numId="29" w16cid:durableId="390227015">
    <w:abstractNumId w:val="14"/>
  </w:num>
  <w:num w:numId="30" w16cid:durableId="99762242">
    <w:abstractNumId w:val="16"/>
  </w:num>
  <w:num w:numId="31" w16cid:durableId="822428222">
    <w:abstractNumId w:val="26"/>
  </w:num>
  <w:num w:numId="32" w16cid:durableId="745954883">
    <w:abstractNumId w:val="3"/>
  </w:num>
  <w:num w:numId="33" w16cid:durableId="490291150">
    <w:abstractNumId w:val="0"/>
  </w:num>
  <w:num w:numId="34" w16cid:durableId="1464926623">
    <w:abstractNumId w:val="24"/>
  </w:num>
  <w:num w:numId="35" w16cid:durableId="1669096034">
    <w:abstractNumId w:val="31"/>
  </w:num>
  <w:num w:numId="36" w16cid:durableId="1137524928">
    <w:abstractNumId w:val="8"/>
  </w:num>
  <w:num w:numId="37" w16cid:durableId="2008746642">
    <w:abstractNumId w:val="36"/>
  </w:num>
  <w:num w:numId="38" w16cid:durableId="2003659267">
    <w:abstractNumId w:val="13"/>
  </w:num>
  <w:num w:numId="39" w16cid:durableId="1013724420">
    <w:abstractNumId w:val="15"/>
  </w:num>
  <w:num w:numId="40" w16cid:durableId="84345483">
    <w:abstractNumId w:val="42"/>
  </w:num>
  <w:num w:numId="41" w16cid:durableId="1553879415">
    <w:abstractNumId w:val="35"/>
  </w:num>
  <w:num w:numId="42" w16cid:durableId="114833428">
    <w:abstractNumId w:val="2"/>
  </w:num>
  <w:num w:numId="43" w16cid:durableId="8084760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67"/>
    <w:rsid w:val="000029A7"/>
    <w:rsid w:val="00004B0F"/>
    <w:rsid w:val="00004CDF"/>
    <w:rsid w:val="00006779"/>
    <w:rsid w:val="000110DB"/>
    <w:rsid w:val="000136C5"/>
    <w:rsid w:val="000148E3"/>
    <w:rsid w:val="0002268A"/>
    <w:rsid w:val="00022A92"/>
    <w:rsid w:val="00024415"/>
    <w:rsid w:val="00032945"/>
    <w:rsid w:val="00033C7B"/>
    <w:rsid w:val="00035FEC"/>
    <w:rsid w:val="00040FBA"/>
    <w:rsid w:val="00054ABC"/>
    <w:rsid w:val="00061762"/>
    <w:rsid w:val="000622B5"/>
    <w:rsid w:val="00067814"/>
    <w:rsid w:val="0007528A"/>
    <w:rsid w:val="00081FC8"/>
    <w:rsid w:val="0008489B"/>
    <w:rsid w:val="00090CCB"/>
    <w:rsid w:val="0009280C"/>
    <w:rsid w:val="000A3376"/>
    <w:rsid w:val="000A5AD3"/>
    <w:rsid w:val="000A7F65"/>
    <w:rsid w:val="000B1C9D"/>
    <w:rsid w:val="000B303A"/>
    <w:rsid w:val="000B6631"/>
    <w:rsid w:val="000B73DD"/>
    <w:rsid w:val="000C0CEC"/>
    <w:rsid w:val="000C1ACF"/>
    <w:rsid w:val="000C4C55"/>
    <w:rsid w:val="000D279C"/>
    <w:rsid w:val="000D4566"/>
    <w:rsid w:val="000D524B"/>
    <w:rsid w:val="000D7101"/>
    <w:rsid w:val="000E23CE"/>
    <w:rsid w:val="000E2823"/>
    <w:rsid w:val="000F502C"/>
    <w:rsid w:val="000F5674"/>
    <w:rsid w:val="00104028"/>
    <w:rsid w:val="001076B6"/>
    <w:rsid w:val="001109B6"/>
    <w:rsid w:val="00111A6B"/>
    <w:rsid w:val="00122B63"/>
    <w:rsid w:val="00125288"/>
    <w:rsid w:val="0012531F"/>
    <w:rsid w:val="001269AD"/>
    <w:rsid w:val="0012778A"/>
    <w:rsid w:val="00130B57"/>
    <w:rsid w:val="00131B1D"/>
    <w:rsid w:val="001356B3"/>
    <w:rsid w:val="0014485D"/>
    <w:rsid w:val="00161B5F"/>
    <w:rsid w:val="001638AF"/>
    <w:rsid w:val="001713C7"/>
    <w:rsid w:val="00172F57"/>
    <w:rsid w:val="00175DDA"/>
    <w:rsid w:val="00184F86"/>
    <w:rsid w:val="00185B2F"/>
    <w:rsid w:val="00185C83"/>
    <w:rsid w:val="00193B60"/>
    <w:rsid w:val="00197A1C"/>
    <w:rsid w:val="001A01E3"/>
    <w:rsid w:val="001A4CEB"/>
    <w:rsid w:val="001B0AEE"/>
    <w:rsid w:val="001C021D"/>
    <w:rsid w:val="001C1BB2"/>
    <w:rsid w:val="001D3FA8"/>
    <w:rsid w:val="001D5E9B"/>
    <w:rsid w:val="001D6422"/>
    <w:rsid w:val="001E5895"/>
    <w:rsid w:val="001F02DC"/>
    <w:rsid w:val="001F1E46"/>
    <w:rsid w:val="001F34B4"/>
    <w:rsid w:val="001F38AC"/>
    <w:rsid w:val="001F637E"/>
    <w:rsid w:val="00200E70"/>
    <w:rsid w:val="00201D37"/>
    <w:rsid w:val="00206A99"/>
    <w:rsid w:val="002145BA"/>
    <w:rsid w:val="00216D38"/>
    <w:rsid w:val="002238AD"/>
    <w:rsid w:val="00224A8F"/>
    <w:rsid w:val="002259C6"/>
    <w:rsid w:val="0023424E"/>
    <w:rsid w:val="002347D3"/>
    <w:rsid w:val="002353B3"/>
    <w:rsid w:val="00241A92"/>
    <w:rsid w:val="00242852"/>
    <w:rsid w:val="00246E50"/>
    <w:rsid w:val="002509C3"/>
    <w:rsid w:val="00253141"/>
    <w:rsid w:val="002576B6"/>
    <w:rsid w:val="00257AA9"/>
    <w:rsid w:val="002644E0"/>
    <w:rsid w:val="0026521A"/>
    <w:rsid w:val="00275B67"/>
    <w:rsid w:val="002773B7"/>
    <w:rsid w:val="00277D81"/>
    <w:rsid w:val="0028681A"/>
    <w:rsid w:val="00286F85"/>
    <w:rsid w:val="00290900"/>
    <w:rsid w:val="0029133D"/>
    <w:rsid w:val="00291EC5"/>
    <w:rsid w:val="00291FA4"/>
    <w:rsid w:val="002947E9"/>
    <w:rsid w:val="002961AD"/>
    <w:rsid w:val="002974DF"/>
    <w:rsid w:val="002A62BA"/>
    <w:rsid w:val="002B4720"/>
    <w:rsid w:val="002B4FDE"/>
    <w:rsid w:val="002B5CD0"/>
    <w:rsid w:val="002B77FD"/>
    <w:rsid w:val="002C362B"/>
    <w:rsid w:val="002C5813"/>
    <w:rsid w:val="002E61BF"/>
    <w:rsid w:val="002F1C6B"/>
    <w:rsid w:val="002F4D9C"/>
    <w:rsid w:val="002F6270"/>
    <w:rsid w:val="002F667F"/>
    <w:rsid w:val="002F7113"/>
    <w:rsid w:val="002F79D3"/>
    <w:rsid w:val="002F7C3C"/>
    <w:rsid w:val="00307732"/>
    <w:rsid w:val="00315A08"/>
    <w:rsid w:val="00320934"/>
    <w:rsid w:val="00320C15"/>
    <w:rsid w:val="00327827"/>
    <w:rsid w:val="003324C4"/>
    <w:rsid w:val="00333780"/>
    <w:rsid w:val="00334C85"/>
    <w:rsid w:val="00343C62"/>
    <w:rsid w:val="00344606"/>
    <w:rsid w:val="00351143"/>
    <w:rsid w:val="00352626"/>
    <w:rsid w:val="00352A93"/>
    <w:rsid w:val="003641DE"/>
    <w:rsid w:val="00367116"/>
    <w:rsid w:val="003744CE"/>
    <w:rsid w:val="00377ADD"/>
    <w:rsid w:val="003820F7"/>
    <w:rsid w:val="00386C82"/>
    <w:rsid w:val="00387E97"/>
    <w:rsid w:val="003911F7"/>
    <w:rsid w:val="00391A7A"/>
    <w:rsid w:val="00393990"/>
    <w:rsid w:val="003A03E9"/>
    <w:rsid w:val="003A1324"/>
    <w:rsid w:val="003A364D"/>
    <w:rsid w:val="003B318E"/>
    <w:rsid w:val="003B63FA"/>
    <w:rsid w:val="003C0497"/>
    <w:rsid w:val="003C44DE"/>
    <w:rsid w:val="003D094C"/>
    <w:rsid w:val="003D1FA3"/>
    <w:rsid w:val="003D3126"/>
    <w:rsid w:val="003D3283"/>
    <w:rsid w:val="003D37CB"/>
    <w:rsid w:val="003D3849"/>
    <w:rsid w:val="003D4B29"/>
    <w:rsid w:val="003D58DA"/>
    <w:rsid w:val="003E00D2"/>
    <w:rsid w:val="003E3818"/>
    <w:rsid w:val="003F1681"/>
    <w:rsid w:val="003F3FE6"/>
    <w:rsid w:val="003F4795"/>
    <w:rsid w:val="00401A65"/>
    <w:rsid w:val="004046CF"/>
    <w:rsid w:val="0042140D"/>
    <w:rsid w:val="00423B19"/>
    <w:rsid w:val="00425AD6"/>
    <w:rsid w:val="00430D31"/>
    <w:rsid w:val="0043235B"/>
    <w:rsid w:val="004401B4"/>
    <w:rsid w:val="00441171"/>
    <w:rsid w:val="00441186"/>
    <w:rsid w:val="004514E9"/>
    <w:rsid w:val="0046414E"/>
    <w:rsid w:val="00464241"/>
    <w:rsid w:val="004649F8"/>
    <w:rsid w:val="0046620A"/>
    <w:rsid w:val="00470257"/>
    <w:rsid w:val="004721C8"/>
    <w:rsid w:val="004728F1"/>
    <w:rsid w:val="0048171D"/>
    <w:rsid w:val="00483CEE"/>
    <w:rsid w:val="00484563"/>
    <w:rsid w:val="00484710"/>
    <w:rsid w:val="00485418"/>
    <w:rsid w:val="004860A5"/>
    <w:rsid w:val="00490335"/>
    <w:rsid w:val="00492B6A"/>
    <w:rsid w:val="00493F02"/>
    <w:rsid w:val="0049415C"/>
    <w:rsid w:val="004A0123"/>
    <w:rsid w:val="004A52E8"/>
    <w:rsid w:val="004A5405"/>
    <w:rsid w:val="004B03CC"/>
    <w:rsid w:val="004B122A"/>
    <w:rsid w:val="004B57B1"/>
    <w:rsid w:val="004C442F"/>
    <w:rsid w:val="004D6932"/>
    <w:rsid w:val="004E5D39"/>
    <w:rsid w:val="004E712E"/>
    <w:rsid w:val="004E777B"/>
    <w:rsid w:val="004F0936"/>
    <w:rsid w:val="004F21B2"/>
    <w:rsid w:val="004F287E"/>
    <w:rsid w:val="004F3A57"/>
    <w:rsid w:val="004F4911"/>
    <w:rsid w:val="004F4E9D"/>
    <w:rsid w:val="005001E7"/>
    <w:rsid w:val="00514F8A"/>
    <w:rsid w:val="00516365"/>
    <w:rsid w:val="00530DB4"/>
    <w:rsid w:val="005319D6"/>
    <w:rsid w:val="00535CC4"/>
    <w:rsid w:val="00542AE5"/>
    <w:rsid w:val="00560E77"/>
    <w:rsid w:val="00562066"/>
    <w:rsid w:val="00570C36"/>
    <w:rsid w:val="005717BC"/>
    <w:rsid w:val="00571AD5"/>
    <w:rsid w:val="0057413A"/>
    <w:rsid w:val="00580FCE"/>
    <w:rsid w:val="0058266D"/>
    <w:rsid w:val="00585779"/>
    <w:rsid w:val="005901A5"/>
    <w:rsid w:val="0059329A"/>
    <w:rsid w:val="005950B8"/>
    <w:rsid w:val="005A1C4A"/>
    <w:rsid w:val="005A1DFF"/>
    <w:rsid w:val="005A6D5C"/>
    <w:rsid w:val="005B2A9F"/>
    <w:rsid w:val="005B444B"/>
    <w:rsid w:val="005B478E"/>
    <w:rsid w:val="005B66FF"/>
    <w:rsid w:val="005C2D2D"/>
    <w:rsid w:val="005C3B60"/>
    <w:rsid w:val="005C4F2F"/>
    <w:rsid w:val="005C79D4"/>
    <w:rsid w:val="005C7BCC"/>
    <w:rsid w:val="005D525F"/>
    <w:rsid w:val="005D6AC0"/>
    <w:rsid w:val="005D741A"/>
    <w:rsid w:val="005E479C"/>
    <w:rsid w:val="005E5642"/>
    <w:rsid w:val="005F46CC"/>
    <w:rsid w:val="005F6E26"/>
    <w:rsid w:val="00600E5D"/>
    <w:rsid w:val="00606149"/>
    <w:rsid w:val="00611749"/>
    <w:rsid w:val="00617919"/>
    <w:rsid w:val="00620673"/>
    <w:rsid w:val="00623206"/>
    <w:rsid w:val="00623212"/>
    <w:rsid w:val="00625BC6"/>
    <w:rsid w:val="006302EC"/>
    <w:rsid w:val="006354B1"/>
    <w:rsid w:val="00636550"/>
    <w:rsid w:val="00641E3A"/>
    <w:rsid w:val="0064205D"/>
    <w:rsid w:val="00650164"/>
    <w:rsid w:val="00652075"/>
    <w:rsid w:val="006546DA"/>
    <w:rsid w:val="00655284"/>
    <w:rsid w:val="006616A0"/>
    <w:rsid w:val="00664E56"/>
    <w:rsid w:val="00665C29"/>
    <w:rsid w:val="00666869"/>
    <w:rsid w:val="00667D31"/>
    <w:rsid w:val="006707CA"/>
    <w:rsid w:val="00673DC2"/>
    <w:rsid w:val="0067406F"/>
    <w:rsid w:val="00675D63"/>
    <w:rsid w:val="00676358"/>
    <w:rsid w:val="00676C13"/>
    <w:rsid w:val="0067715C"/>
    <w:rsid w:val="00683780"/>
    <w:rsid w:val="00685A8C"/>
    <w:rsid w:val="00685F75"/>
    <w:rsid w:val="006861F6"/>
    <w:rsid w:val="00691F47"/>
    <w:rsid w:val="00692232"/>
    <w:rsid w:val="00692D0C"/>
    <w:rsid w:val="00693A0D"/>
    <w:rsid w:val="006A3A01"/>
    <w:rsid w:val="006A6B2E"/>
    <w:rsid w:val="006C4EAB"/>
    <w:rsid w:val="006C6978"/>
    <w:rsid w:val="006C737C"/>
    <w:rsid w:val="006C77D8"/>
    <w:rsid w:val="006D3945"/>
    <w:rsid w:val="006D4CEB"/>
    <w:rsid w:val="006D56C8"/>
    <w:rsid w:val="006E34D2"/>
    <w:rsid w:val="006E4989"/>
    <w:rsid w:val="006E5308"/>
    <w:rsid w:val="006F3DE5"/>
    <w:rsid w:val="006F49B8"/>
    <w:rsid w:val="006F5CF0"/>
    <w:rsid w:val="00717D06"/>
    <w:rsid w:val="007358A5"/>
    <w:rsid w:val="00742870"/>
    <w:rsid w:val="00743D7F"/>
    <w:rsid w:val="007550F6"/>
    <w:rsid w:val="0076578B"/>
    <w:rsid w:val="00766E9F"/>
    <w:rsid w:val="007675AA"/>
    <w:rsid w:val="007755F0"/>
    <w:rsid w:val="00777990"/>
    <w:rsid w:val="0078100A"/>
    <w:rsid w:val="0078261B"/>
    <w:rsid w:val="007844E7"/>
    <w:rsid w:val="00786CE7"/>
    <w:rsid w:val="00786D1F"/>
    <w:rsid w:val="00786D24"/>
    <w:rsid w:val="007920C0"/>
    <w:rsid w:val="00792FD3"/>
    <w:rsid w:val="0079568F"/>
    <w:rsid w:val="007965DD"/>
    <w:rsid w:val="007A7FB2"/>
    <w:rsid w:val="007C6888"/>
    <w:rsid w:val="007D1DE6"/>
    <w:rsid w:val="007D1DFA"/>
    <w:rsid w:val="007D201A"/>
    <w:rsid w:val="007D3598"/>
    <w:rsid w:val="007D6160"/>
    <w:rsid w:val="007D6BCB"/>
    <w:rsid w:val="007D709F"/>
    <w:rsid w:val="007E16ED"/>
    <w:rsid w:val="007F100F"/>
    <w:rsid w:val="007F1480"/>
    <w:rsid w:val="007F6D6F"/>
    <w:rsid w:val="00801CFC"/>
    <w:rsid w:val="00811331"/>
    <w:rsid w:val="00814861"/>
    <w:rsid w:val="0081636F"/>
    <w:rsid w:val="00816A84"/>
    <w:rsid w:val="00823A8B"/>
    <w:rsid w:val="00826CE2"/>
    <w:rsid w:val="00831AB7"/>
    <w:rsid w:val="008332BD"/>
    <w:rsid w:val="00844BAD"/>
    <w:rsid w:val="00846224"/>
    <w:rsid w:val="0085099C"/>
    <w:rsid w:val="00851F5A"/>
    <w:rsid w:val="00857697"/>
    <w:rsid w:val="00866B31"/>
    <w:rsid w:val="0086713E"/>
    <w:rsid w:val="00883372"/>
    <w:rsid w:val="00884517"/>
    <w:rsid w:val="00890CAE"/>
    <w:rsid w:val="008925E2"/>
    <w:rsid w:val="0089518E"/>
    <w:rsid w:val="0089755E"/>
    <w:rsid w:val="00897774"/>
    <w:rsid w:val="00897CB4"/>
    <w:rsid w:val="008A0FA9"/>
    <w:rsid w:val="008A5239"/>
    <w:rsid w:val="008B593B"/>
    <w:rsid w:val="008B5993"/>
    <w:rsid w:val="008B5C5A"/>
    <w:rsid w:val="008B6B85"/>
    <w:rsid w:val="008B7E94"/>
    <w:rsid w:val="008D0A01"/>
    <w:rsid w:val="008D1BED"/>
    <w:rsid w:val="008D2D52"/>
    <w:rsid w:val="008D44D4"/>
    <w:rsid w:val="008F299D"/>
    <w:rsid w:val="00904312"/>
    <w:rsid w:val="009043CD"/>
    <w:rsid w:val="00904905"/>
    <w:rsid w:val="00905045"/>
    <w:rsid w:val="00906723"/>
    <w:rsid w:val="00910FD4"/>
    <w:rsid w:val="00911E96"/>
    <w:rsid w:val="009237EA"/>
    <w:rsid w:val="0092733B"/>
    <w:rsid w:val="00927F0E"/>
    <w:rsid w:val="00946774"/>
    <w:rsid w:val="00951848"/>
    <w:rsid w:val="009623A9"/>
    <w:rsid w:val="009637A5"/>
    <w:rsid w:val="009650C4"/>
    <w:rsid w:val="00966395"/>
    <w:rsid w:val="009667B3"/>
    <w:rsid w:val="00976BAA"/>
    <w:rsid w:val="009824E1"/>
    <w:rsid w:val="00983684"/>
    <w:rsid w:val="009862FC"/>
    <w:rsid w:val="009A02CB"/>
    <w:rsid w:val="009A0E5C"/>
    <w:rsid w:val="009A1676"/>
    <w:rsid w:val="009A3CA1"/>
    <w:rsid w:val="009A4780"/>
    <w:rsid w:val="009A493C"/>
    <w:rsid w:val="009B0012"/>
    <w:rsid w:val="009B0D3B"/>
    <w:rsid w:val="009B14A2"/>
    <w:rsid w:val="009B3D48"/>
    <w:rsid w:val="009B4938"/>
    <w:rsid w:val="009C060D"/>
    <w:rsid w:val="009C0CD7"/>
    <w:rsid w:val="009C2E19"/>
    <w:rsid w:val="009C2F65"/>
    <w:rsid w:val="009C4481"/>
    <w:rsid w:val="009C44B7"/>
    <w:rsid w:val="009C4DB2"/>
    <w:rsid w:val="009E206F"/>
    <w:rsid w:val="009E3E23"/>
    <w:rsid w:val="009E6315"/>
    <w:rsid w:val="009E7E0A"/>
    <w:rsid w:val="009F01E9"/>
    <w:rsid w:val="009F24C2"/>
    <w:rsid w:val="009F75C7"/>
    <w:rsid w:val="00A03B94"/>
    <w:rsid w:val="00A074D0"/>
    <w:rsid w:val="00A07F49"/>
    <w:rsid w:val="00A12129"/>
    <w:rsid w:val="00A13B31"/>
    <w:rsid w:val="00A16B95"/>
    <w:rsid w:val="00A17467"/>
    <w:rsid w:val="00A220E2"/>
    <w:rsid w:val="00A30BDD"/>
    <w:rsid w:val="00A338F5"/>
    <w:rsid w:val="00A534A5"/>
    <w:rsid w:val="00A53E94"/>
    <w:rsid w:val="00A63E8A"/>
    <w:rsid w:val="00A6516A"/>
    <w:rsid w:val="00A75BA7"/>
    <w:rsid w:val="00A8050F"/>
    <w:rsid w:val="00A847CB"/>
    <w:rsid w:val="00A868BF"/>
    <w:rsid w:val="00A87DC7"/>
    <w:rsid w:val="00A90051"/>
    <w:rsid w:val="00A93D66"/>
    <w:rsid w:val="00A94B76"/>
    <w:rsid w:val="00A96D4C"/>
    <w:rsid w:val="00A97671"/>
    <w:rsid w:val="00AA03A6"/>
    <w:rsid w:val="00AA30EF"/>
    <w:rsid w:val="00AA4E89"/>
    <w:rsid w:val="00AA78CC"/>
    <w:rsid w:val="00AB3897"/>
    <w:rsid w:val="00AB3E96"/>
    <w:rsid w:val="00AB538A"/>
    <w:rsid w:val="00AC7306"/>
    <w:rsid w:val="00AD3DE4"/>
    <w:rsid w:val="00AD78A0"/>
    <w:rsid w:val="00AE027B"/>
    <w:rsid w:val="00AE7F6C"/>
    <w:rsid w:val="00AF286F"/>
    <w:rsid w:val="00AF63F1"/>
    <w:rsid w:val="00B00970"/>
    <w:rsid w:val="00B009BE"/>
    <w:rsid w:val="00B03A86"/>
    <w:rsid w:val="00B0708A"/>
    <w:rsid w:val="00B119AE"/>
    <w:rsid w:val="00B11ABB"/>
    <w:rsid w:val="00B1281E"/>
    <w:rsid w:val="00B12A31"/>
    <w:rsid w:val="00B1537E"/>
    <w:rsid w:val="00B16675"/>
    <w:rsid w:val="00B20668"/>
    <w:rsid w:val="00B21605"/>
    <w:rsid w:val="00B369ED"/>
    <w:rsid w:val="00B411F4"/>
    <w:rsid w:val="00B44781"/>
    <w:rsid w:val="00B44DB1"/>
    <w:rsid w:val="00B47C2E"/>
    <w:rsid w:val="00B52238"/>
    <w:rsid w:val="00B652AF"/>
    <w:rsid w:val="00B76CB8"/>
    <w:rsid w:val="00B80177"/>
    <w:rsid w:val="00B81078"/>
    <w:rsid w:val="00B81796"/>
    <w:rsid w:val="00B82624"/>
    <w:rsid w:val="00B90131"/>
    <w:rsid w:val="00B91F7E"/>
    <w:rsid w:val="00B9536E"/>
    <w:rsid w:val="00BA04B7"/>
    <w:rsid w:val="00BA4108"/>
    <w:rsid w:val="00BA4308"/>
    <w:rsid w:val="00BA5DD6"/>
    <w:rsid w:val="00BA5F7D"/>
    <w:rsid w:val="00BB7A7A"/>
    <w:rsid w:val="00BC181B"/>
    <w:rsid w:val="00BC34ED"/>
    <w:rsid w:val="00BC5AF2"/>
    <w:rsid w:val="00BD4571"/>
    <w:rsid w:val="00BE13B8"/>
    <w:rsid w:val="00BE6310"/>
    <w:rsid w:val="00BE79D1"/>
    <w:rsid w:val="00BF2EC5"/>
    <w:rsid w:val="00C00169"/>
    <w:rsid w:val="00C025F9"/>
    <w:rsid w:val="00C06960"/>
    <w:rsid w:val="00C12644"/>
    <w:rsid w:val="00C12F4F"/>
    <w:rsid w:val="00C2273D"/>
    <w:rsid w:val="00C228AB"/>
    <w:rsid w:val="00C22D13"/>
    <w:rsid w:val="00C31D38"/>
    <w:rsid w:val="00C32150"/>
    <w:rsid w:val="00C33410"/>
    <w:rsid w:val="00C34BDE"/>
    <w:rsid w:val="00C3599A"/>
    <w:rsid w:val="00C43FA0"/>
    <w:rsid w:val="00C45A3C"/>
    <w:rsid w:val="00C46DAF"/>
    <w:rsid w:val="00C51486"/>
    <w:rsid w:val="00C53D3A"/>
    <w:rsid w:val="00C57A2A"/>
    <w:rsid w:val="00C600F6"/>
    <w:rsid w:val="00C62B89"/>
    <w:rsid w:val="00C811BC"/>
    <w:rsid w:val="00C84244"/>
    <w:rsid w:val="00C86328"/>
    <w:rsid w:val="00C870CF"/>
    <w:rsid w:val="00C87CD8"/>
    <w:rsid w:val="00CA31A4"/>
    <w:rsid w:val="00CA788A"/>
    <w:rsid w:val="00CB2D67"/>
    <w:rsid w:val="00CB41F3"/>
    <w:rsid w:val="00CB5282"/>
    <w:rsid w:val="00CB7DC2"/>
    <w:rsid w:val="00CC484C"/>
    <w:rsid w:val="00CC4A5D"/>
    <w:rsid w:val="00CD31E8"/>
    <w:rsid w:val="00CE116C"/>
    <w:rsid w:val="00CE15EA"/>
    <w:rsid w:val="00CE43AB"/>
    <w:rsid w:val="00CE4B88"/>
    <w:rsid w:val="00CF10F1"/>
    <w:rsid w:val="00CF2AD1"/>
    <w:rsid w:val="00D0356E"/>
    <w:rsid w:val="00D05715"/>
    <w:rsid w:val="00D06135"/>
    <w:rsid w:val="00D1542B"/>
    <w:rsid w:val="00D1588F"/>
    <w:rsid w:val="00D16082"/>
    <w:rsid w:val="00D171E5"/>
    <w:rsid w:val="00D17284"/>
    <w:rsid w:val="00D23BDA"/>
    <w:rsid w:val="00D243AC"/>
    <w:rsid w:val="00D25194"/>
    <w:rsid w:val="00D34449"/>
    <w:rsid w:val="00D36F36"/>
    <w:rsid w:val="00D53964"/>
    <w:rsid w:val="00D5724D"/>
    <w:rsid w:val="00D6098B"/>
    <w:rsid w:val="00D62BB8"/>
    <w:rsid w:val="00D63D63"/>
    <w:rsid w:val="00D6506E"/>
    <w:rsid w:val="00D7295D"/>
    <w:rsid w:val="00DA1A98"/>
    <w:rsid w:val="00DA56FB"/>
    <w:rsid w:val="00DA5BB7"/>
    <w:rsid w:val="00DA630A"/>
    <w:rsid w:val="00DB18CD"/>
    <w:rsid w:val="00DB2483"/>
    <w:rsid w:val="00DB33F6"/>
    <w:rsid w:val="00DB7E58"/>
    <w:rsid w:val="00DC15CB"/>
    <w:rsid w:val="00DC58A1"/>
    <w:rsid w:val="00DC62EA"/>
    <w:rsid w:val="00DD0A20"/>
    <w:rsid w:val="00DD2FF7"/>
    <w:rsid w:val="00DD3BE3"/>
    <w:rsid w:val="00DD47DE"/>
    <w:rsid w:val="00DE4DAA"/>
    <w:rsid w:val="00DE5C41"/>
    <w:rsid w:val="00DE6BA8"/>
    <w:rsid w:val="00DF2E63"/>
    <w:rsid w:val="00DF5ACA"/>
    <w:rsid w:val="00DF6680"/>
    <w:rsid w:val="00DF6F90"/>
    <w:rsid w:val="00E03BB2"/>
    <w:rsid w:val="00E048DC"/>
    <w:rsid w:val="00E16121"/>
    <w:rsid w:val="00E1624C"/>
    <w:rsid w:val="00E16D52"/>
    <w:rsid w:val="00E20F4B"/>
    <w:rsid w:val="00E23843"/>
    <w:rsid w:val="00E3029F"/>
    <w:rsid w:val="00E30FAB"/>
    <w:rsid w:val="00E42BB9"/>
    <w:rsid w:val="00E430A4"/>
    <w:rsid w:val="00E4650B"/>
    <w:rsid w:val="00E646C2"/>
    <w:rsid w:val="00E66553"/>
    <w:rsid w:val="00E72518"/>
    <w:rsid w:val="00E7436D"/>
    <w:rsid w:val="00E74F21"/>
    <w:rsid w:val="00E9308D"/>
    <w:rsid w:val="00E93D97"/>
    <w:rsid w:val="00E96FCA"/>
    <w:rsid w:val="00E97445"/>
    <w:rsid w:val="00EA1C79"/>
    <w:rsid w:val="00EA6294"/>
    <w:rsid w:val="00EB4626"/>
    <w:rsid w:val="00EB60BC"/>
    <w:rsid w:val="00EB63A6"/>
    <w:rsid w:val="00EB77E3"/>
    <w:rsid w:val="00EC15F8"/>
    <w:rsid w:val="00EC28AE"/>
    <w:rsid w:val="00EC3B9E"/>
    <w:rsid w:val="00EC5FC0"/>
    <w:rsid w:val="00ED0B4D"/>
    <w:rsid w:val="00ED1134"/>
    <w:rsid w:val="00ED175D"/>
    <w:rsid w:val="00ED2415"/>
    <w:rsid w:val="00ED6972"/>
    <w:rsid w:val="00EE0286"/>
    <w:rsid w:val="00EE0D79"/>
    <w:rsid w:val="00EE4A8B"/>
    <w:rsid w:val="00EF254E"/>
    <w:rsid w:val="00EF2F04"/>
    <w:rsid w:val="00EF2FFB"/>
    <w:rsid w:val="00F0089F"/>
    <w:rsid w:val="00F01CD5"/>
    <w:rsid w:val="00F04361"/>
    <w:rsid w:val="00F04C20"/>
    <w:rsid w:val="00F07F89"/>
    <w:rsid w:val="00F12C53"/>
    <w:rsid w:val="00F15DE3"/>
    <w:rsid w:val="00F178CA"/>
    <w:rsid w:val="00F2229D"/>
    <w:rsid w:val="00F23463"/>
    <w:rsid w:val="00F2365A"/>
    <w:rsid w:val="00F239D3"/>
    <w:rsid w:val="00F36A25"/>
    <w:rsid w:val="00F42B50"/>
    <w:rsid w:val="00F434D2"/>
    <w:rsid w:val="00F52031"/>
    <w:rsid w:val="00F52C6C"/>
    <w:rsid w:val="00F5384C"/>
    <w:rsid w:val="00F563E5"/>
    <w:rsid w:val="00F672E0"/>
    <w:rsid w:val="00F70BFC"/>
    <w:rsid w:val="00F72284"/>
    <w:rsid w:val="00F7588D"/>
    <w:rsid w:val="00F768B7"/>
    <w:rsid w:val="00F76A13"/>
    <w:rsid w:val="00F81A9A"/>
    <w:rsid w:val="00F82FA6"/>
    <w:rsid w:val="00F83092"/>
    <w:rsid w:val="00F83221"/>
    <w:rsid w:val="00F833B7"/>
    <w:rsid w:val="00F83957"/>
    <w:rsid w:val="00F83E6A"/>
    <w:rsid w:val="00F85774"/>
    <w:rsid w:val="00F96DA1"/>
    <w:rsid w:val="00F9729D"/>
    <w:rsid w:val="00FA2900"/>
    <w:rsid w:val="00FC2CA7"/>
    <w:rsid w:val="00FC470E"/>
    <w:rsid w:val="00FC4CB3"/>
    <w:rsid w:val="00FD07B6"/>
    <w:rsid w:val="00FD183F"/>
    <w:rsid w:val="00FD3425"/>
    <w:rsid w:val="00FD7A36"/>
    <w:rsid w:val="00FD7B1E"/>
    <w:rsid w:val="00FE0142"/>
    <w:rsid w:val="00FE3196"/>
    <w:rsid w:val="00FE61AC"/>
    <w:rsid w:val="00FF5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DC7E"/>
  <w15:chartTrackingRefBased/>
  <w15:docId w15:val="{376941AA-7B19-AD48-A918-8F70F983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4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4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4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4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467"/>
    <w:rPr>
      <w:rFonts w:eastAsiaTheme="majorEastAsia" w:cstheme="majorBidi"/>
      <w:color w:val="272727" w:themeColor="text1" w:themeTint="D8"/>
    </w:rPr>
  </w:style>
  <w:style w:type="paragraph" w:styleId="Title">
    <w:name w:val="Title"/>
    <w:basedOn w:val="Normal"/>
    <w:next w:val="Normal"/>
    <w:link w:val="TitleChar"/>
    <w:uiPriority w:val="10"/>
    <w:qFormat/>
    <w:rsid w:val="00A174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4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4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7467"/>
    <w:rPr>
      <w:i/>
      <w:iCs/>
      <w:color w:val="404040" w:themeColor="text1" w:themeTint="BF"/>
    </w:rPr>
  </w:style>
  <w:style w:type="paragraph" w:styleId="ListParagraph">
    <w:name w:val="List Paragraph"/>
    <w:basedOn w:val="Normal"/>
    <w:uiPriority w:val="34"/>
    <w:qFormat/>
    <w:rsid w:val="00A17467"/>
    <w:pPr>
      <w:ind w:left="720"/>
      <w:contextualSpacing/>
    </w:pPr>
  </w:style>
  <w:style w:type="character" w:styleId="IntenseEmphasis">
    <w:name w:val="Intense Emphasis"/>
    <w:basedOn w:val="DefaultParagraphFont"/>
    <w:uiPriority w:val="21"/>
    <w:qFormat/>
    <w:rsid w:val="00A17467"/>
    <w:rPr>
      <w:i/>
      <w:iCs/>
      <w:color w:val="0F4761" w:themeColor="accent1" w:themeShade="BF"/>
    </w:rPr>
  </w:style>
  <w:style w:type="paragraph" w:styleId="IntenseQuote">
    <w:name w:val="Intense Quote"/>
    <w:basedOn w:val="Normal"/>
    <w:next w:val="Normal"/>
    <w:link w:val="IntenseQuoteChar"/>
    <w:uiPriority w:val="30"/>
    <w:qFormat/>
    <w:rsid w:val="00A17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467"/>
    <w:rPr>
      <w:i/>
      <w:iCs/>
      <w:color w:val="0F4761" w:themeColor="accent1" w:themeShade="BF"/>
    </w:rPr>
  </w:style>
  <w:style w:type="character" w:styleId="IntenseReference">
    <w:name w:val="Intense Reference"/>
    <w:basedOn w:val="DefaultParagraphFont"/>
    <w:uiPriority w:val="32"/>
    <w:qFormat/>
    <w:rsid w:val="00A17467"/>
    <w:rPr>
      <w:b/>
      <w:bCs/>
      <w:smallCaps/>
      <w:color w:val="0F4761" w:themeColor="accent1" w:themeShade="BF"/>
      <w:spacing w:val="5"/>
    </w:rPr>
  </w:style>
  <w:style w:type="paragraph" w:styleId="FootnoteText">
    <w:name w:val="footnote text"/>
    <w:basedOn w:val="Normal"/>
    <w:link w:val="FootnoteTextChar"/>
    <w:uiPriority w:val="99"/>
    <w:semiHidden/>
    <w:unhideWhenUsed/>
    <w:rsid w:val="007D1DFA"/>
    <w:rPr>
      <w:sz w:val="20"/>
      <w:szCs w:val="20"/>
    </w:rPr>
  </w:style>
  <w:style w:type="character" w:customStyle="1" w:styleId="FootnoteTextChar">
    <w:name w:val="Footnote Text Char"/>
    <w:basedOn w:val="DefaultParagraphFont"/>
    <w:link w:val="FootnoteText"/>
    <w:uiPriority w:val="99"/>
    <w:semiHidden/>
    <w:rsid w:val="007D1DFA"/>
    <w:rPr>
      <w:sz w:val="20"/>
      <w:szCs w:val="20"/>
    </w:rPr>
  </w:style>
  <w:style w:type="character" w:styleId="FootnoteReference">
    <w:name w:val="footnote reference"/>
    <w:basedOn w:val="DefaultParagraphFont"/>
    <w:uiPriority w:val="99"/>
    <w:semiHidden/>
    <w:unhideWhenUsed/>
    <w:rsid w:val="007D1DFA"/>
    <w:rPr>
      <w:vertAlign w:val="superscript"/>
    </w:rPr>
  </w:style>
  <w:style w:type="character" w:styleId="Hyperlink">
    <w:name w:val="Hyperlink"/>
    <w:basedOn w:val="DefaultParagraphFont"/>
    <w:uiPriority w:val="99"/>
    <w:unhideWhenUsed/>
    <w:rsid w:val="00F15DE3"/>
    <w:rPr>
      <w:color w:val="467886" w:themeColor="hyperlink"/>
      <w:u w:val="single"/>
    </w:rPr>
  </w:style>
  <w:style w:type="character" w:styleId="UnresolvedMention">
    <w:name w:val="Unresolved Mention"/>
    <w:basedOn w:val="DefaultParagraphFont"/>
    <w:uiPriority w:val="99"/>
    <w:semiHidden/>
    <w:unhideWhenUsed/>
    <w:rsid w:val="00F15DE3"/>
    <w:rPr>
      <w:color w:val="605E5C"/>
      <w:shd w:val="clear" w:color="auto" w:fill="E1DFDD"/>
    </w:rPr>
  </w:style>
  <w:style w:type="paragraph" w:styleId="Header">
    <w:name w:val="header"/>
    <w:basedOn w:val="Normal"/>
    <w:link w:val="HeaderChar"/>
    <w:uiPriority w:val="99"/>
    <w:unhideWhenUsed/>
    <w:rsid w:val="00275B67"/>
    <w:pPr>
      <w:tabs>
        <w:tab w:val="center" w:pos="4513"/>
        <w:tab w:val="right" w:pos="9026"/>
      </w:tabs>
    </w:pPr>
  </w:style>
  <w:style w:type="character" w:customStyle="1" w:styleId="HeaderChar">
    <w:name w:val="Header Char"/>
    <w:basedOn w:val="DefaultParagraphFont"/>
    <w:link w:val="Header"/>
    <w:uiPriority w:val="99"/>
    <w:rsid w:val="00275B67"/>
  </w:style>
  <w:style w:type="paragraph" w:styleId="Footer">
    <w:name w:val="footer"/>
    <w:basedOn w:val="Normal"/>
    <w:link w:val="FooterChar"/>
    <w:uiPriority w:val="99"/>
    <w:unhideWhenUsed/>
    <w:rsid w:val="00275B67"/>
    <w:pPr>
      <w:tabs>
        <w:tab w:val="center" w:pos="4513"/>
        <w:tab w:val="right" w:pos="9026"/>
      </w:tabs>
    </w:pPr>
  </w:style>
  <w:style w:type="character" w:customStyle="1" w:styleId="FooterChar">
    <w:name w:val="Footer Char"/>
    <w:basedOn w:val="DefaultParagraphFont"/>
    <w:link w:val="Footer"/>
    <w:uiPriority w:val="99"/>
    <w:rsid w:val="00275B67"/>
  </w:style>
  <w:style w:type="character" w:styleId="PageNumber">
    <w:name w:val="page number"/>
    <w:basedOn w:val="DefaultParagraphFont"/>
    <w:uiPriority w:val="99"/>
    <w:semiHidden/>
    <w:unhideWhenUsed/>
    <w:rsid w:val="00275B67"/>
  </w:style>
  <w:style w:type="paragraph" w:styleId="NormalWeb">
    <w:name w:val="Normal (Web)"/>
    <w:basedOn w:val="Normal"/>
    <w:uiPriority w:val="99"/>
    <w:semiHidden/>
    <w:unhideWhenUsed/>
    <w:rsid w:val="008332B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6D3945"/>
    <w:pPr>
      <w:spacing w:after="200"/>
    </w:pPr>
    <w:rPr>
      <w:i/>
      <w:iCs/>
      <w:color w:val="0E2841" w:themeColor="text2"/>
      <w:sz w:val="18"/>
      <w:szCs w:val="18"/>
    </w:rPr>
  </w:style>
  <w:style w:type="table" w:styleId="GridTable1Light">
    <w:name w:val="Grid Table 1 Light"/>
    <w:basedOn w:val="TableNormal"/>
    <w:uiPriority w:val="46"/>
    <w:rsid w:val="00535C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13B3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323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80FC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122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516A"/>
    <w:rPr>
      <w:color w:val="96607D" w:themeColor="followedHyperlink"/>
      <w:u w:val="single"/>
    </w:rPr>
  </w:style>
  <w:style w:type="paragraph" w:customStyle="1" w:styleId="p1">
    <w:name w:val="p1"/>
    <w:basedOn w:val="Normal"/>
    <w:rsid w:val="00EF2FFB"/>
    <w:rPr>
      <w:rFonts w:ascii="Helvetica" w:eastAsia="Times New Roman" w:hAnsi="Helvetica" w:cs="Times New Roman"/>
      <w:color w:val="000000"/>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1247">
      <w:bodyDiv w:val="1"/>
      <w:marLeft w:val="0"/>
      <w:marRight w:val="0"/>
      <w:marTop w:val="0"/>
      <w:marBottom w:val="0"/>
      <w:divBdr>
        <w:top w:val="none" w:sz="0" w:space="0" w:color="auto"/>
        <w:left w:val="none" w:sz="0" w:space="0" w:color="auto"/>
        <w:bottom w:val="none" w:sz="0" w:space="0" w:color="auto"/>
        <w:right w:val="none" w:sz="0" w:space="0" w:color="auto"/>
      </w:divBdr>
    </w:div>
    <w:div w:id="37752129">
      <w:bodyDiv w:val="1"/>
      <w:marLeft w:val="0"/>
      <w:marRight w:val="0"/>
      <w:marTop w:val="0"/>
      <w:marBottom w:val="0"/>
      <w:divBdr>
        <w:top w:val="none" w:sz="0" w:space="0" w:color="auto"/>
        <w:left w:val="none" w:sz="0" w:space="0" w:color="auto"/>
        <w:bottom w:val="none" w:sz="0" w:space="0" w:color="auto"/>
        <w:right w:val="none" w:sz="0" w:space="0" w:color="auto"/>
      </w:divBdr>
    </w:div>
    <w:div w:id="64960875">
      <w:bodyDiv w:val="1"/>
      <w:marLeft w:val="0"/>
      <w:marRight w:val="0"/>
      <w:marTop w:val="0"/>
      <w:marBottom w:val="0"/>
      <w:divBdr>
        <w:top w:val="none" w:sz="0" w:space="0" w:color="auto"/>
        <w:left w:val="none" w:sz="0" w:space="0" w:color="auto"/>
        <w:bottom w:val="none" w:sz="0" w:space="0" w:color="auto"/>
        <w:right w:val="none" w:sz="0" w:space="0" w:color="auto"/>
      </w:divBdr>
    </w:div>
    <w:div w:id="118575596">
      <w:bodyDiv w:val="1"/>
      <w:marLeft w:val="0"/>
      <w:marRight w:val="0"/>
      <w:marTop w:val="0"/>
      <w:marBottom w:val="0"/>
      <w:divBdr>
        <w:top w:val="none" w:sz="0" w:space="0" w:color="auto"/>
        <w:left w:val="none" w:sz="0" w:space="0" w:color="auto"/>
        <w:bottom w:val="none" w:sz="0" w:space="0" w:color="auto"/>
        <w:right w:val="none" w:sz="0" w:space="0" w:color="auto"/>
      </w:divBdr>
    </w:div>
    <w:div w:id="155734509">
      <w:bodyDiv w:val="1"/>
      <w:marLeft w:val="0"/>
      <w:marRight w:val="0"/>
      <w:marTop w:val="0"/>
      <w:marBottom w:val="0"/>
      <w:divBdr>
        <w:top w:val="none" w:sz="0" w:space="0" w:color="auto"/>
        <w:left w:val="none" w:sz="0" w:space="0" w:color="auto"/>
        <w:bottom w:val="none" w:sz="0" w:space="0" w:color="auto"/>
        <w:right w:val="none" w:sz="0" w:space="0" w:color="auto"/>
      </w:divBdr>
    </w:div>
    <w:div w:id="180046003">
      <w:bodyDiv w:val="1"/>
      <w:marLeft w:val="0"/>
      <w:marRight w:val="0"/>
      <w:marTop w:val="0"/>
      <w:marBottom w:val="0"/>
      <w:divBdr>
        <w:top w:val="none" w:sz="0" w:space="0" w:color="auto"/>
        <w:left w:val="none" w:sz="0" w:space="0" w:color="auto"/>
        <w:bottom w:val="none" w:sz="0" w:space="0" w:color="auto"/>
        <w:right w:val="none" w:sz="0" w:space="0" w:color="auto"/>
      </w:divBdr>
    </w:div>
    <w:div w:id="225144331">
      <w:bodyDiv w:val="1"/>
      <w:marLeft w:val="0"/>
      <w:marRight w:val="0"/>
      <w:marTop w:val="0"/>
      <w:marBottom w:val="0"/>
      <w:divBdr>
        <w:top w:val="none" w:sz="0" w:space="0" w:color="auto"/>
        <w:left w:val="none" w:sz="0" w:space="0" w:color="auto"/>
        <w:bottom w:val="none" w:sz="0" w:space="0" w:color="auto"/>
        <w:right w:val="none" w:sz="0" w:space="0" w:color="auto"/>
      </w:divBdr>
    </w:div>
    <w:div w:id="230194020">
      <w:bodyDiv w:val="1"/>
      <w:marLeft w:val="0"/>
      <w:marRight w:val="0"/>
      <w:marTop w:val="0"/>
      <w:marBottom w:val="0"/>
      <w:divBdr>
        <w:top w:val="none" w:sz="0" w:space="0" w:color="auto"/>
        <w:left w:val="none" w:sz="0" w:space="0" w:color="auto"/>
        <w:bottom w:val="none" w:sz="0" w:space="0" w:color="auto"/>
        <w:right w:val="none" w:sz="0" w:space="0" w:color="auto"/>
      </w:divBdr>
    </w:div>
    <w:div w:id="275523682">
      <w:bodyDiv w:val="1"/>
      <w:marLeft w:val="0"/>
      <w:marRight w:val="0"/>
      <w:marTop w:val="0"/>
      <w:marBottom w:val="0"/>
      <w:divBdr>
        <w:top w:val="none" w:sz="0" w:space="0" w:color="auto"/>
        <w:left w:val="none" w:sz="0" w:space="0" w:color="auto"/>
        <w:bottom w:val="none" w:sz="0" w:space="0" w:color="auto"/>
        <w:right w:val="none" w:sz="0" w:space="0" w:color="auto"/>
      </w:divBdr>
    </w:div>
    <w:div w:id="298220960">
      <w:bodyDiv w:val="1"/>
      <w:marLeft w:val="0"/>
      <w:marRight w:val="0"/>
      <w:marTop w:val="0"/>
      <w:marBottom w:val="0"/>
      <w:divBdr>
        <w:top w:val="none" w:sz="0" w:space="0" w:color="auto"/>
        <w:left w:val="none" w:sz="0" w:space="0" w:color="auto"/>
        <w:bottom w:val="none" w:sz="0" w:space="0" w:color="auto"/>
        <w:right w:val="none" w:sz="0" w:space="0" w:color="auto"/>
      </w:divBdr>
    </w:div>
    <w:div w:id="370694724">
      <w:bodyDiv w:val="1"/>
      <w:marLeft w:val="0"/>
      <w:marRight w:val="0"/>
      <w:marTop w:val="0"/>
      <w:marBottom w:val="0"/>
      <w:divBdr>
        <w:top w:val="none" w:sz="0" w:space="0" w:color="auto"/>
        <w:left w:val="none" w:sz="0" w:space="0" w:color="auto"/>
        <w:bottom w:val="none" w:sz="0" w:space="0" w:color="auto"/>
        <w:right w:val="none" w:sz="0" w:space="0" w:color="auto"/>
      </w:divBdr>
    </w:div>
    <w:div w:id="387727860">
      <w:bodyDiv w:val="1"/>
      <w:marLeft w:val="0"/>
      <w:marRight w:val="0"/>
      <w:marTop w:val="0"/>
      <w:marBottom w:val="0"/>
      <w:divBdr>
        <w:top w:val="none" w:sz="0" w:space="0" w:color="auto"/>
        <w:left w:val="none" w:sz="0" w:space="0" w:color="auto"/>
        <w:bottom w:val="none" w:sz="0" w:space="0" w:color="auto"/>
        <w:right w:val="none" w:sz="0" w:space="0" w:color="auto"/>
      </w:divBdr>
    </w:div>
    <w:div w:id="443961079">
      <w:bodyDiv w:val="1"/>
      <w:marLeft w:val="0"/>
      <w:marRight w:val="0"/>
      <w:marTop w:val="0"/>
      <w:marBottom w:val="0"/>
      <w:divBdr>
        <w:top w:val="none" w:sz="0" w:space="0" w:color="auto"/>
        <w:left w:val="none" w:sz="0" w:space="0" w:color="auto"/>
        <w:bottom w:val="none" w:sz="0" w:space="0" w:color="auto"/>
        <w:right w:val="none" w:sz="0" w:space="0" w:color="auto"/>
      </w:divBdr>
    </w:div>
    <w:div w:id="491069455">
      <w:bodyDiv w:val="1"/>
      <w:marLeft w:val="0"/>
      <w:marRight w:val="0"/>
      <w:marTop w:val="0"/>
      <w:marBottom w:val="0"/>
      <w:divBdr>
        <w:top w:val="none" w:sz="0" w:space="0" w:color="auto"/>
        <w:left w:val="none" w:sz="0" w:space="0" w:color="auto"/>
        <w:bottom w:val="none" w:sz="0" w:space="0" w:color="auto"/>
        <w:right w:val="none" w:sz="0" w:space="0" w:color="auto"/>
      </w:divBdr>
    </w:div>
    <w:div w:id="520246633">
      <w:bodyDiv w:val="1"/>
      <w:marLeft w:val="0"/>
      <w:marRight w:val="0"/>
      <w:marTop w:val="0"/>
      <w:marBottom w:val="0"/>
      <w:divBdr>
        <w:top w:val="none" w:sz="0" w:space="0" w:color="auto"/>
        <w:left w:val="none" w:sz="0" w:space="0" w:color="auto"/>
        <w:bottom w:val="none" w:sz="0" w:space="0" w:color="auto"/>
        <w:right w:val="none" w:sz="0" w:space="0" w:color="auto"/>
      </w:divBdr>
    </w:div>
    <w:div w:id="563838839">
      <w:bodyDiv w:val="1"/>
      <w:marLeft w:val="0"/>
      <w:marRight w:val="0"/>
      <w:marTop w:val="0"/>
      <w:marBottom w:val="0"/>
      <w:divBdr>
        <w:top w:val="none" w:sz="0" w:space="0" w:color="auto"/>
        <w:left w:val="none" w:sz="0" w:space="0" w:color="auto"/>
        <w:bottom w:val="none" w:sz="0" w:space="0" w:color="auto"/>
        <w:right w:val="none" w:sz="0" w:space="0" w:color="auto"/>
      </w:divBdr>
    </w:div>
    <w:div w:id="599263445">
      <w:bodyDiv w:val="1"/>
      <w:marLeft w:val="0"/>
      <w:marRight w:val="0"/>
      <w:marTop w:val="0"/>
      <w:marBottom w:val="0"/>
      <w:divBdr>
        <w:top w:val="none" w:sz="0" w:space="0" w:color="auto"/>
        <w:left w:val="none" w:sz="0" w:space="0" w:color="auto"/>
        <w:bottom w:val="none" w:sz="0" w:space="0" w:color="auto"/>
        <w:right w:val="none" w:sz="0" w:space="0" w:color="auto"/>
      </w:divBdr>
    </w:div>
    <w:div w:id="632443319">
      <w:bodyDiv w:val="1"/>
      <w:marLeft w:val="0"/>
      <w:marRight w:val="0"/>
      <w:marTop w:val="0"/>
      <w:marBottom w:val="0"/>
      <w:divBdr>
        <w:top w:val="none" w:sz="0" w:space="0" w:color="auto"/>
        <w:left w:val="none" w:sz="0" w:space="0" w:color="auto"/>
        <w:bottom w:val="none" w:sz="0" w:space="0" w:color="auto"/>
        <w:right w:val="none" w:sz="0" w:space="0" w:color="auto"/>
      </w:divBdr>
    </w:div>
    <w:div w:id="644817816">
      <w:bodyDiv w:val="1"/>
      <w:marLeft w:val="0"/>
      <w:marRight w:val="0"/>
      <w:marTop w:val="0"/>
      <w:marBottom w:val="0"/>
      <w:divBdr>
        <w:top w:val="none" w:sz="0" w:space="0" w:color="auto"/>
        <w:left w:val="none" w:sz="0" w:space="0" w:color="auto"/>
        <w:bottom w:val="none" w:sz="0" w:space="0" w:color="auto"/>
        <w:right w:val="none" w:sz="0" w:space="0" w:color="auto"/>
      </w:divBdr>
    </w:div>
    <w:div w:id="672488804">
      <w:bodyDiv w:val="1"/>
      <w:marLeft w:val="0"/>
      <w:marRight w:val="0"/>
      <w:marTop w:val="0"/>
      <w:marBottom w:val="0"/>
      <w:divBdr>
        <w:top w:val="none" w:sz="0" w:space="0" w:color="auto"/>
        <w:left w:val="none" w:sz="0" w:space="0" w:color="auto"/>
        <w:bottom w:val="none" w:sz="0" w:space="0" w:color="auto"/>
        <w:right w:val="none" w:sz="0" w:space="0" w:color="auto"/>
      </w:divBdr>
    </w:div>
    <w:div w:id="709493095">
      <w:bodyDiv w:val="1"/>
      <w:marLeft w:val="0"/>
      <w:marRight w:val="0"/>
      <w:marTop w:val="0"/>
      <w:marBottom w:val="0"/>
      <w:divBdr>
        <w:top w:val="none" w:sz="0" w:space="0" w:color="auto"/>
        <w:left w:val="none" w:sz="0" w:space="0" w:color="auto"/>
        <w:bottom w:val="none" w:sz="0" w:space="0" w:color="auto"/>
        <w:right w:val="none" w:sz="0" w:space="0" w:color="auto"/>
      </w:divBdr>
    </w:div>
    <w:div w:id="728726715">
      <w:bodyDiv w:val="1"/>
      <w:marLeft w:val="0"/>
      <w:marRight w:val="0"/>
      <w:marTop w:val="0"/>
      <w:marBottom w:val="0"/>
      <w:divBdr>
        <w:top w:val="none" w:sz="0" w:space="0" w:color="auto"/>
        <w:left w:val="none" w:sz="0" w:space="0" w:color="auto"/>
        <w:bottom w:val="none" w:sz="0" w:space="0" w:color="auto"/>
        <w:right w:val="none" w:sz="0" w:space="0" w:color="auto"/>
      </w:divBdr>
    </w:div>
    <w:div w:id="731003263">
      <w:bodyDiv w:val="1"/>
      <w:marLeft w:val="0"/>
      <w:marRight w:val="0"/>
      <w:marTop w:val="0"/>
      <w:marBottom w:val="0"/>
      <w:divBdr>
        <w:top w:val="none" w:sz="0" w:space="0" w:color="auto"/>
        <w:left w:val="none" w:sz="0" w:space="0" w:color="auto"/>
        <w:bottom w:val="none" w:sz="0" w:space="0" w:color="auto"/>
        <w:right w:val="none" w:sz="0" w:space="0" w:color="auto"/>
      </w:divBdr>
    </w:div>
    <w:div w:id="760953878">
      <w:bodyDiv w:val="1"/>
      <w:marLeft w:val="0"/>
      <w:marRight w:val="0"/>
      <w:marTop w:val="0"/>
      <w:marBottom w:val="0"/>
      <w:divBdr>
        <w:top w:val="none" w:sz="0" w:space="0" w:color="auto"/>
        <w:left w:val="none" w:sz="0" w:space="0" w:color="auto"/>
        <w:bottom w:val="none" w:sz="0" w:space="0" w:color="auto"/>
        <w:right w:val="none" w:sz="0" w:space="0" w:color="auto"/>
      </w:divBdr>
    </w:div>
    <w:div w:id="853424151">
      <w:bodyDiv w:val="1"/>
      <w:marLeft w:val="0"/>
      <w:marRight w:val="0"/>
      <w:marTop w:val="0"/>
      <w:marBottom w:val="0"/>
      <w:divBdr>
        <w:top w:val="none" w:sz="0" w:space="0" w:color="auto"/>
        <w:left w:val="none" w:sz="0" w:space="0" w:color="auto"/>
        <w:bottom w:val="none" w:sz="0" w:space="0" w:color="auto"/>
        <w:right w:val="none" w:sz="0" w:space="0" w:color="auto"/>
      </w:divBdr>
    </w:div>
    <w:div w:id="862941331">
      <w:bodyDiv w:val="1"/>
      <w:marLeft w:val="0"/>
      <w:marRight w:val="0"/>
      <w:marTop w:val="0"/>
      <w:marBottom w:val="0"/>
      <w:divBdr>
        <w:top w:val="none" w:sz="0" w:space="0" w:color="auto"/>
        <w:left w:val="none" w:sz="0" w:space="0" w:color="auto"/>
        <w:bottom w:val="none" w:sz="0" w:space="0" w:color="auto"/>
        <w:right w:val="none" w:sz="0" w:space="0" w:color="auto"/>
      </w:divBdr>
    </w:div>
    <w:div w:id="960724354">
      <w:bodyDiv w:val="1"/>
      <w:marLeft w:val="0"/>
      <w:marRight w:val="0"/>
      <w:marTop w:val="0"/>
      <w:marBottom w:val="0"/>
      <w:divBdr>
        <w:top w:val="none" w:sz="0" w:space="0" w:color="auto"/>
        <w:left w:val="none" w:sz="0" w:space="0" w:color="auto"/>
        <w:bottom w:val="none" w:sz="0" w:space="0" w:color="auto"/>
        <w:right w:val="none" w:sz="0" w:space="0" w:color="auto"/>
      </w:divBdr>
    </w:div>
    <w:div w:id="977539473">
      <w:bodyDiv w:val="1"/>
      <w:marLeft w:val="0"/>
      <w:marRight w:val="0"/>
      <w:marTop w:val="0"/>
      <w:marBottom w:val="0"/>
      <w:divBdr>
        <w:top w:val="none" w:sz="0" w:space="0" w:color="auto"/>
        <w:left w:val="none" w:sz="0" w:space="0" w:color="auto"/>
        <w:bottom w:val="none" w:sz="0" w:space="0" w:color="auto"/>
        <w:right w:val="none" w:sz="0" w:space="0" w:color="auto"/>
      </w:divBdr>
    </w:div>
    <w:div w:id="1194146556">
      <w:bodyDiv w:val="1"/>
      <w:marLeft w:val="0"/>
      <w:marRight w:val="0"/>
      <w:marTop w:val="0"/>
      <w:marBottom w:val="0"/>
      <w:divBdr>
        <w:top w:val="none" w:sz="0" w:space="0" w:color="auto"/>
        <w:left w:val="none" w:sz="0" w:space="0" w:color="auto"/>
        <w:bottom w:val="none" w:sz="0" w:space="0" w:color="auto"/>
        <w:right w:val="none" w:sz="0" w:space="0" w:color="auto"/>
      </w:divBdr>
    </w:div>
    <w:div w:id="1213268903">
      <w:bodyDiv w:val="1"/>
      <w:marLeft w:val="0"/>
      <w:marRight w:val="0"/>
      <w:marTop w:val="0"/>
      <w:marBottom w:val="0"/>
      <w:divBdr>
        <w:top w:val="none" w:sz="0" w:space="0" w:color="auto"/>
        <w:left w:val="none" w:sz="0" w:space="0" w:color="auto"/>
        <w:bottom w:val="none" w:sz="0" w:space="0" w:color="auto"/>
        <w:right w:val="none" w:sz="0" w:space="0" w:color="auto"/>
      </w:divBdr>
    </w:div>
    <w:div w:id="1213811756">
      <w:bodyDiv w:val="1"/>
      <w:marLeft w:val="0"/>
      <w:marRight w:val="0"/>
      <w:marTop w:val="0"/>
      <w:marBottom w:val="0"/>
      <w:divBdr>
        <w:top w:val="none" w:sz="0" w:space="0" w:color="auto"/>
        <w:left w:val="none" w:sz="0" w:space="0" w:color="auto"/>
        <w:bottom w:val="none" w:sz="0" w:space="0" w:color="auto"/>
        <w:right w:val="none" w:sz="0" w:space="0" w:color="auto"/>
      </w:divBdr>
    </w:div>
    <w:div w:id="1352755913">
      <w:bodyDiv w:val="1"/>
      <w:marLeft w:val="0"/>
      <w:marRight w:val="0"/>
      <w:marTop w:val="0"/>
      <w:marBottom w:val="0"/>
      <w:divBdr>
        <w:top w:val="none" w:sz="0" w:space="0" w:color="auto"/>
        <w:left w:val="none" w:sz="0" w:space="0" w:color="auto"/>
        <w:bottom w:val="none" w:sz="0" w:space="0" w:color="auto"/>
        <w:right w:val="none" w:sz="0" w:space="0" w:color="auto"/>
      </w:divBdr>
    </w:div>
    <w:div w:id="1375891391">
      <w:bodyDiv w:val="1"/>
      <w:marLeft w:val="0"/>
      <w:marRight w:val="0"/>
      <w:marTop w:val="0"/>
      <w:marBottom w:val="0"/>
      <w:divBdr>
        <w:top w:val="none" w:sz="0" w:space="0" w:color="auto"/>
        <w:left w:val="none" w:sz="0" w:space="0" w:color="auto"/>
        <w:bottom w:val="none" w:sz="0" w:space="0" w:color="auto"/>
        <w:right w:val="none" w:sz="0" w:space="0" w:color="auto"/>
      </w:divBdr>
    </w:div>
    <w:div w:id="1451246655">
      <w:bodyDiv w:val="1"/>
      <w:marLeft w:val="0"/>
      <w:marRight w:val="0"/>
      <w:marTop w:val="0"/>
      <w:marBottom w:val="0"/>
      <w:divBdr>
        <w:top w:val="none" w:sz="0" w:space="0" w:color="auto"/>
        <w:left w:val="none" w:sz="0" w:space="0" w:color="auto"/>
        <w:bottom w:val="none" w:sz="0" w:space="0" w:color="auto"/>
        <w:right w:val="none" w:sz="0" w:space="0" w:color="auto"/>
      </w:divBdr>
    </w:div>
    <w:div w:id="1475021671">
      <w:bodyDiv w:val="1"/>
      <w:marLeft w:val="0"/>
      <w:marRight w:val="0"/>
      <w:marTop w:val="0"/>
      <w:marBottom w:val="0"/>
      <w:divBdr>
        <w:top w:val="none" w:sz="0" w:space="0" w:color="auto"/>
        <w:left w:val="none" w:sz="0" w:space="0" w:color="auto"/>
        <w:bottom w:val="none" w:sz="0" w:space="0" w:color="auto"/>
        <w:right w:val="none" w:sz="0" w:space="0" w:color="auto"/>
      </w:divBdr>
    </w:div>
    <w:div w:id="1475641320">
      <w:bodyDiv w:val="1"/>
      <w:marLeft w:val="0"/>
      <w:marRight w:val="0"/>
      <w:marTop w:val="0"/>
      <w:marBottom w:val="0"/>
      <w:divBdr>
        <w:top w:val="none" w:sz="0" w:space="0" w:color="auto"/>
        <w:left w:val="none" w:sz="0" w:space="0" w:color="auto"/>
        <w:bottom w:val="none" w:sz="0" w:space="0" w:color="auto"/>
        <w:right w:val="none" w:sz="0" w:space="0" w:color="auto"/>
      </w:divBdr>
    </w:div>
    <w:div w:id="1497843285">
      <w:bodyDiv w:val="1"/>
      <w:marLeft w:val="0"/>
      <w:marRight w:val="0"/>
      <w:marTop w:val="0"/>
      <w:marBottom w:val="0"/>
      <w:divBdr>
        <w:top w:val="none" w:sz="0" w:space="0" w:color="auto"/>
        <w:left w:val="none" w:sz="0" w:space="0" w:color="auto"/>
        <w:bottom w:val="none" w:sz="0" w:space="0" w:color="auto"/>
        <w:right w:val="none" w:sz="0" w:space="0" w:color="auto"/>
      </w:divBdr>
    </w:div>
    <w:div w:id="1501233970">
      <w:bodyDiv w:val="1"/>
      <w:marLeft w:val="0"/>
      <w:marRight w:val="0"/>
      <w:marTop w:val="0"/>
      <w:marBottom w:val="0"/>
      <w:divBdr>
        <w:top w:val="none" w:sz="0" w:space="0" w:color="auto"/>
        <w:left w:val="none" w:sz="0" w:space="0" w:color="auto"/>
        <w:bottom w:val="none" w:sz="0" w:space="0" w:color="auto"/>
        <w:right w:val="none" w:sz="0" w:space="0" w:color="auto"/>
      </w:divBdr>
    </w:div>
    <w:div w:id="1568683885">
      <w:bodyDiv w:val="1"/>
      <w:marLeft w:val="0"/>
      <w:marRight w:val="0"/>
      <w:marTop w:val="0"/>
      <w:marBottom w:val="0"/>
      <w:divBdr>
        <w:top w:val="none" w:sz="0" w:space="0" w:color="auto"/>
        <w:left w:val="none" w:sz="0" w:space="0" w:color="auto"/>
        <w:bottom w:val="none" w:sz="0" w:space="0" w:color="auto"/>
        <w:right w:val="none" w:sz="0" w:space="0" w:color="auto"/>
      </w:divBdr>
    </w:div>
    <w:div w:id="1576238795">
      <w:bodyDiv w:val="1"/>
      <w:marLeft w:val="0"/>
      <w:marRight w:val="0"/>
      <w:marTop w:val="0"/>
      <w:marBottom w:val="0"/>
      <w:divBdr>
        <w:top w:val="none" w:sz="0" w:space="0" w:color="auto"/>
        <w:left w:val="none" w:sz="0" w:space="0" w:color="auto"/>
        <w:bottom w:val="none" w:sz="0" w:space="0" w:color="auto"/>
        <w:right w:val="none" w:sz="0" w:space="0" w:color="auto"/>
      </w:divBdr>
    </w:div>
    <w:div w:id="1623340901">
      <w:bodyDiv w:val="1"/>
      <w:marLeft w:val="0"/>
      <w:marRight w:val="0"/>
      <w:marTop w:val="0"/>
      <w:marBottom w:val="0"/>
      <w:divBdr>
        <w:top w:val="none" w:sz="0" w:space="0" w:color="auto"/>
        <w:left w:val="none" w:sz="0" w:space="0" w:color="auto"/>
        <w:bottom w:val="none" w:sz="0" w:space="0" w:color="auto"/>
        <w:right w:val="none" w:sz="0" w:space="0" w:color="auto"/>
      </w:divBdr>
    </w:div>
    <w:div w:id="1637830962">
      <w:bodyDiv w:val="1"/>
      <w:marLeft w:val="0"/>
      <w:marRight w:val="0"/>
      <w:marTop w:val="0"/>
      <w:marBottom w:val="0"/>
      <w:divBdr>
        <w:top w:val="none" w:sz="0" w:space="0" w:color="auto"/>
        <w:left w:val="none" w:sz="0" w:space="0" w:color="auto"/>
        <w:bottom w:val="none" w:sz="0" w:space="0" w:color="auto"/>
        <w:right w:val="none" w:sz="0" w:space="0" w:color="auto"/>
      </w:divBdr>
    </w:div>
    <w:div w:id="1663122516">
      <w:bodyDiv w:val="1"/>
      <w:marLeft w:val="0"/>
      <w:marRight w:val="0"/>
      <w:marTop w:val="0"/>
      <w:marBottom w:val="0"/>
      <w:divBdr>
        <w:top w:val="none" w:sz="0" w:space="0" w:color="auto"/>
        <w:left w:val="none" w:sz="0" w:space="0" w:color="auto"/>
        <w:bottom w:val="none" w:sz="0" w:space="0" w:color="auto"/>
        <w:right w:val="none" w:sz="0" w:space="0" w:color="auto"/>
      </w:divBdr>
    </w:div>
    <w:div w:id="1707679204">
      <w:bodyDiv w:val="1"/>
      <w:marLeft w:val="0"/>
      <w:marRight w:val="0"/>
      <w:marTop w:val="0"/>
      <w:marBottom w:val="0"/>
      <w:divBdr>
        <w:top w:val="none" w:sz="0" w:space="0" w:color="auto"/>
        <w:left w:val="none" w:sz="0" w:space="0" w:color="auto"/>
        <w:bottom w:val="none" w:sz="0" w:space="0" w:color="auto"/>
        <w:right w:val="none" w:sz="0" w:space="0" w:color="auto"/>
      </w:divBdr>
    </w:div>
    <w:div w:id="1717966439">
      <w:bodyDiv w:val="1"/>
      <w:marLeft w:val="0"/>
      <w:marRight w:val="0"/>
      <w:marTop w:val="0"/>
      <w:marBottom w:val="0"/>
      <w:divBdr>
        <w:top w:val="none" w:sz="0" w:space="0" w:color="auto"/>
        <w:left w:val="none" w:sz="0" w:space="0" w:color="auto"/>
        <w:bottom w:val="none" w:sz="0" w:space="0" w:color="auto"/>
        <w:right w:val="none" w:sz="0" w:space="0" w:color="auto"/>
      </w:divBdr>
    </w:div>
    <w:div w:id="1754358013">
      <w:bodyDiv w:val="1"/>
      <w:marLeft w:val="0"/>
      <w:marRight w:val="0"/>
      <w:marTop w:val="0"/>
      <w:marBottom w:val="0"/>
      <w:divBdr>
        <w:top w:val="none" w:sz="0" w:space="0" w:color="auto"/>
        <w:left w:val="none" w:sz="0" w:space="0" w:color="auto"/>
        <w:bottom w:val="none" w:sz="0" w:space="0" w:color="auto"/>
        <w:right w:val="none" w:sz="0" w:space="0" w:color="auto"/>
      </w:divBdr>
    </w:div>
    <w:div w:id="1781097376">
      <w:bodyDiv w:val="1"/>
      <w:marLeft w:val="0"/>
      <w:marRight w:val="0"/>
      <w:marTop w:val="0"/>
      <w:marBottom w:val="0"/>
      <w:divBdr>
        <w:top w:val="none" w:sz="0" w:space="0" w:color="auto"/>
        <w:left w:val="none" w:sz="0" w:space="0" w:color="auto"/>
        <w:bottom w:val="none" w:sz="0" w:space="0" w:color="auto"/>
        <w:right w:val="none" w:sz="0" w:space="0" w:color="auto"/>
      </w:divBdr>
    </w:div>
    <w:div w:id="1868834221">
      <w:bodyDiv w:val="1"/>
      <w:marLeft w:val="0"/>
      <w:marRight w:val="0"/>
      <w:marTop w:val="0"/>
      <w:marBottom w:val="0"/>
      <w:divBdr>
        <w:top w:val="none" w:sz="0" w:space="0" w:color="auto"/>
        <w:left w:val="none" w:sz="0" w:space="0" w:color="auto"/>
        <w:bottom w:val="none" w:sz="0" w:space="0" w:color="auto"/>
        <w:right w:val="none" w:sz="0" w:space="0" w:color="auto"/>
      </w:divBdr>
    </w:div>
    <w:div w:id="1938712075">
      <w:bodyDiv w:val="1"/>
      <w:marLeft w:val="0"/>
      <w:marRight w:val="0"/>
      <w:marTop w:val="0"/>
      <w:marBottom w:val="0"/>
      <w:divBdr>
        <w:top w:val="none" w:sz="0" w:space="0" w:color="auto"/>
        <w:left w:val="none" w:sz="0" w:space="0" w:color="auto"/>
        <w:bottom w:val="none" w:sz="0" w:space="0" w:color="auto"/>
        <w:right w:val="none" w:sz="0" w:space="0" w:color="auto"/>
      </w:divBdr>
    </w:div>
    <w:div w:id="1939022909">
      <w:bodyDiv w:val="1"/>
      <w:marLeft w:val="0"/>
      <w:marRight w:val="0"/>
      <w:marTop w:val="0"/>
      <w:marBottom w:val="0"/>
      <w:divBdr>
        <w:top w:val="none" w:sz="0" w:space="0" w:color="auto"/>
        <w:left w:val="none" w:sz="0" w:space="0" w:color="auto"/>
        <w:bottom w:val="none" w:sz="0" w:space="0" w:color="auto"/>
        <w:right w:val="none" w:sz="0" w:space="0" w:color="auto"/>
      </w:divBdr>
    </w:div>
    <w:div w:id="1985351678">
      <w:bodyDiv w:val="1"/>
      <w:marLeft w:val="0"/>
      <w:marRight w:val="0"/>
      <w:marTop w:val="0"/>
      <w:marBottom w:val="0"/>
      <w:divBdr>
        <w:top w:val="none" w:sz="0" w:space="0" w:color="auto"/>
        <w:left w:val="none" w:sz="0" w:space="0" w:color="auto"/>
        <w:bottom w:val="none" w:sz="0" w:space="0" w:color="auto"/>
        <w:right w:val="none" w:sz="0" w:space="0" w:color="auto"/>
      </w:divBdr>
    </w:div>
    <w:div w:id="20698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issanli2@gmail.com"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thub.com/barissanli/ein"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C2B10-837C-454E-BCCB-962CA87A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Sanlı</dc:creator>
  <cp:keywords/>
  <dc:description/>
  <cp:lastModifiedBy>Barış Sanlı</cp:lastModifiedBy>
  <cp:revision>3</cp:revision>
  <cp:lastPrinted>2025-07-18T19:02:00Z</cp:lastPrinted>
  <dcterms:created xsi:type="dcterms:W3CDTF">2025-07-23T17:38:00Z</dcterms:created>
  <dcterms:modified xsi:type="dcterms:W3CDTF">2025-07-23T18:38:00Z</dcterms:modified>
</cp:coreProperties>
</file>