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horzAnchor="margin" w:tblpXSpec="center" w:tblpY="325"/>
        <w:tblW w:w="0" w:type="auto"/>
        <w:tblLook w:val="04A0" w:firstRow="1" w:lastRow="0" w:firstColumn="1" w:lastColumn="0" w:noHBand="0" w:noVBand="1"/>
      </w:tblPr>
      <w:tblGrid>
        <w:gridCol w:w="1597"/>
      </w:tblGrid>
      <w:tr w:rsidR="00867EBE" w:rsidRPr="00183D55" w:rsidTr="00867EBE">
        <w:trPr>
          <w:trHeight w:val="738"/>
        </w:trPr>
        <w:tc>
          <w:tcPr>
            <w:tcW w:w="1597" w:type="dxa"/>
          </w:tcPr>
          <w:p w:rsidR="00867EBE" w:rsidRPr="00867EBE" w:rsidRDefault="0091563F" w:rsidP="00867EBE">
            <w:pPr>
              <w:tabs>
                <w:tab w:val="left" w:pos="284"/>
                <w:tab w:val="center" w:pos="4680"/>
                <w:tab w:val="right" w:pos="9360"/>
              </w:tabs>
              <w:overflowPunct/>
              <w:autoSpaceDE/>
              <w:autoSpaceDN/>
              <w:adjustRightInd/>
              <w:spacing w:after="0"/>
              <w:jc w:val="right"/>
              <w:textAlignment w:val="auto"/>
              <w:rPr>
                <w:rFonts w:ascii="Calibri" w:eastAsia="Calibri" w:hAnsi="Calibri"/>
                <w:noProof/>
                <w:sz w:val="22"/>
                <w:szCs w:val="22"/>
                <w:lang w:val="en-US"/>
              </w:rPr>
            </w:pPr>
            <w:bookmarkStart w:id="0" w:name="_GoBack"/>
            <w:bookmarkEnd w:id="0"/>
            <w:r>
              <w:rPr>
                <w:rFonts w:ascii="Calibri" w:eastAsia="Calibri" w:hAnsi="Calibri"/>
                <w:noProof/>
                <w:sz w:val="22"/>
                <w:szCs w:val="22"/>
                <w:lang w:eastAsia="en-GB"/>
              </w:rPr>
              <w:drawing>
                <wp:inline distT="0" distB="0" distL="0" distR="0" wp14:anchorId="55E22964" wp14:editId="605AC8CD">
                  <wp:extent cx="847090" cy="579120"/>
                  <wp:effectExtent l="0" t="0" r="0" b="0"/>
                  <wp:docPr id="1" name="Picture 1" descr="oneM2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M2M-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090" cy="579120"/>
                          </a:xfrm>
                          <a:prstGeom prst="rect">
                            <a:avLst/>
                          </a:prstGeom>
                          <a:noFill/>
                          <a:ln>
                            <a:noFill/>
                          </a:ln>
                        </pic:spPr>
                      </pic:pic>
                    </a:graphicData>
                  </a:graphic>
                </wp:inline>
              </w:drawing>
            </w:r>
          </w:p>
        </w:tc>
      </w:tr>
    </w:tbl>
    <w:p w:rsidR="00BC33F7" w:rsidRPr="0035391E" w:rsidRDefault="00BC33F7" w:rsidP="00BC33F7">
      <w:pPr>
        <w:pStyle w:val="FP"/>
        <w:framePr w:h="1625" w:hRule="exact" w:wrap="notBeside" w:vAnchor="page" w:hAnchor="page" w:x="871" w:y="11581"/>
        <w:spacing w:after="240"/>
        <w:jc w:val="center"/>
        <w:rPr>
          <w:rFonts w:ascii="Arial" w:hAnsi="Arial" w:cs="Arial"/>
          <w:sz w:val="18"/>
          <w:szCs w:val="18"/>
        </w:rPr>
      </w:pPr>
      <w:bookmarkStart w:id="1" w:name="GSBox"/>
    </w:p>
    <w:bookmarkEnd w:id="1"/>
    <w:p w:rsidR="004A3476" w:rsidRDefault="004A3476" w:rsidP="004A3476">
      <w:pPr>
        <w:rPr>
          <w:lang w:val="fr-FR" w:eastAsia="zh-CN"/>
        </w:rPr>
      </w:pPr>
    </w:p>
    <w:p w:rsidR="004A3476" w:rsidRDefault="004A3476" w:rsidP="004A3476">
      <w:pPr>
        <w:rPr>
          <w:lang w:val="fr-FR"/>
        </w:rPr>
      </w:pPr>
    </w:p>
    <w:p w:rsidR="004A3476" w:rsidRDefault="004A3476" w:rsidP="004A3476">
      <w:pPr>
        <w:rPr>
          <w:lang w:val="fr-FR"/>
        </w:rPr>
      </w:pPr>
    </w:p>
    <w:p w:rsidR="004A3476" w:rsidRDefault="004A3476" w:rsidP="004A3476">
      <w:pPr>
        <w:rPr>
          <w:lang w:val="fr-FR"/>
        </w:rPr>
      </w:pPr>
    </w:p>
    <w:p w:rsidR="004A3476" w:rsidRPr="0035391E" w:rsidRDefault="004A3476" w:rsidP="004A3476">
      <w:pPr>
        <w:pStyle w:val="FP"/>
        <w:framePr w:h="1625" w:hRule="exact" w:wrap="notBeside" w:vAnchor="page" w:hAnchor="page" w:x="871" w:y="11581"/>
        <w:spacing w:after="240"/>
        <w:jc w:val="center"/>
        <w:rPr>
          <w:rFonts w:ascii="Arial" w:hAnsi="Arial" w:cs="Arial"/>
          <w:sz w:val="18"/>
          <w:szCs w:val="18"/>
        </w:rPr>
      </w:pPr>
    </w:p>
    <w:tbl>
      <w:tblPr>
        <w:tblW w:w="9463" w:type="dxa"/>
        <w:jc w:val="center"/>
        <w:tblBorders>
          <w:top w:val="single" w:sz="4" w:space="0" w:color="A0A0A3"/>
          <w:left w:val="single" w:sz="4" w:space="0" w:color="A0A0A3"/>
          <w:bottom w:val="single" w:sz="4" w:space="0" w:color="A0A0A3"/>
          <w:right w:val="single" w:sz="4" w:space="0" w:color="A0A0A3"/>
          <w:insideH w:val="single" w:sz="4" w:space="0" w:color="A0A0A3"/>
          <w:insideV w:val="single" w:sz="4" w:space="0" w:color="A0A0A3"/>
        </w:tblBorders>
        <w:shd w:val="clear" w:color="auto" w:fill="C00000"/>
        <w:tblCellMar>
          <w:top w:w="29" w:type="dxa"/>
          <w:left w:w="115" w:type="dxa"/>
          <w:bottom w:w="29" w:type="dxa"/>
          <w:right w:w="115" w:type="dxa"/>
        </w:tblCellMar>
        <w:tblLook w:val="0000" w:firstRow="0" w:lastRow="0" w:firstColumn="0" w:lastColumn="0" w:noHBand="0" w:noVBand="0"/>
      </w:tblPr>
      <w:tblGrid>
        <w:gridCol w:w="2512"/>
        <w:gridCol w:w="6951"/>
      </w:tblGrid>
      <w:tr w:rsidR="004A3476" w:rsidRPr="004E77A7" w:rsidTr="00994C8E">
        <w:trPr>
          <w:trHeight w:val="302"/>
          <w:jc w:val="center"/>
        </w:trPr>
        <w:tc>
          <w:tcPr>
            <w:tcW w:w="9463" w:type="dxa"/>
            <w:gridSpan w:val="2"/>
            <w:shd w:val="clear" w:color="auto" w:fill="B42025"/>
          </w:tcPr>
          <w:p w:rsidR="004A3476" w:rsidRPr="004E77A7" w:rsidRDefault="004A3476" w:rsidP="00994C8E">
            <w:pPr>
              <w:shd w:val="clear" w:color="auto" w:fill="B42025"/>
              <w:overflowPunct/>
              <w:autoSpaceDE/>
              <w:autoSpaceDN/>
              <w:adjustRightInd/>
              <w:spacing w:after="0"/>
              <w:ind w:right="10"/>
              <w:jc w:val="center"/>
              <w:textAlignment w:val="auto"/>
              <w:rPr>
                <w:b/>
                <w:smallCaps/>
                <w:color w:val="FFFFFF"/>
                <w:spacing w:val="30"/>
                <w:sz w:val="36"/>
                <w:szCs w:val="24"/>
              </w:rPr>
            </w:pPr>
            <w:bookmarkStart w:id="2" w:name="page2"/>
            <w:r w:rsidRPr="004E77A7">
              <w:rPr>
                <w:b/>
                <w:smallCaps/>
                <w:color w:val="FFFFFF"/>
                <w:spacing w:val="30"/>
                <w:sz w:val="36"/>
                <w:szCs w:val="24"/>
              </w:rPr>
              <w:t>oneM2M</w:t>
            </w:r>
          </w:p>
          <w:p w:rsidR="004A3476" w:rsidRPr="004E77A7" w:rsidRDefault="004A3476" w:rsidP="00994C8E">
            <w:pPr>
              <w:shd w:val="clear" w:color="auto" w:fill="B42025"/>
              <w:overflowPunct/>
              <w:autoSpaceDE/>
              <w:autoSpaceDN/>
              <w:adjustRightInd/>
              <w:spacing w:after="0"/>
              <w:ind w:right="10"/>
              <w:jc w:val="center"/>
              <w:textAlignment w:val="auto"/>
              <w:rPr>
                <w:b/>
                <w:smallCaps/>
                <w:color w:val="FFFFFF"/>
                <w:spacing w:val="30"/>
                <w:sz w:val="36"/>
                <w:szCs w:val="24"/>
              </w:rPr>
            </w:pPr>
            <w:r w:rsidRPr="004E77A7">
              <w:rPr>
                <w:b/>
                <w:smallCaps/>
                <w:color w:val="FFFFFF"/>
                <w:spacing w:val="30"/>
                <w:sz w:val="36"/>
                <w:szCs w:val="24"/>
              </w:rPr>
              <w:t>Technical Report</w:t>
            </w:r>
          </w:p>
        </w:tc>
      </w:tr>
      <w:tr w:rsidR="004A3476" w:rsidRPr="004E77A7" w:rsidTr="00994C8E">
        <w:trPr>
          <w:trHeight w:val="124"/>
          <w:jc w:val="center"/>
        </w:trPr>
        <w:tc>
          <w:tcPr>
            <w:tcW w:w="2512" w:type="dxa"/>
            <w:shd w:val="clear" w:color="auto" w:fill="A0A0A3"/>
          </w:tcPr>
          <w:p w:rsidR="004A3476" w:rsidRPr="004E77A7" w:rsidRDefault="004A3476" w:rsidP="00994C8E">
            <w:pPr>
              <w:overflowPunct/>
              <w:autoSpaceDE/>
              <w:autoSpaceDN/>
              <w:adjustRightInd/>
              <w:spacing w:after="0"/>
              <w:ind w:right="10"/>
              <w:textAlignment w:val="auto"/>
              <w:rPr>
                <w:bCs/>
                <w:color w:val="FFFFFF"/>
                <w:sz w:val="24"/>
                <w:szCs w:val="24"/>
              </w:rPr>
            </w:pPr>
            <w:r w:rsidRPr="004E77A7">
              <w:rPr>
                <w:bCs/>
                <w:color w:val="FFFFFF"/>
                <w:sz w:val="24"/>
                <w:szCs w:val="24"/>
              </w:rPr>
              <w:t>Document Number</w:t>
            </w:r>
          </w:p>
        </w:tc>
        <w:tc>
          <w:tcPr>
            <w:tcW w:w="6951" w:type="dxa"/>
            <w:shd w:val="clear" w:color="auto" w:fill="FFFFFF"/>
          </w:tcPr>
          <w:p w:rsidR="004A3476" w:rsidRPr="004E77A7" w:rsidRDefault="004A3476" w:rsidP="005202D0">
            <w:pPr>
              <w:keepNext/>
              <w:keepLines/>
              <w:overflowPunct/>
              <w:autoSpaceDE/>
              <w:autoSpaceDN/>
              <w:adjustRightInd/>
              <w:spacing w:before="60" w:after="60"/>
              <w:ind w:right="10"/>
              <w:textAlignment w:val="auto"/>
              <w:rPr>
                <w:sz w:val="22"/>
                <w:szCs w:val="24"/>
                <w:lang w:val="en-US" w:eastAsia="zh-CN"/>
              </w:rPr>
            </w:pPr>
            <w:r w:rsidRPr="004E77A7">
              <w:rPr>
                <w:rFonts w:eastAsia="BatangChe"/>
                <w:sz w:val="22"/>
                <w:szCs w:val="24"/>
                <w:lang w:val="en-US"/>
              </w:rPr>
              <w:t>TR-</w:t>
            </w:r>
            <w:r w:rsidR="00B42E8B">
              <w:rPr>
                <w:rFonts w:eastAsia="BatangChe"/>
                <w:sz w:val="22"/>
                <w:szCs w:val="24"/>
                <w:lang w:val="en-US"/>
              </w:rPr>
              <w:t>0048</w:t>
            </w:r>
            <w:r w:rsidRPr="004E77A7">
              <w:rPr>
                <w:rFonts w:eastAsia="BatangChe"/>
                <w:sz w:val="22"/>
                <w:szCs w:val="24"/>
                <w:lang w:val="en-US"/>
              </w:rPr>
              <w:t>-V</w:t>
            </w:r>
            <w:r w:rsidR="00CB5D36">
              <w:rPr>
                <w:rFonts w:eastAsia="BatangChe"/>
                <w:sz w:val="22"/>
                <w:szCs w:val="24"/>
                <w:lang w:val="en-US"/>
              </w:rPr>
              <w:t>0.0.</w:t>
            </w:r>
            <w:r w:rsidR="005202D0">
              <w:rPr>
                <w:rFonts w:eastAsia="BatangChe"/>
                <w:sz w:val="22"/>
                <w:szCs w:val="24"/>
                <w:lang w:val="en-US"/>
              </w:rPr>
              <w:t>4</w:t>
            </w:r>
          </w:p>
        </w:tc>
      </w:tr>
      <w:tr w:rsidR="004A3476" w:rsidRPr="004E77A7" w:rsidTr="00994C8E">
        <w:trPr>
          <w:trHeight w:val="116"/>
          <w:jc w:val="center"/>
        </w:trPr>
        <w:tc>
          <w:tcPr>
            <w:tcW w:w="2512" w:type="dxa"/>
            <w:shd w:val="clear" w:color="auto" w:fill="A0A0A3"/>
          </w:tcPr>
          <w:p w:rsidR="004A3476" w:rsidRPr="004E77A7" w:rsidRDefault="004A3476" w:rsidP="00994C8E">
            <w:pPr>
              <w:overflowPunct/>
              <w:autoSpaceDE/>
              <w:autoSpaceDN/>
              <w:adjustRightInd/>
              <w:spacing w:after="0"/>
              <w:ind w:right="10"/>
              <w:textAlignment w:val="auto"/>
              <w:rPr>
                <w:bCs/>
                <w:color w:val="FFFFFF"/>
                <w:sz w:val="24"/>
                <w:szCs w:val="24"/>
              </w:rPr>
            </w:pPr>
            <w:r w:rsidRPr="004E77A7">
              <w:rPr>
                <w:bCs/>
                <w:color w:val="FFFFFF"/>
                <w:sz w:val="24"/>
                <w:szCs w:val="24"/>
              </w:rPr>
              <w:t>Document Name:</w:t>
            </w:r>
          </w:p>
        </w:tc>
        <w:tc>
          <w:tcPr>
            <w:tcW w:w="6951" w:type="dxa"/>
            <w:shd w:val="clear" w:color="auto" w:fill="FFFFFF"/>
          </w:tcPr>
          <w:p w:rsidR="004A3476" w:rsidRPr="004E77A7" w:rsidRDefault="004A3476" w:rsidP="00CB5D36">
            <w:pPr>
              <w:keepNext/>
              <w:keepLines/>
              <w:overflowPunct/>
              <w:autoSpaceDE/>
              <w:autoSpaceDN/>
              <w:adjustRightInd/>
              <w:spacing w:before="60" w:after="60"/>
              <w:ind w:right="10"/>
              <w:textAlignment w:val="auto"/>
              <w:rPr>
                <w:rFonts w:eastAsia="BatangChe"/>
                <w:sz w:val="22"/>
                <w:szCs w:val="24"/>
                <w:lang w:val="en-US"/>
              </w:rPr>
            </w:pPr>
            <w:r w:rsidRPr="004E77A7">
              <w:rPr>
                <w:sz w:val="22"/>
                <w:szCs w:val="24"/>
                <w:lang w:val="en-US" w:eastAsia="zh-CN"/>
              </w:rPr>
              <w:t xml:space="preserve">oneM2M </w:t>
            </w:r>
            <w:r w:rsidR="004C05A1">
              <w:rPr>
                <w:rFonts w:eastAsia="BatangChe"/>
                <w:sz w:val="22"/>
                <w:szCs w:val="24"/>
                <w:lang w:val="en-US"/>
              </w:rPr>
              <w:t>App-ID</w:t>
            </w:r>
            <w:r w:rsidR="00CB5D36">
              <w:rPr>
                <w:rFonts w:eastAsia="BatangChe"/>
                <w:sz w:val="22"/>
                <w:szCs w:val="24"/>
                <w:lang w:val="en-US"/>
              </w:rPr>
              <w:t xml:space="preserve"> Registry Function </w:t>
            </w:r>
            <w:r w:rsidRPr="004E77A7">
              <w:rPr>
                <w:rFonts w:eastAsia="BatangChe"/>
                <w:sz w:val="22"/>
                <w:szCs w:val="24"/>
                <w:lang w:val="en-US"/>
              </w:rPr>
              <w:t xml:space="preserve"> </w:t>
            </w:r>
          </w:p>
        </w:tc>
      </w:tr>
      <w:tr w:rsidR="004A3476" w:rsidRPr="004E77A7" w:rsidTr="00994C8E">
        <w:trPr>
          <w:trHeight w:val="124"/>
          <w:jc w:val="center"/>
        </w:trPr>
        <w:tc>
          <w:tcPr>
            <w:tcW w:w="2512" w:type="dxa"/>
            <w:shd w:val="clear" w:color="auto" w:fill="A0A0A3"/>
          </w:tcPr>
          <w:p w:rsidR="004A3476" w:rsidRPr="004E77A7" w:rsidRDefault="004A3476" w:rsidP="00994C8E">
            <w:pPr>
              <w:overflowPunct/>
              <w:autoSpaceDE/>
              <w:autoSpaceDN/>
              <w:adjustRightInd/>
              <w:spacing w:after="0"/>
              <w:ind w:right="10"/>
              <w:textAlignment w:val="auto"/>
              <w:rPr>
                <w:bCs/>
                <w:color w:val="FFFFFF"/>
                <w:sz w:val="24"/>
                <w:szCs w:val="24"/>
              </w:rPr>
            </w:pPr>
            <w:r w:rsidRPr="004E77A7">
              <w:rPr>
                <w:bCs/>
                <w:color w:val="FFFFFF"/>
                <w:sz w:val="24"/>
                <w:szCs w:val="24"/>
              </w:rPr>
              <w:t>Date:</w:t>
            </w:r>
          </w:p>
        </w:tc>
        <w:tc>
          <w:tcPr>
            <w:tcW w:w="6951" w:type="dxa"/>
            <w:shd w:val="clear" w:color="auto" w:fill="FFFFFF"/>
          </w:tcPr>
          <w:p w:rsidR="004A3476" w:rsidRPr="004E77A7" w:rsidRDefault="005202D0" w:rsidP="005202D0">
            <w:pPr>
              <w:keepNext/>
              <w:keepLines/>
              <w:overflowPunct/>
              <w:autoSpaceDE/>
              <w:autoSpaceDN/>
              <w:adjustRightInd/>
              <w:spacing w:before="60" w:after="60"/>
              <w:ind w:right="10"/>
              <w:textAlignment w:val="auto"/>
              <w:rPr>
                <w:sz w:val="22"/>
                <w:szCs w:val="24"/>
                <w:lang w:val="en-US" w:eastAsia="zh-CN"/>
              </w:rPr>
            </w:pPr>
            <w:r w:rsidRPr="004E77A7">
              <w:rPr>
                <w:rFonts w:eastAsia="BatangChe"/>
                <w:sz w:val="22"/>
                <w:szCs w:val="24"/>
                <w:lang w:val="en-US"/>
              </w:rPr>
              <w:t>201</w:t>
            </w:r>
            <w:r>
              <w:rPr>
                <w:sz w:val="22"/>
                <w:szCs w:val="24"/>
                <w:lang w:val="en-US" w:eastAsia="zh-CN"/>
              </w:rPr>
              <w:t>8</w:t>
            </w:r>
            <w:r w:rsidR="004A3476" w:rsidRPr="004E77A7">
              <w:rPr>
                <w:rFonts w:eastAsia="BatangChe"/>
                <w:sz w:val="22"/>
                <w:szCs w:val="24"/>
                <w:lang w:val="en-US"/>
              </w:rPr>
              <w:t>-</w:t>
            </w:r>
            <w:r w:rsidR="003266C9">
              <w:rPr>
                <w:rFonts w:eastAsia="BatangChe"/>
                <w:sz w:val="22"/>
                <w:szCs w:val="24"/>
                <w:lang w:val="en-US"/>
              </w:rPr>
              <w:t>03</w:t>
            </w:r>
            <w:r w:rsidR="00382F5C">
              <w:rPr>
                <w:rFonts w:eastAsia="BatangChe"/>
                <w:sz w:val="22"/>
                <w:szCs w:val="24"/>
                <w:lang w:val="en-US"/>
              </w:rPr>
              <w:t>-</w:t>
            </w:r>
            <w:r>
              <w:rPr>
                <w:rFonts w:eastAsia="BatangChe"/>
                <w:sz w:val="22"/>
                <w:szCs w:val="24"/>
                <w:lang w:val="en-US"/>
              </w:rPr>
              <w:t>1</w:t>
            </w:r>
            <w:r w:rsidR="008A380A">
              <w:rPr>
                <w:rFonts w:eastAsia="BatangChe"/>
                <w:sz w:val="22"/>
                <w:szCs w:val="24"/>
                <w:lang w:val="en-US"/>
              </w:rPr>
              <w:t>6</w:t>
            </w:r>
          </w:p>
        </w:tc>
      </w:tr>
      <w:tr w:rsidR="004A3476" w:rsidRPr="004E77A7" w:rsidTr="00994C8E">
        <w:trPr>
          <w:trHeight w:val="937"/>
          <w:jc w:val="center"/>
        </w:trPr>
        <w:tc>
          <w:tcPr>
            <w:tcW w:w="2512" w:type="dxa"/>
            <w:shd w:val="clear" w:color="auto" w:fill="A0A0A3"/>
          </w:tcPr>
          <w:p w:rsidR="004A3476" w:rsidRPr="004E77A7" w:rsidRDefault="004A3476" w:rsidP="00994C8E">
            <w:pPr>
              <w:overflowPunct/>
              <w:autoSpaceDE/>
              <w:autoSpaceDN/>
              <w:adjustRightInd/>
              <w:spacing w:after="0"/>
              <w:ind w:right="10"/>
              <w:textAlignment w:val="auto"/>
              <w:rPr>
                <w:bCs/>
                <w:color w:val="FFFFFF"/>
                <w:sz w:val="24"/>
                <w:szCs w:val="24"/>
              </w:rPr>
            </w:pPr>
            <w:r w:rsidRPr="004E77A7">
              <w:rPr>
                <w:bCs/>
                <w:color w:val="FFFFFF"/>
                <w:sz w:val="24"/>
                <w:szCs w:val="24"/>
              </w:rPr>
              <w:t>Abstract:</w:t>
            </w:r>
          </w:p>
        </w:tc>
        <w:tc>
          <w:tcPr>
            <w:tcW w:w="6951" w:type="dxa"/>
            <w:shd w:val="clear" w:color="auto" w:fill="FFFFFF"/>
          </w:tcPr>
          <w:p w:rsidR="004A3476" w:rsidRDefault="004A3476" w:rsidP="00994C8E">
            <w:pPr>
              <w:keepNext/>
              <w:keepLines/>
              <w:overflowPunct/>
              <w:autoSpaceDE/>
              <w:autoSpaceDN/>
              <w:adjustRightInd/>
              <w:spacing w:before="60" w:after="60"/>
              <w:ind w:right="10"/>
              <w:textAlignment w:val="auto"/>
              <w:rPr>
                <w:rFonts w:eastAsia="BatangChe"/>
                <w:sz w:val="22"/>
                <w:szCs w:val="24"/>
                <w:lang w:val="en-US"/>
              </w:rPr>
            </w:pPr>
            <w:bookmarkStart w:id="3" w:name="OLE_LINK1"/>
            <w:r w:rsidRPr="004E77A7">
              <w:rPr>
                <w:sz w:val="22"/>
                <w:szCs w:val="24"/>
                <w:lang w:val="en-US" w:eastAsia="zh-CN"/>
              </w:rPr>
              <w:t xml:space="preserve">Technical Report of oneM2M </w:t>
            </w:r>
            <w:r w:rsidRPr="004E77A7">
              <w:rPr>
                <w:rFonts w:eastAsia="BatangChe"/>
                <w:sz w:val="22"/>
                <w:szCs w:val="24"/>
                <w:lang w:val="en-US"/>
              </w:rPr>
              <w:t>End</w:t>
            </w:r>
            <w:r w:rsidRPr="004E77A7">
              <w:rPr>
                <w:sz w:val="22"/>
                <w:szCs w:val="24"/>
                <w:lang w:val="en-US" w:eastAsia="zh-CN"/>
              </w:rPr>
              <w:t xml:space="preserve"> </w:t>
            </w:r>
            <w:r w:rsidRPr="004E77A7">
              <w:rPr>
                <w:rFonts w:eastAsia="BatangChe"/>
                <w:sz w:val="22"/>
                <w:szCs w:val="24"/>
                <w:lang w:val="en-US"/>
              </w:rPr>
              <w:t>to</w:t>
            </w:r>
            <w:r w:rsidRPr="004E77A7">
              <w:rPr>
                <w:sz w:val="22"/>
                <w:szCs w:val="24"/>
                <w:lang w:val="en-US" w:eastAsia="zh-CN"/>
              </w:rPr>
              <w:t xml:space="preserve"> </w:t>
            </w:r>
            <w:bookmarkEnd w:id="3"/>
            <w:r w:rsidR="004C05A1">
              <w:rPr>
                <w:rFonts w:eastAsia="BatangChe"/>
                <w:sz w:val="22"/>
                <w:szCs w:val="24"/>
                <w:lang w:val="en-US"/>
              </w:rPr>
              <w:t>App-ID</w:t>
            </w:r>
            <w:r w:rsidR="00CB5D36">
              <w:rPr>
                <w:rFonts w:eastAsia="BatangChe"/>
                <w:sz w:val="22"/>
                <w:szCs w:val="24"/>
                <w:lang w:val="en-US"/>
              </w:rPr>
              <w:t xml:space="preserve"> Registry Function to support the oneM2M security and enrolment procedures. </w:t>
            </w:r>
          </w:p>
          <w:p w:rsidR="00CB5D36" w:rsidRPr="004E77A7" w:rsidRDefault="00CB5D36" w:rsidP="00994C8E">
            <w:pPr>
              <w:keepNext/>
              <w:keepLines/>
              <w:overflowPunct/>
              <w:autoSpaceDE/>
              <w:autoSpaceDN/>
              <w:adjustRightInd/>
              <w:spacing w:before="60" w:after="60"/>
              <w:ind w:right="10"/>
              <w:textAlignment w:val="auto"/>
              <w:rPr>
                <w:sz w:val="22"/>
                <w:szCs w:val="24"/>
                <w:lang w:val="en-US" w:eastAsia="zh-CN"/>
              </w:rPr>
            </w:pPr>
          </w:p>
        </w:tc>
      </w:tr>
    </w:tbl>
    <w:p w:rsidR="004A3476" w:rsidRPr="00EA211F" w:rsidRDefault="004A3476" w:rsidP="004A3476">
      <w:pPr>
        <w:tabs>
          <w:tab w:val="left" w:pos="284"/>
        </w:tabs>
        <w:overflowPunct/>
        <w:autoSpaceDE/>
        <w:autoSpaceDN/>
        <w:adjustRightInd/>
        <w:spacing w:before="120" w:after="0"/>
        <w:textAlignment w:val="auto"/>
        <w:rPr>
          <w:rFonts w:ascii="Myriad Pro" w:hAnsi="Myriad Pro"/>
          <w:sz w:val="24"/>
          <w:szCs w:val="24"/>
        </w:rPr>
      </w:pPr>
    </w:p>
    <w:p w:rsidR="004A3476" w:rsidRPr="00EA211F" w:rsidRDefault="004A3476" w:rsidP="004A3476">
      <w:pPr>
        <w:tabs>
          <w:tab w:val="left" w:pos="284"/>
        </w:tabs>
        <w:overflowPunct/>
        <w:autoSpaceDE/>
        <w:autoSpaceDN/>
        <w:adjustRightInd/>
        <w:spacing w:before="120" w:after="0"/>
        <w:textAlignment w:val="auto"/>
        <w:rPr>
          <w:rFonts w:ascii="Myriad Pro" w:hAnsi="Myriad Pro"/>
          <w:sz w:val="24"/>
          <w:szCs w:val="24"/>
        </w:rPr>
      </w:pPr>
    </w:p>
    <w:p w:rsidR="004A3476" w:rsidRPr="00EA211F" w:rsidRDefault="004A3476" w:rsidP="004A3476">
      <w:pPr>
        <w:tabs>
          <w:tab w:val="left" w:pos="284"/>
        </w:tabs>
        <w:overflowPunct/>
        <w:autoSpaceDE/>
        <w:autoSpaceDN/>
        <w:adjustRightInd/>
        <w:spacing w:before="120" w:after="0"/>
        <w:textAlignment w:val="auto"/>
        <w:rPr>
          <w:rFonts w:ascii="Myriad Pro" w:hAnsi="Myriad Pro"/>
          <w:sz w:val="24"/>
          <w:szCs w:val="24"/>
        </w:rPr>
      </w:pPr>
    </w:p>
    <w:p w:rsidR="004A3476" w:rsidRPr="00EA211F" w:rsidRDefault="004A3476" w:rsidP="004A3476">
      <w:pPr>
        <w:rPr>
          <w:rFonts w:eastAsia="Calibri"/>
          <w:color w:val="000000"/>
          <w:sz w:val="22"/>
          <w:szCs w:val="22"/>
          <w:lang w:val="en-US"/>
        </w:rPr>
      </w:pPr>
    </w:p>
    <w:p w:rsidR="004A3476" w:rsidRPr="00EA211F" w:rsidRDefault="004A3476" w:rsidP="004A3476">
      <w:pPr>
        <w:rPr>
          <w:rFonts w:eastAsia="Calibri"/>
          <w:color w:val="000000"/>
          <w:sz w:val="22"/>
          <w:szCs w:val="22"/>
          <w:lang w:val="en-US"/>
        </w:rPr>
      </w:pPr>
    </w:p>
    <w:p w:rsidR="004A3476" w:rsidRPr="00EA211F" w:rsidRDefault="004A3476" w:rsidP="004A3476">
      <w:pPr>
        <w:rPr>
          <w:rFonts w:eastAsia="Calibri"/>
          <w:color w:val="000000"/>
          <w:sz w:val="22"/>
          <w:szCs w:val="22"/>
          <w:lang w:val="en-US"/>
        </w:rPr>
      </w:pPr>
      <w:r w:rsidRPr="00EA211F">
        <w:rPr>
          <w:rFonts w:eastAsia="Calibri"/>
          <w:color w:val="000000"/>
          <w:sz w:val="22"/>
          <w:szCs w:val="22"/>
          <w:lang w:val="en-US"/>
        </w:rPr>
        <w:t>This Specification is provided for future development work within oneM2M only. The Partners accept no liability for any use of this Specification.</w:t>
      </w:r>
    </w:p>
    <w:p w:rsidR="004A3476" w:rsidRPr="00EA211F" w:rsidRDefault="004A3476" w:rsidP="004A3476">
      <w:r w:rsidRPr="00EA211F">
        <w:rPr>
          <w:rFonts w:eastAsia="Calibri"/>
          <w:color w:val="000000"/>
          <w:sz w:val="22"/>
          <w:szCs w:val="22"/>
          <w:lang w:val="en-US"/>
        </w:rPr>
        <w:t>The present document has not been subject to any approval process by the oneM2M Partners Type 1.  Published oneM2M specifications and reports for implementation should be obtained via the oneM2M Partners' Publications Offices.</w:t>
      </w:r>
    </w:p>
    <w:p w:rsidR="004A3476" w:rsidRPr="00EA211F" w:rsidRDefault="004A3476" w:rsidP="004A3476"/>
    <w:p w:rsidR="004A3476" w:rsidRPr="00EA211F" w:rsidRDefault="004A3476" w:rsidP="004A3476"/>
    <w:bookmarkEnd w:id="2"/>
    <w:p w:rsidR="004A3476" w:rsidRPr="00EA211F" w:rsidRDefault="004A3476" w:rsidP="004A3476">
      <w:pPr>
        <w:spacing w:after="200"/>
        <w:ind w:left="720"/>
        <w:rPr>
          <w:rFonts w:eastAsia="Calibri"/>
          <w:sz w:val="22"/>
          <w:szCs w:val="22"/>
          <w:lang w:val="en-US"/>
        </w:rPr>
      </w:pPr>
      <w:r w:rsidRPr="00EA211F">
        <w:rPr>
          <w:rStyle w:val="Guidance"/>
          <w:sz w:val="36"/>
          <w:szCs w:val="36"/>
        </w:rPr>
        <w:br w:type="page"/>
      </w:r>
      <w:r w:rsidRPr="00EA211F">
        <w:rPr>
          <w:rFonts w:eastAsia="Calibri"/>
          <w:sz w:val="22"/>
          <w:szCs w:val="22"/>
          <w:lang w:val="en-US"/>
        </w:rPr>
        <w:lastRenderedPageBreak/>
        <w:t xml:space="preserve">About oneM2M </w:t>
      </w:r>
    </w:p>
    <w:p w:rsidR="004A3476" w:rsidRPr="00EA211F" w:rsidRDefault="004A3476" w:rsidP="004A3476">
      <w:pPr>
        <w:tabs>
          <w:tab w:val="left" w:pos="810"/>
          <w:tab w:val="left" w:pos="1350"/>
        </w:tabs>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 xml:space="preserve">The purpose and goal of oneM2M is to develop technical specifications which address the need for a common M2M Service Layer that can be readily embedded within various hardware and software, and relied upon to connect the myriad of devices in the field with M2M application servers worldwide. </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More information about oneM2M may be found at:  http//www.oneM2M.org</w:t>
      </w:r>
    </w:p>
    <w:p w:rsidR="004A3476" w:rsidRPr="00EA211F" w:rsidRDefault="004A3476" w:rsidP="004A3476">
      <w:pPr>
        <w:overflowPunct/>
        <w:autoSpaceDE/>
        <w:autoSpaceDN/>
        <w:adjustRightInd/>
        <w:spacing w:after="200"/>
        <w:ind w:left="720"/>
        <w:textAlignment w:val="auto"/>
        <w:rPr>
          <w:rFonts w:eastAsia="Calibri"/>
          <w:sz w:val="22"/>
          <w:szCs w:val="22"/>
          <w:lang w:val="en-US"/>
        </w:rPr>
      </w:pPr>
      <w:r w:rsidRPr="00EA211F">
        <w:rPr>
          <w:rFonts w:eastAsia="Calibri"/>
          <w:sz w:val="22"/>
          <w:szCs w:val="22"/>
          <w:lang w:val="en-US"/>
        </w:rPr>
        <w:t>Copyright Notification</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No part of this document may be reproduced, in an electronic retrieval system or otherwise, except as authorized by written permission.</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The copyright and the foregoing restriction extend to reproduction in all media.</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 201</w:t>
      </w:r>
      <w:r w:rsidR="003266C9">
        <w:rPr>
          <w:rFonts w:eastAsia="Calibri"/>
          <w:sz w:val="22"/>
          <w:szCs w:val="22"/>
          <w:lang w:val="en-US"/>
        </w:rPr>
        <w:t>8</w:t>
      </w:r>
      <w:r w:rsidRPr="00EA211F">
        <w:rPr>
          <w:rFonts w:eastAsia="Calibri"/>
          <w:sz w:val="22"/>
          <w:szCs w:val="22"/>
          <w:lang w:val="en-US"/>
        </w:rPr>
        <w:t xml:space="preserve">, oneM2M Partners Type 1 (ARIB, ATIS, CCSA, ETSI, TIA, </w:t>
      </w:r>
      <w:r w:rsidR="00382F5C">
        <w:rPr>
          <w:rFonts w:eastAsia="Calibri"/>
          <w:sz w:val="22"/>
          <w:szCs w:val="22"/>
          <w:lang w:val="en-US"/>
        </w:rPr>
        <w:t xml:space="preserve">TSDSI, </w:t>
      </w:r>
      <w:r w:rsidRPr="00EA211F">
        <w:rPr>
          <w:rFonts w:eastAsia="Calibri"/>
          <w:sz w:val="22"/>
          <w:szCs w:val="22"/>
          <w:lang w:val="en-US"/>
        </w:rPr>
        <w:t>TTA, TTC).</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All rights reserved.</w:t>
      </w:r>
    </w:p>
    <w:p w:rsidR="004A3476" w:rsidRPr="00EA211F" w:rsidRDefault="004A3476" w:rsidP="004A3476">
      <w:pPr>
        <w:overflowPunct/>
        <w:autoSpaceDE/>
        <w:autoSpaceDN/>
        <w:adjustRightInd/>
        <w:spacing w:after="200"/>
        <w:ind w:left="720"/>
        <w:textAlignment w:val="auto"/>
        <w:rPr>
          <w:rFonts w:eastAsia="Calibri"/>
          <w:sz w:val="22"/>
          <w:szCs w:val="22"/>
          <w:lang w:val="en-US"/>
        </w:rPr>
      </w:pPr>
      <w:r w:rsidRPr="00EA211F">
        <w:rPr>
          <w:rFonts w:eastAsia="Calibri"/>
          <w:sz w:val="22"/>
          <w:szCs w:val="22"/>
          <w:lang w:val="en-US"/>
        </w:rPr>
        <w:t xml:space="preserve">Notice of Disclaimer &amp; Limitation of Liability </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 xml:space="preserve">The information provided in this document is directed solely to professionals who have the appropriate degree of experience to understand and interpret its contents in accordance with generally accepted engineering or other professional standards and applicable regulations. No recommendation as to products or vendors is made or should be implied. </w:t>
      </w:r>
    </w:p>
    <w:p w:rsidR="004A3476" w:rsidRPr="00EA211F" w:rsidRDefault="004A3476" w:rsidP="004A3476">
      <w:pPr>
        <w:overflowPunct/>
        <w:autoSpaceDE/>
        <w:autoSpaceDN/>
        <w:adjustRightInd/>
        <w:spacing w:after="200"/>
        <w:ind w:left="1440"/>
        <w:textAlignment w:val="auto"/>
        <w:rPr>
          <w:rFonts w:eastAsia="Calibri"/>
          <w:sz w:val="22"/>
          <w:szCs w:val="22"/>
          <w:lang w:val="en-US"/>
        </w:rPr>
      </w:pPr>
      <w:r w:rsidRPr="00EA211F">
        <w:rPr>
          <w:rFonts w:eastAsia="Calibri"/>
          <w:sz w:val="22"/>
          <w:szCs w:val="22"/>
          <w:lang w:val="en-US"/>
        </w:rPr>
        <w:t>NO REPRESENTATION OR WARRANTY IS MADE THAT THE INFORMATION IS TECHNICALLY ACCURATE OR SUFFICIENT OR CONFORMS TO ANY STATUTE, GOVERNMENTAL RULE OR REGULATION, AND FURTHER, NO REPRESENTATION OR WARRANTY IS MADE OF MERCHANTABILITY OR FITNESS FOR ANY PARTICULAR PURPOSE OR AGAINST INFRINGEMENT OF INTELLECTUAL PROPERTY RIGHTS. NO oneM2M PARTNER TYPE 1 SHALL BE LIABLE, BEYOND THE AMOUNT OF ANY SUM RECEIVED IN PAYMENT BY THAT PARTNER FOR THIS DOCUMENT, WITH RESPECT TO ANY CLAIM, AND IN NO EVENT SHALL oneM2M BE LIABLE FOR LOST PROFITS OR OTHER INCIDENTAL OR CONSEQUENTIAL DAMAGES. oneM2M EXPRESSLY ADVISES ANY AND ALL USE OF OR RELIANCE UPON THIS INFORMATION PROVIDED IN THIS DOCUMENT IS AT THE RISK OF THE USER.</w:t>
      </w:r>
    </w:p>
    <w:p w:rsidR="004A3476" w:rsidRPr="00EA211F" w:rsidRDefault="004A3476" w:rsidP="004A3476">
      <w:pPr>
        <w:spacing w:after="200"/>
      </w:pPr>
      <w:bookmarkStart w:id="4" w:name="_Toc431220762"/>
      <w:r w:rsidRPr="00EA211F">
        <w:t xml:space="preserve"> </w:t>
      </w:r>
    </w:p>
    <w:p w:rsidR="004A3476" w:rsidRPr="00EA211F" w:rsidRDefault="004A3476" w:rsidP="004A3476">
      <w:pPr>
        <w:pStyle w:val="Heading1"/>
      </w:pPr>
      <w:r w:rsidRPr="00EA211F">
        <w:br w:type="page"/>
      </w:r>
      <w:bookmarkStart w:id="5" w:name="_Toc451960169"/>
      <w:bookmarkStart w:id="6" w:name="_Toc508958751"/>
      <w:r w:rsidRPr="00EA211F">
        <w:lastRenderedPageBreak/>
        <w:t>Contents</w:t>
      </w:r>
      <w:bookmarkEnd w:id="4"/>
      <w:bookmarkEnd w:id="5"/>
      <w:bookmarkEnd w:id="6"/>
    </w:p>
    <w:p w:rsidR="0012753F" w:rsidRDefault="00267B30">
      <w:pPr>
        <w:pStyle w:val="TOC1"/>
        <w:rPr>
          <w:rFonts w:asciiTheme="minorHAnsi" w:eastAsiaTheme="minorEastAsia" w:hAnsiTheme="minorHAnsi" w:cstheme="minorBidi"/>
          <w:szCs w:val="22"/>
          <w:lang w:val="en-US"/>
        </w:rPr>
      </w:pPr>
      <w:r w:rsidRPr="00EA211F">
        <w:fldChar w:fldCharType="begin"/>
      </w:r>
      <w:r w:rsidRPr="00EA211F">
        <w:instrText xml:space="preserve"> TOC \o </w:instrText>
      </w:r>
      <w:r w:rsidRPr="00EA211F">
        <w:fldChar w:fldCharType="separate"/>
      </w:r>
      <w:r w:rsidR="0012753F">
        <w:t>Contents</w:t>
      </w:r>
      <w:r w:rsidR="0012753F">
        <w:tab/>
      </w:r>
      <w:r w:rsidR="0012753F">
        <w:fldChar w:fldCharType="begin"/>
      </w:r>
      <w:r w:rsidR="0012753F">
        <w:instrText xml:space="preserve"> PAGEREF _Toc508958751 \h </w:instrText>
      </w:r>
      <w:r w:rsidR="0012753F">
        <w:fldChar w:fldCharType="separate"/>
      </w:r>
      <w:r w:rsidR="0012753F">
        <w:t>3</w:t>
      </w:r>
      <w:r w:rsidR="0012753F">
        <w:fldChar w:fldCharType="end"/>
      </w:r>
    </w:p>
    <w:p w:rsidR="0012753F" w:rsidRDefault="0012753F">
      <w:pPr>
        <w:pStyle w:val="TOC1"/>
        <w:rPr>
          <w:rFonts w:asciiTheme="minorHAnsi" w:eastAsiaTheme="minorEastAsia" w:hAnsiTheme="minorHAnsi" w:cstheme="minorBidi"/>
          <w:szCs w:val="22"/>
          <w:lang w:val="en-US"/>
        </w:rPr>
      </w:pPr>
      <w:r>
        <w:t>1</w:t>
      </w:r>
      <w:r>
        <w:rPr>
          <w:rFonts w:asciiTheme="minorHAnsi" w:eastAsiaTheme="minorEastAsia" w:hAnsiTheme="minorHAnsi" w:cstheme="minorBidi"/>
          <w:szCs w:val="22"/>
          <w:lang w:val="en-US"/>
        </w:rPr>
        <w:tab/>
      </w:r>
      <w:r>
        <w:t>Scope</w:t>
      </w:r>
      <w:r>
        <w:tab/>
      </w:r>
      <w:r>
        <w:fldChar w:fldCharType="begin"/>
      </w:r>
      <w:r>
        <w:instrText xml:space="preserve"> PAGEREF _Toc508958752 \h </w:instrText>
      </w:r>
      <w:r>
        <w:fldChar w:fldCharType="separate"/>
      </w:r>
      <w:r>
        <w:t>5</w:t>
      </w:r>
      <w:r>
        <w:fldChar w:fldCharType="end"/>
      </w:r>
    </w:p>
    <w:p w:rsidR="0012753F" w:rsidRDefault="0012753F">
      <w:pPr>
        <w:pStyle w:val="TOC1"/>
        <w:rPr>
          <w:rFonts w:asciiTheme="minorHAnsi" w:eastAsiaTheme="minorEastAsia" w:hAnsiTheme="minorHAnsi" w:cstheme="minorBidi"/>
          <w:szCs w:val="22"/>
          <w:lang w:val="en-US"/>
        </w:rPr>
      </w:pPr>
      <w:r>
        <w:t>2</w:t>
      </w:r>
      <w:r>
        <w:rPr>
          <w:rFonts w:asciiTheme="minorHAnsi" w:eastAsiaTheme="minorEastAsia" w:hAnsiTheme="minorHAnsi" w:cstheme="minorBidi"/>
          <w:szCs w:val="22"/>
          <w:lang w:val="en-US"/>
        </w:rPr>
        <w:tab/>
      </w:r>
      <w:r>
        <w:t>References</w:t>
      </w:r>
      <w:r>
        <w:tab/>
      </w:r>
      <w:r>
        <w:fldChar w:fldCharType="begin"/>
      </w:r>
      <w:r>
        <w:instrText xml:space="preserve"> PAGEREF _Toc508958753 \h </w:instrText>
      </w:r>
      <w:r>
        <w:fldChar w:fldCharType="separate"/>
      </w:r>
      <w:r>
        <w:t>5</w:t>
      </w:r>
      <w:r>
        <w:fldChar w:fldCharType="end"/>
      </w:r>
    </w:p>
    <w:p w:rsidR="0012753F" w:rsidRDefault="0012753F">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Normative references</w:t>
      </w:r>
      <w:r>
        <w:tab/>
      </w:r>
      <w:r>
        <w:fldChar w:fldCharType="begin"/>
      </w:r>
      <w:r>
        <w:instrText xml:space="preserve"> PAGEREF _Toc508958754 \h </w:instrText>
      </w:r>
      <w:r>
        <w:fldChar w:fldCharType="separate"/>
      </w:r>
      <w:r>
        <w:t>5</w:t>
      </w:r>
      <w:r>
        <w:fldChar w:fldCharType="end"/>
      </w:r>
    </w:p>
    <w:p w:rsidR="0012753F" w:rsidRDefault="0012753F">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Informative references</w:t>
      </w:r>
      <w:r>
        <w:tab/>
      </w:r>
      <w:r>
        <w:fldChar w:fldCharType="begin"/>
      </w:r>
      <w:r>
        <w:instrText xml:space="preserve"> PAGEREF _Toc508958755 \h </w:instrText>
      </w:r>
      <w:r>
        <w:fldChar w:fldCharType="separate"/>
      </w:r>
      <w:r>
        <w:t>5</w:t>
      </w:r>
      <w:r>
        <w:fldChar w:fldCharType="end"/>
      </w:r>
    </w:p>
    <w:p w:rsidR="0012753F" w:rsidRDefault="0012753F">
      <w:pPr>
        <w:pStyle w:val="TOC1"/>
        <w:rPr>
          <w:rFonts w:asciiTheme="minorHAnsi" w:eastAsiaTheme="minorEastAsia" w:hAnsiTheme="minorHAnsi" w:cstheme="minorBidi"/>
          <w:szCs w:val="22"/>
          <w:lang w:val="en-US"/>
        </w:rPr>
      </w:pPr>
      <w:r>
        <w:t>3</w:t>
      </w:r>
      <w:r>
        <w:rPr>
          <w:rFonts w:asciiTheme="minorHAnsi" w:eastAsiaTheme="minorEastAsia" w:hAnsiTheme="minorHAnsi" w:cstheme="minorBidi"/>
          <w:szCs w:val="22"/>
          <w:lang w:val="en-US"/>
        </w:rPr>
        <w:tab/>
      </w:r>
      <w:r>
        <w:t>Definitions, symbols and abbreviations</w:t>
      </w:r>
      <w:r>
        <w:tab/>
      </w:r>
      <w:r>
        <w:fldChar w:fldCharType="begin"/>
      </w:r>
      <w:r>
        <w:instrText xml:space="preserve"> PAGEREF _Toc508958756 \h </w:instrText>
      </w:r>
      <w:r>
        <w:fldChar w:fldCharType="separate"/>
      </w:r>
      <w:r>
        <w:t>5</w:t>
      </w:r>
      <w:r>
        <w:fldChar w:fldCharType="end"/>
      </w:r>
    </w:p>
    <w:p w:rsidR="0012753F" w:rsidRDefault="0012753F">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Definitions</w:t>
      </w:r>
      <w:r>
        <w:tab/>
      </w:r>
      <w:r>
        <w:fldChar w:fldCharType="begin"/>
      </w:r>
      <w:r>
        <w:instrText xml:space="preserve"> PAGEREF _Toc508958757 \h </w:instrText>
      </w:r>
      <w:r>
        <w:fldChar w:fldCharType="separate"/>
      </w:r>
      <w:r>
        <w:t>5</w:t>
      </w:r>
      <w:r>
        <w:fldChar w:fldCharType="end"/>
      </w:r>
    </w:p>
    <w:p w:rsidR="0012753F" w:rsidRDefault="0012753F">
      <w:pPr>
        <w:pStyle w:val="TOC2"/>
        <w:rPr>
          <w:rFonts w:asciiTheme="minorHAnsi" w:eastAsiaTheme="minorEastAsia" w:hAnsiTheme="minorHAnsi" w:cstheme="minorBidi"/>
          <w:sz w:val="22"/>
          <w:szCs w:val="22"/>
          <w:lang w:val="en-US"/>
        </w:rPr>
      </w:pPr>
      <w:r>
        <w:t>3.2</w:t>
      </w:r>
      <w:r>
        <w:rPr>
          <w:rFonts w:asciiTheme="minorHAnsi" w:eastAsiaTheme="minorEastAsia" w:hAnsiTheme="minorHAnsi" w:cstheme="minorBidi"/>
          <w:sz w:val="22"/>
          <w:szCs w:val="22"/>
          <w:lang w:val="en-US"/>
        </w:rPr>
        <w:tab/>
      </w:r>
      <w:r>
        <w:t>Symbols</w:t>
      </w:r>
      <w:r>
        <w:tab/>
      </w:r>
      <w:r>
        <w:fldChar w:fldCharType="begin"/>
      </w:r>
      <w:r>
        <w:instrText xml:space="preserve"> PAGEREF _Toc508958758 \h </w:instrText>
      </w:r>
      <w:r>
        <w:fldChar w:fldCharType="separate"/>
      </w:r>
      <w:r>
        <w:t>6</w:t>
      </w:r>
      <w:r>
        <w:fldChar w:fldCharType="end"/>
      </w:r>
    </w:p>
    <w:p w:rsidR="0012753F" w:rsidRDefault="0012753F">
      <w:pPr>
        <w:pStyle w:val="TOC2"/>
        <w:rPr>
          <w:rFonts w:asciiTheme="minorHAnsi" w:eastAsiaTheme="minorEastAsia" w:hAnsiTheme="minorHAnsi" w:cstheme="minorBidi"/>
          <w:sz w:val="22"/>
          <w:szCs w:val="22"/>
          <w:lang w:val="en-US"/>
        </w:rPr>
      </w:pPr>
      <w:r>
        <w:t>3.3</w:t>
      </w:r>
      <w:r>
        <w:rPr>
          <w:rFonts w:asciiTheme="minorHAnsi" w:eastAsiaTheme="minorEastAsia" w:hAnsiTheme="minorHAnsi" w:cstheme="minorBidi"/>
          <w:sz w:val="22"/>
          <w:szCs w:val="22"/>
          <w:lang w:val="en-US"/>
        </w:rPr>
        <w:tab/>
      </w:r>
      <w:r>
        <w:t>Abbreviations</w:t>
      </w:r>
      <w:r>
        <w:tab/>
      </w:r>
      <w:r>
        <w:fldChar w:fldCharType="begin"/>
      </w:r>
      <w:r>
        <w:instrText xml:space="preserve"> PAGEREF _Toc508958759 \h </w:instrText>
      </w:r>
      <w:r>
        <w:fldChar w:fldCharType="separate"/>
      </w:r>
      <w:r>
        <w:t>7</w:t>
      </w:r>
      <w:r>
        <w:fldChar w:fldCharType="end"/>
      </w:r>
    </w:p>
    <w:p w:rsidR="0012753F" w:rsidRDefault="0012753F">
      <w:pPr>
        <w:pStyle w:val="TOC1"/>
        <w:rPr>
          <w:rFonts w:asciiTheme="minorHAnsi" w:eastAsiaTheme="minorEastAsia" w:hAnsiTheme="minorHAnsi" w:cstheme="minorBidi"/>
          <w:szCs w:val="22"/>
          <w:lang w:val="en-US"/>
        </w:rPr>
      </w:pPr>
      <w:r>
        <w:t>4</w:t>
      </w:r>
      <w:r>
        <w:rPr>
          <w:rFonts w:asciiTheme="minorHAnsi" w:eastAsiaTheme="minorEastAsia" w:hAnsiTheme="minorHAnsi" w:cstheme="minorBidi"/>
          <w:szCs w:val="22"/>
          <w:lang w:val="en-US"/>
        </w:rPr>
        <w:tab/>
      </w:r>
      <w:r>
        <w:t>Conventions</w:t>
      </w:r>
      <w:r>
        <w:tab/>
      </w:r>
      <w:r>
        <w:fldChar w:fldCharType="begin"/>
      </w:r>
      <w:r>
        <w:instrText xml:space="preserve"> PAGEREF _Toc508958760 \h </w:instrText>
      </w:r>
      <w:r>
        <w:fldChar w:fldCharType="separate"/>
      </w:r>
      <w:r>
        <w:t>7</w:t>
      </w:r>
      <w:r>
        <w:fldChar w:fldCharType="end"/>
      </w:r>
    </w:p>
    <w:p w:rsidR="0012753F" w:rsidRDefault="0012753F">
      <w:pPr>
        <w:pStyle w:val="TOC1"/>
        <w:rPr>
          <w:rFonts w:asciiTheme="minorHAnsi" w:eastAsiaTheme="minorEastAsia" w:hAnsiTheme="minorHAnsi" w:cstheme="minorBidi"/>
          <w:szCs w:val="22"/>
          <w:lang w:val="en-US"/>
        </w:rPr>
      </w:pPr>
      <w:r w:rsidRPr="00D74307">
        <w:rPr>
          <w:lang w:val="en-US"/>
        </w:rPr>
        <w:t xml:space="preserve">5 </w:t>
      </w:r>
      <w:r>
        <w:rPr>
          <w:rFonts w:asciiTheme="minorHAnsi" w:eastAsiaTheme="minorEastAsia" w:hAnsiTheme="minorHAnsi" w:cstheme="minorBidi"/>
          <w:szCs w:val="22"/>
          <w:lang w:val="en-US"/>
        </w:rPr>
        <w:tab/>
      </w:r>
      <w:r>
        <w:t>Introduction</w:t>
      </w:r>
      <w:r>
        <w:tab/>
      </w:r>
      <w:r>
        <w:fldChar w:fldCharType="begin"/>
      </w:r>
      <w:r>
        <w:instrText xml:space="preserve"> PAGEREF _Toc508958761 \h </w:instrText>
      </w:r>
      <w:r>
        <w:fldChar w:fldCharType="separate"/>
      </w:r>
      <w:r>
        <w:t>7</w:t>
      </w:r>
      <w:r>
        <w:fldChar w:fldCharType="end"/>
      </w:r>
    </w:p>
    <w:p w:rsidR="0012753F" w:rsidRDefault="0012753F">
      <w:pPr>
        <w:pStyle w:val="TOC1"/>
        <w:rPr>
          <w:rFonts w:asciiTheme="minorHAnsi" w:eastAsiaTheme="minorEastAsia" w:hAnsiTheme="minorHAnsi" w:cstheme="minorBidi"/>
          <w:szCs w:val="22"/>
          <w:lang w:val="en-US"/>
        </w:rPr>
      </w:pPr>
      <w:r>
        <w:t>6</w:t>
      </w:r>
      <w:r>
        <w:rPr>
          <w:rFonts w:asciiTheme="minorHAnsi" w:eastAsiaTheme="minorEastAsia" w:hAnsiTheme="minorHAnsi" w:cstheme="minorBidi"/>
          <w:szCs w:val="22"/>
          <w:lang w:val="en-US"/>
        </w:rPr>
        <w:tab/>
      </w:r>
      <w:r>
        <w:t>Use Cases</w:t>
      </w:r>
      <w:r>
        <w:tab/>
      </w:r>
      <w:r>
        <w:fldChar w:fldCharType="begin"/>
      </w:r>
      <w:r>
        <w:instrText xml:space="preserve"> PAGEREF _Toc508958762 \h </w:instrText>
      </w:r>
      <w:r>
        <w:fldChar w:fldCharType="separate"/>
      </w:r>
      <w:r>
        <w:t>9</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.1</w:t>
      </w:r>
      <w:r>
        <w:rPr>
          <w:rFonts w:asciiTheme="minorHAnsi" w:eastAsiaTheme="minorEastAsia" w:hAnsiTheme="minorHAnsi" w:cstheme="minorBidi"/>
          <w:sz w:val="22"/>
          <w:szCs w:val="22"/>
          <w:lang w:val="en-US"/>
        </w:rPr>
        <w:tab/>
      </w:r>
      <w:r>
        <w:t xml:space="preserve">Use Case of </w:t>
      </w:r>
      <w:r w:rsidRPr="00D74307">
        <w:t xml:space="preserve">1: </w:t>
      </w:r>
      <w:r>
        <w:t>Verify IoT Application identity and integrity</w:t>
      </w:r>
      <w:r>
        <w:tab/>
      </w:r>
      <w:r>
        <w:fldChar w:fldCharType="begin"/>
      </w:r>
      <w:r>
        <w:instrText xml:space="preserve"> PAGEREF _Toc508958763 \h </w:instrText>
      </w:r>
      <w:r>
        <w:fldChar w:fldCharType="separate"/>
      </w:r>
      <w:r>
        <w:t>9</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.2</w:t>
      </w:r>
      <w:r>
        <w:rPr>
          <w:rFonts w:asciiTheme="minorHAnsi" w:eastAsiaTheme="minorEastAsia" w:hAnsiTheme="minorHAnsi" w:cstheme="minorBidi"/>
          <w:sz w:val="22"/>
          <w:szCs w:val="22"/>
          <w:lang w:val="en-US"/>
        </w:rPr>
        <w:tab/>
      </w:r>
      <w:r>
        <w:t>Use Case 2: Allow Certified IoT applications</w:t>
      </w:r>
      <w:r>
        <w:tab/>
      </w:r>
      <w:r>
        <w:fldChar w:fldCharType="begin"/>
      </w:r>
      <w:r>
        <w:instrText xml:space="preserve"> PAGEREF _Toc508958764 \h </w:instrText>
      </w:r>
      <w:r>
        <w:fldChar w:fldCharType="separate"/>
      </w:r>
      <w:r>
        <w:t>10</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6</w:t>
      </w:r>
      <w:r>
        <w:t>.</w:t>
      </w:r>
      <w:r w:rsidRPr="00D74307">
        <w:rPr>
          <w:lang w:val="en-US"/>
        </w:rPr>
        <w:t>2</w:t>
      </w:r>
      <w:r>
        <w:t>.1</w:t>
      </w:r>
      <w:r>
        <w:rPr>
          <w:rFonts w:asciiTheme="minorHAnsi" w:eastAsiaTheme="minorEastAsia" w:hAnsiTheme="minorHAnsi" w:cstheme="minorBidi"/>
          <w:sz w:val="22"/>
          <w:szCs w:val="22"/>
          <w:lang w:val="en-US"/>
        </w:rPr>
        <w:tab/>
      </w:r>
      <w:r>
        <w:t>Description</w:t>
      </w:r>
      <w:r>
        <w:tab/>
      </w:r>
      <w:r>
        <w:fldChar w:fldCharType="begin"/>
      </w:r>
      <w:r>
        <w:instrText xml:space="preserve"> PAGEREF _Toc508958765 \h </w:instrText>
      </w:r>
      <w:r>
        <w:fldChar w:fldCharType="separate"/>
      </w:r>
      <w:r>
        <w:t>10</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.3</w:t>
      </w:r>
      <w:r>
        <w:rPr>
          <w:rFonts w:asciiTheme="minorHAnsi" w:eastAsiaTheme="minorEastAsia" w:hAnsiTheme="minorHAnsi" w:cstheme="minorBidi"/>
          <w:sz w:val="22"/>
          <w:szCs w:val="22"/>
          <w:lang w:val="en-US"/>
        </w:rPr>
        <w:tab/>
      </w:r>
      <w:r>
        <w:t>Use Case 3: Registration Enrolment using the App-ID Metadata</w:t>
      </w:r>
      <w:r>
        <w:tab/>
      </w:r>
      <w:r>
        <w:fldChar w:fldCharType="begin"/>
      </w:r>
      <w:r>
        <w:instrText xml:space="preserve"> PAGEREF _Toc508958766 \h </w:instrText>
      </w:r>
      <w:r>
        <w:fldChar w:fldCharType="separate"/>
      </w:r>
      <w:r>
        <w:t>11</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6</w:t>
      </w:r>
      <w:r>
        <w:t>.</w:t>
      </w:r>
      <w:r w:rsidRPr="00D74307">
        <w:rPr>
          <w:lang w:val="en-US"/>
        </w:rPr>
        <w:t>3</w:t>
      </w:r>
      <w:r>
        <w:t>.1</w:t>
      </w:r>
      <w:r>
        <w:rPr>
          <w:rFonts w:asciiTheme="minorHAnsi" w:eastAsiaTheme="minorEastAsia" w:hAnsiTheme="minorHAnsi" w:cstheme="minorBidi"/>
          <w:sz w:val="22"/>
          <w:szCs w:val="22"/>
          <w:lang w:val="en-US"/>
        </w:rPr>
        <w:tab/>
      </w:r>
      <w:r>
        <w:t>Description</w:t>
      </w:r>
      <w:r>
        <w:tab/>
      </w:r>
      <w:r>
        <w:fldChar w:fldCharType="begin"/>
      </w:r>
      <w:r>
        <w:instrText xml:space="preserve"> PAGEREF _Toc508958767 \h </w:instrText>
      </w:r>
      <w:r>
        <w:fldChar w:fldCharType="separate"/>
      </w:r>
      <w:r>
        <w:t>11</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.4</w:t>
      </w:r>
      <w:r>
        <w:rPr>
          <w:rFonts w:asciiTheme="minorHAnsi" w:eastAsiaTheme="minorEastAsia" w:hAnsiTheme="minorHAnsi" w:cstheme="minorBidi"/>
          <w:sz w:val="22"/>
          <w:szCs w:val="22"/>
          <w:lang w:val="en-US"/>
        </w:rPr>
        <w:tab/>
      </w:r>
      <w:r>
        <w:t>Use Case 4: IoT Data model mapping to oneM2M ontology</w:t>
      </w:r>
      <w:r>
        <w:tab/>
      </w:r>
      <w:r>
        <w:fldChar w:fldCharType="begin"/>
      </w:r>
      <w:r>
        <w:instrText xml:space="preserve"> PAGEREF _Toc508958768 \h </w:instrText>
      </w:r>
      <w:r>
        <w:fldChar w:fldCharType="separate"/>
      </w:r>
      <w:r>
        <w:t>11</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6</w:t>
      </w:r>
      <w:r>
        <w:t>.</w:t>
      </w:r>
      <w:r w:rsidRPr="00D74307">
        <w:rPr>
          <w:lang w:val="en-US"/>
        </w:rPr>
        <w:t>4</w:t>
      </w:r>
      <w:r>
        <w:t>.1</w:t>
      </w:r>
      <w:r>
        <w:rPr>
          <w:rFonts w:asciiTheme="minorHAnsi" w:eastAsiaTheme="minorEastAsia" w:hAnsiTheme="minorHAnsi" w:cstheme="minorBidi"/>
          <w:sz w:val="22"/>
          <w:szCs w:val="22"/>
          <w:lang w:val="en-US"/>
        </w:rPr>
        <w:tab/>
      </w:r>
      <w:r>
        <w:t>Description</w:t>
      </w:r>
      <w:r>
        <w:tab/>
      </w:r>
      <w:r>
        <w:fldChar w:fldCharType="begin"/>
      </w:r>
      <w:r>
        <w:instrText xml:space="preserve"> PAGEREF _Toc508958769 \h </w:instrText>
      </w:r>
      <w:r>
        <w:fldChar w:fldCharType="separate"/>
      </w:r>
      <w:r>
        <w:t>11</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.5</w:t>
      </w:r>
      <w:r>
        <w:rPr>
          <w:rFonts w:asciiTheme="minorHAnsi" w:eastAsiaTheme="minorEastAsia" w:hAnsiTheme="minorHAnsi" w:cstheme="minorBidi"/>
          <w:sz w:val="22"/>
          <w:szCs w:val="22"/>
          <w:lang w:val="en-US"/>
        </w:rPr>
        <w:tab/>
      </w:r>
      <w:r>
        <w:t xml:space="preserve">Use Case </w:t>
      </w:r>
      <w:r w:rsidRPr="00D74307">
        <w:rPr>
          <w:lang w:val="en-US"/>
        </w:rPr>
        <w:t>5</w:t>
      </w:r>
      <w:r>
        <w:t>: IoT application Certificate – Trusted Root</w:t>
      </w:r>
      <w:r>
        <w:tab/>
      </w:r>
      <w:r>
        <w:fldChar w:fldCharType="begin"/>
      </w:r>
      <w:r>
        <w:instrText xml:space="preserve"> PAGEREF _Toc508958770 \h </w:instrText>
      </w:r>
      <w:r>
        <w:fldChar w:fldCharType="separate"/>
      </w:r>
      <w:r>
        <w:t>12</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6</w:t>
      </w:r>
      <w:r>
        <w:t>.</w:t>
      </w:r>
      <w:r w:rsidRPr="00D74307">
        <w:rPr>
          <w:lang w:val="en-US"/>
        </w:rPr>
        <w:t>5</w:t>
      </w:r>
      <w:r>
        <w:t>.1</w:t>
      </w:r>
      <w:r>
        <w:rPr>
          <w:rFonts w:asciiTheme="minorHAnsi" w:eastAsiaTheme="minorEastAsia" w:hAnsiTheme="minorHAnsi" w:cstheme="minorBidi"/>
          <w:sz w:val="22"/>
          <w:szCs w:val="22"/>
          <w:lang w:val="en-US"/>
        </w:rPr>
        <w:tab/>
      </w:r>
      <w:r>
        <w:t>Description</w:t>
      </w:r>
      <w:r>
        <w:tab/>
      </w:r>
      <w:r>
        <w:fldChar w:fldCharType="begin"/>
      </w:r>
      <w:r>
        <w:instrText xml:space="preserve"> PAGEREF _Toc508958771 \h </w:instrText>
      </w:r>
      <w:r>
        <w:fldChar w:fldCharType="separate"/>
      </w:r>
      <w:r>
        <w:t>12</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w:t>
      </w:r>
      <w:r w:rsidRPr="00D74307">
        <w:rPr>
          <w:lang w:val="en-US"/>
        </w:rPr>
        <w:t>6</w:t>
      </w:r>
      <w:r>
        <w:rPr>
          <w:rFonts w:asciiTheme="minorHAnsi" w:eastAsiaTheme="minorEastAsia" w:hAnsiTheme="minorHAnsi" w:cstheme="minorBidi"/>
          <w:sz w:val="22"/>
          <w:szCs w:val="22"/>
          <w:lang w:val="en-US"/>
        </w:rPr>
        <w:tab/>
      </w:r>
      <w:r>
        <w:t xml:space="preserve">Use Case </w:t>
      </w:r>
      <w:r w:rsidRPr="00D74307">
        <w:rPr>
          <w:lang w:val="en-US"/>
        </w:rPr>
        <w:t>6</w:t>
      </w:r>
      <w:r>
        <w:t xml:space="preserve">: </w:t>
      </w:r>
      <w:r w:rsidRPr="00D74307">
        <w:rPr>
          <w:lang w:val="en-US"/>
        </w:rPr>
        <w:t>Revoke App-ID or AE-ID</w:t>
      </w:r>
      <w:r>
        <w:tab/>
      </w:r>
      <w:r>
        <w:fldChar w:fldCharType="begin"/>
      </w:r>
      <w:r>
        <w:instrText xml:space="preserve"> PAGEREF _Toc508958772 \h </w:instrText>
      </w:r>
      <w:r>
        <w:fldChar w:fldCharType="separate"/>
      </w:r>
      <w:r>
        <w:t>14</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6</w:t>
      </w:r>
      <w:r>
        <w:t>.</w:t>
      </w:r>
      <w:r w:rsidRPr="00D74307">
        <w:rPr>
          <w:lang w:val="en-US"/>
        </w:rPr>
        <w:t>6</w:t>
      </w:r>
      <w:r>
        <w:t>.1</w:t>
      </w:r>
      <w:r>
        <w:rPr>
          <w:rFonts w:asciiTheme="minorHAnsi" w:eastAsiaTheme="minorEastAsia" w:hAnsiTheme="minorHAnsi" w:cstheme="minorBidi"/>
          <w:sz w:val="22"/>
          <w:szCs w:val="22"/>
          <w:lang w:val="en-US"/>
        </w:rPr>
        <w:tab/>
      </w:r>
      <w:r>
        <w:t>Description</w:t>
      </w:r>
      <w:r>
        <w:tab/>
      </w:r>
      <w:r>
        <w:fldChar w:fldCharType="begin"/>
      </w:r>
      <w:r>
        <w:instrText xml:space="preserve"> PAGEREF _Toc508958773 \h </w:instrText>
      </w:r>
      <w:r>
        <w:fldChar w:fldCharType="separate"/>
      </w:r>
      <w:r>
        <w:t>14</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w:t>
      </w:r>
      <w:r w:rsidRPr="00D74307">
        <w:rPr>
          <w:lang w:val="en-US"/>
        </w:rPr>
        <w:t>7</w:t>
      </w:r>
      <w:r>
        <w:rPr>
          <w:rFonts w:asciiTheme="minorHAnsi" w:eastAsiaTheme="minorEastAsia" w:hAnsiTheme="minorHAnsi" w:cstheme="minorBidi"/>
          <w:sz w:val="22"/>
          <w:szCs w:val="22"/>
          <w:lang w:val="en-US"/>
        </w:rPr>
        <w:tab/>
      </w:r>
      <w:r>
        <w:t>Actors</w:t>
      </w:r>
      <w:r>
        <w:tab/>
      </w:r>
      <w:r>
        <w:fldChar w:fldCharType="begin"/>
      </w:r>
      <w:r>
        <w:instrText xml:space="preserve"> PAGEREF _Toc508958774 \h </w:instrText>
      </w:r>
      <w:r>
        <w:fldChar w:fldCharType="separate"/>
      </w:r>
      <w:r>
        <w:t>14</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w:t>
      </w:r>
      <w:r w:rsidRPr="00D74307">
        <w:rPr>
          <w:lang w:val="en-US"/>
        </w:rPr>
        <w:t>8</w:t>
      </w:r>
      <w:r>
        <w:rPr>
          <w:rFonts w:asciiTheme="minorHAnsi" w:eastAsiaTheme="minorEastAsia" w:hAnsiTheme="minorHAnsi" w:cstheme="minorBidi"/>
          <w:sz w:val="22"/>
          <w:szCs w:val="22"/>
          <w:lang w:val="en-US"/>
        </w:rPr>
        <w:tab/>
      </w:r>
      <w:r>
        <w:t>Pre-conditions</w:t>
      </w:r>
      <w:r>
        <w:tab/>
      </w:r>
      <w:r>
        <w:fldChar w:fldCharType="begin"/>
      </w:r>
      <w:r>
        <w:instrText xml:space="preserve"> PAGEREF _Toc508958775 \h </w:instrText>
      </w:r>
      <w:r>
        <w:fldChar w:fldCharType="separate"/>
      </w:r>
      <w:r>
        <w:t>15</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w:t>
      </w:r>
      <w:r w:rsidRPr="00D74307">
        <w:rPr>
          <w:lang w:val="en-US"/>
        </w:rPr>
        <w:t>9</w:t>
      </w:r>
      <w:r>
        <w:rPr>
          <w:rFonts w:asciiTheme="minorHAnsi" w:eastAsiaTheme="minorEastAsia" w:hAnsiTheme="minorHAnsi" w:cstheme="minorBidi"/>
          <w:sz w:val="22"/>
          <w:szCs w:val="22"/>
          <w:lang w:val="en-US"/>
        </w:rPr>
        <w:tab/>
      </w:r>
      <w:r>
        <w:t>Normal Flow</w:t>
      </w:r>
      <w:r>
        <w:tab/>
      </w:r>
      <w:r>
        <w:fldChar w:fldCharType="begin"/>
      </w:r>
      <w:r>
        <w:instrText xml:space="preserve"> PAGEREF _Toc508958776 \h </w:instrText>
      </w:r>
      <w:r>
        <w:fldChar w:fldCharType="separate"/>
      </w:r>
      <w:r>
        <w:t>15</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 xml:space="preserve">6.10 </w:t>
      </w:r>
      <w:r>
        <w:rPr>
          <w:rFonts w:asciiTheme="minorHAnsi" w:eastAsiaTheme="minorEastAsia" w:hAnsiTheme="minorHAnsi" w:cstheme="minorBidi"/>
          <w:sz w:val="22"/>
          <w:szCs w:val="22"/>
          <w:lang w:val="en-US"/>
        </w:rPr>
        <w:tab/>
      </w:r>
      <w:r>
        <w:t>Revocation</w:t>
      </w:r>
      <w:r w:rsidRPr="00D74307">
        <w:rPr>
          <w:lang w:val="en-US"/>
        </w:rPr>
        <w:t xml:space="preserve"> - </w:t>
      </w:r>
      <w:r>
        <w:t>Normal Flow</w:t>
      </w:r>
      <w:r>
        <w:tab/>
      </w:r>
      <w:r>
        <w:fldChar w:fldCharType="begin"/>
      </w:r>
      <w:r>
        <w:instrText xml:space="preserve"> PAGEREF _Toc508958777 \h </w:instrText>
      </w:r>
      <w:r>
        <w:fldChar w:fldCharType="separate"/>
      </w:r>
      <w:r>
        <w:t>16</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6</w:t>
      </w:r>
      <w:r>
        <w:t>.1</w:t>
      </w:r>
      <w:r w:rsidRPr="00D74307">
        <w:rPr>
          <w:lang w:val="en-US"/>
        </w:rPr>
        <w:t>1</w:t>
      </w:r>
      <w:r>
        <w:rPr>
          <w:rFonts w:asciiTheme="minorHAnsi" w:eastAsiaTheme="minorEastAsia" w:hAnsiTheme="minorHAnsi" w:cstheme="minorBidi"/>
          <w:sz w:val="22"/>
          <w:szCs w:val="22"/>
          <w:lang w:val="en-US"/>
        </w:rPr>
        <w:tab/>
      </w:r>
      <w:r>
        <w:t>Potential requirements</w:t>
      </w:r>
      <w:r>
        <w:tab/>
      </w:r>
      <w:r>
        <w:fldChar w:fldCharType="begin"/>
      </w:r>
      <w:r>
        <w:instrText xml:space="preserve"> PAGEREF _Toc508958778 \h </w:instrText>
      </w:r>
      <w:r>
        <w:fldChar w:fldCharType="separate"/>
      </w:r>
      <w:r>
        <w:t>18</w:t>
      </w:r>
      <w:r>
        <w:fldChar w:fldCharType="end"/>
      </w:r>
    </w:p>
    <w:p w:rsidR="0012753F" w:rsidRDefault="0012753F">
      <w:pPr>
        <w:pStyle w:val="TOC1"/>
        <w:rPr>
          <w:rFonts w:asciiTheme="minorHAnsi" w:eastAsiaTheme="minorEastAsia" w:hAnsiTheme="minorHAnsi" w:cstheme="minorBidi"/>
          <w:szCs w:val="22"/>
          <w:lang w:val="en-US"/>
        </w:rPr>
      </w:pPr>
      <w:r>
        <w:t>7   Candidate Architecture</w:t>
      </w:r>
      <w:r>
        <w:tab/>
      </w:r>
      <w:r>
        <w:fldChar w:fldCharType="begin"/>
      </w:r>
      <w:r>
        <w:instrText xml:space="preserve"> PAGEREF _Toc508958779 \h </w:instrText>
      </w:r>
      <w:r>
        <w:fldChar w:fldCharType="separate"/>
      </w:r>
      <w:r>
        <w:t>19</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rPr>
        <w:t>7</w:t>
      </w:r>
      <w:r>
        <w:t>.1</w:t>
      </w:r>
      <w:r>
        <w:rPr>
          <w:rFonts w:asciiTheme="minorHAnsi" w:eastAsiaTheme="minorEastAsia" w:hAnsiTheme="minorHAnsi" w:cstheme="minorBidi"/>
          <w:sz w:val="22"/>
          <w:szCs w:val="22"/>
          <w:lang w:val="en-US"/>
        </w:rPr>
        <w:tab/>
      </w:r>
      <w:r>
        <w:rPr>
          <w:lang w:eastAsia="zh-CN"/>
        </w:rPr>
        <w:t xml:space="preserve">Candidate </w:t>
      </w:r>
      <w:r>
        <w:t>Architecture for App-ID Registry Function</w:t>
      </w:r>
      <w:r>
        <w:tab/>
      </w:r>
      <w:r>
        <w:fldChar w:fldCharType="begin"/>
      </w:r>
      <w:r>
        <w:instrText xml:space="preserve"> PAGEREF _Toc508958780 \h </w:instrText>
      </w:r>
      <w:r>
        <w:fldChar w:fldCharType="separate"/>
      </w:r>
      <w:r>
        <w:t>19</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7</w:t>
      </w:r>
      <w:r>
        <w:t>.1</w:t>
      </w:r>
      <w:r w:rsidRPr="00D74307">
        <w:rPr>
          <w:lang w:val="en-US"/>
        </w:rPr>
        <w:t>.1</w:t>
      </w:r>
      <w:r>
        <w:rPr>
          <w:rFonts w:asciiTheme="minorHAnsi" w:eastAsiaTheme="minorEastAsia" w:hAnsiTheme="minorHAnsi" w:cstheme="minorBidi"/>
          <w:sz w:val="22"/>
          <w:szCs w:val="22"/>
          <w:lang w:val="en-US"/>
        </w:rPr>
        <w:tab/>
      </w:r>
      <w:r>
        <w:t>OPTION #1 – Standalone App</w:t>
      </w:r>
      <w:r w:rsidRPr="00D74307">
        <w:rPr>
          <w:lang w:val="en-US"/>
        </w:rPr>
        <w:t>-</w:t>
      </w:r>
      <w:r>
        <w:t>ID Registry function (ARF)</w:t>
      </w:r>
      <w:r>
        <w:tab/>
      </w:r>
      <w:r>
        <w:fldChar w:fldCharType="begin"/>
      </w:r>
      <w:r>
        <w:instrText xml:space="preserve"> PAGEREF _Toc508958781 \h </w:instrText>
      </w:r>
      <w:r>
        <w:fldChar w:fldCharType="separate"/>
      </w:r>
      <w:r>
        <w:t>19</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7</w:t>
      </w:r>
      <w:r>
        <w:t>.</w:t>
      </w:r>
      <w:r w:rsidRPr="00D74307">
        <w:rPr>
          <w:lang w:val="en-US"/>
        </w:rPr>
        <w:t>1.</w:t>
      </w:r>
      <w:r>
        <w:t>2</w:t>
      </w:r>
      <w:r>
        <w:rPr>
          <w:rFonts w:asciiTheme="minorHAnsi" w:eastAsiaTheme="minorEastAsia" w:hAnsiTheme="minorHAnsi" w:cstheme="minorBidi"/>
          <w:sz w:val="22"/>
          <w:szCs w:val="22"/>
          <w:lang w:val="en-US"/>
        </w:rPr>
        <w:tab/>
      </w:r>
      <w:r>
        <w:t>OPTION #2 –  App</w:t>
      </w:r>
      <w:r w:rsidRPr="00D74307">
        <w:rPr>
          <w:lang w:val="en-US"/>
        </w:rPr>
        <w:t>-</w:t>
      </w:r>
      <w:r>
        <w:t xml:space="preserve">ID Registry </w:t>
      </w:r>
      <w:r w:rsidRPr="00D74307">
        <w:rPr>
          <w:lang w:val="en-US"/>
        </w:rPr>
        <w:t xml:space="preserve">Function within </w:t>
      </w:r>
      <w:r>
        <w:t>MEF</w:t>
      </w:r>
      <w:r>
        <w:tab/>
      </w:r>
      <w:r>
        <w:fldChar w:fldCharType="begin"/>
      </w:r>
      <w:r>
        <w:instrText xml:space="preserve"> PAGEREF _Toc508958782 \h </w:instrText>
      </w:r>
      <w:r>
        <w:fldChar w:fldCharType="separate"/>
      </w:r>
      <w:r>
        <w:t>19</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eastAsia="zh-CN"/>
        </w:rPr>
        <w:t xml:space="preserve">7.2 </w:t>
      </w:r>
      <w:r>
        <w:rPr>
          <w:rFonts w:asciiTheme="minorHAnsi" w:eastAsiaTheme="minorEastAsia" w:hAnsiTheme="minorHAnsi" w:cstheme="minorBidi"/>
          <w:sz w:val="22"/>
          <w:szCs w:val="22"/>
          <w:lang w:val="en-US"/>
        </w:rPr>
        <w:tab/>
      </w:r>
      <w:r>
        <w:rPr>
          <w:lang w:eastAsia="zh-CN"/>
        </w:rPr>
        <w:t>Architecture</w:t>
      </w:r>
      <w:r>
        <w:t xml:space="preserve"> </w:t>
      </w:r>
      <w:r>
        <w:rPr>
          <w:lang w:eastAsia="zh-CN"/>
        </w:rPr>
        <w:t xml:space="preserve">Proposal </w:t>
      </w:r>
      <w:r>
        <w:t xml:space="preserve">For </w:t>
      </w:r>
      <w:r>
        <w:rPr>
          <w:lang w:eastAsia="zh-CN"/>
        </w:rPr>
        <w:t>Registration Enrolment using the App-ID Metadata</w:t>
      </w:r>
      <w:r>
        <w:tab/>
      </w:r>
      <w:r>
        <w:fldChar w:fldCharType="begin"/>
      </w:r>
      <w:r>
        <w:instrText xml:space="preserve"> PAGEREF _Toc508958783 \h </w:instrText>
      </w:r>
      <w:r>
        <w:fldChar w:fldCharType="separate"/>
      </w:r>
      <w:r>
        <w:t>20</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2</w:t>
      </w:r>
      <w:r>
        <w:rPr>
          <w:lang w:eastAsia="zh-CN"/>
        </w:rPr>
        <w:t>.1</w:t>
      </w:r>
      <w:r>
        <w:rPr>
          <w:rFonts w:asciiTheme="minorHAnsi" w:eastAsiaTheme="minorEastAsia" w:hAnsiTheme="minorHAnsi" w:cstheme="minorBidi"/>
          <w:sz w:val="22"/>
          <w:szCs w:val="22"/>
          <w:lang w:val="en-US"/>
        </w:rPr>
        <w:tab/>
      </w:r>
      <w:r w:rsidRPr="00D74307">
        <w:rPr>
          <w:lang w:eastAsia="zh-CN"/>
        </w:rPr>
        <w:t xml:space="preserve">Functionality </w:t>
      </w:r>
      <w:r>
        <w:t>Requirements</w:t>
      </w:r>
      <w:r>
        <w:tab/>
      </w:r>
      <w:r>
        <w:fldChar w:fldCharType="begin"/>
      </w:r>
      <w:r>
        <w:instrText xml:space="preserve"> PAGEREF _Toc508958784 \h </w:instrText>
      </w:r>
      <w:r>
        <w:fldChar w:fldCharType="separate"/>
      </w:r>
      <w:r>
        <w:t>20</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7</w:t>
      </w:r>
      <w:r>
        <w:t>.</w:t>
      </w:r>
      <w:r w:rsidRPr="00D74307">
        <w:rPr>
          <w:lang w:val="en-US"/>
        </w:rPr>
        <w:t>2.2</w:t>
      </w:r>
      <w:r>
        <w:rPr>
          <w:rFonts w:asciiTheme="minorHAnsi" w:eastAsiaTheme="minorEastAsia" w:hAnsiTheme="minorHAnsi" w:cstheme="minorBidi"/>
          <w:sz w:val="22"/>
          <w:szCs w:val="22"/>
          <w:lang w:val="en-US"/>
        </w:rPr>
        <w:tab/>
      </w:r>
      <w:r>
        <w:t xml:space="preserve">Architecture </w:t>
      </w:r>
      <w:r w:rsidRPr="00D74307">
        <w:rPr>
          <w:lang w:val="en-US"/>
        </w:rPr>
        <w:t>Option #1</w:t>
      </w:r>
      <w:r>
        <w:tab/>
      </w:r>
      <w:r>
        <w:fldChar w:fldCharType="begin"/>
      </w:r>
      <w:r>
        <w:instrText xml:space="preserve"> PAGEREF _Toc508958785 \h </w:instrText>
      </w:r>
      <w:r>
        <w:fldChar w:fldCharType="separate"/>
      </w:r>
      <w:r>
        <w:t>20</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2.1.1</w:t>
      </w:r>
      <w:r>
        <w:rPr>
          <w:rFonts w:asciiTheme="minorHAnsi" w:eastAsiaTheme="minorEastAsia" w:hAnsiTheme="minorHAnsi" w:cstheme="minorBidi"/>
          <w:sz w:val="22"/>
          <w:szCs w:val="22"/>
          <w:lang w:val="en-US"/>
        </w:rPr>
        <w:tab/>
      </w:r>
      <w:r>
        <w:rPr>
          <w:lang w:eastAsia="zh-CN"/>
        </w:rPr>
        <w:t>Nodes</w:t>
      </w:r>
      <w:r>
        <w:tab/>
      </w:r>
      <w:r>
        <w:fldChar w:fldCharType="begin"/>
      </w:r>
      <w:r>
        <w:instrText xml:space="preserve"> PAGEREF _Toc508958786 \h </w:instrText>
      </w:r>
      <w:r>
        <w:fldChar w:fldCharType="separate"/>
      </w:r>
      <w:r>
        <w:t>22</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2.1.</w:t>
      </w:r>
      <w:r>
        <w:rPr>
          <w:lang w:eastAsia="zh-CN"/>
        </w:rPr>
        <w:t>2</w:t>
      </w:r>
      <w:r>
        <w:rPr>
          <w:rFonts w:asciiTheme="minorHAnsi" w:eastAsiaTheme="minorEastAsia" w:hAnsiTheme="minorHAnsi" w:cstheme="minorBidi"/>
          <w:sz w:val="22"/>
          <w:szCs w:val="22"/>
          <w:lang w:val="en-US"/>
        </w:rPr>
        <w:tab/>
      </w:r>
      <w:r>
        <w:rPr>
          <w:lang w:eastAsia="zh-CN"/>
        </w:rPr>
        <w:t>Reference Points</w:t>
      </w:r>
      <w:r>
        <w:tab/>
      </w:r>
      <w:r>
        <w:fldChar w:fldCharType="begin"/>
      </w:r>
      <w:r>
        <w:instrText xml:space="preserve"> PAGEREF _Toc508958787 \h </w:instrText>
      </w:r>
      <w:r>
        <w:fldChar w:fldCharType="separate"/>
      </w:r>
      <w:r>
        <w:t>22</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rPr>
        <w:t>7</w:t>
      </w:r>
      <w:r>
        <w:t>.2.3</w:t>
      </w:r>
      <w:r>
        <w:rPr>
          <w:rFonts w:asciiTheme="minorHAnsi" w:eastAsiaTheme="minorEastAsia" w:hAnsiTheme="minorHAnsi" w:cstheme="minorBidi"/>
          <w:sz w:val="22"/>
          <w:szCs w:val="22"/>
          <w:lang w:val="en-US"/>
        </w:rPr>
        <w:tab/>
      </w:r>
      <w:r>
        <w:t xml:space="preserve">Architecture </w:t>
      </w:r>
      <w:r w:rsidRPr="00D74307">
        <w:rPr>
          <w:lang w:val="en-US"/>
        </w:rPr>
        <w:t>Option #2</w:t>
      </w:r>
      <w:r>
        <w:tab/>
      </w:r>
      <w:r>
        <w:fldChar w:fldCharType="begin"/>
      </w:r>
      <w:r>
        <w:instrText xml:space="preserve"> PAGEREF _Toc508958788 \h </w:instrText>
      </w:r>
      <w:r>
        <w:fldChar w:fldCharType="separate"/>
      </w:r>
      <w:r>
        <w:t>23</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2</w:t>
      </w:r>
      <w:r>
        <w:t>.</w:t>
      </w:r>
      <w:r>
        <w:rPr>
          <w:lang w:eastAsia="zh-CN"/>
        </w:rPr>
        <w:t>3</w:t>
      </w:r>
      <w:r>
        <w:t>.1</w:t>
      </w:r>
      <w:r>
        <w:rPr>
          <w:rFonts w:asciiTheme="minorHAnsi" w:eastAsiaTheme="minorEastAsia" w:hAnsiTheme="minorHAnsi" w:cstheme="minorBidi"/>
          <w:sz w:val="22"/>
          <w:szCs w:val="22"/>
          <w:lang w:val="en-US"/>
        </w:rPr>
        <w:tab/>
      </w:r>
      <w:r>
        <w:rPr>
          <w:lang w:eastAsia="zh-CN"/>
        </w:rPr>
        <w:t>Nodes</w:t>
      </w:r>
      <w:r>
        <w:tab/>
      </w:r>
      <w:r>
        <w:fldChar w:fldCharType="begin"/>
      </w:r>
      <w:r>
        <w:instrText xml:space="preserve"> PAGEREF _Toc508958789 \h </w:instrText>
      </w:r>
      <w:r>
        <w:fldChar w:fldCharType="separate"/>
      </w:r>
      <w:r>
        <w:t>24</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2</w:t>
      </w:r>
      <w:r>
        <w:rPr>
          <w:lang w:eastAsia="zh-CN"/>
        </w:rPr>
        <w:t>.3.2</w:t>
      </w:r>
      <w:r>
        <w:rPr>
          <w:rFonts w:asciiTheme="minorHAnsi" w:eastAsiaTheme="minorEastAsia" w:hAnsiTheme="minorHAnsi" w:cstheme="minorBidi"/>
          <w:sz w:val="22"/>
          <w:szCs w:val="22"/>
          <w:lang w:val="en-US"/>
        </w:rPr>
        <w:tab/>
      </w:r>
      <w:r>
        <w:rPr>
          <w:lang w:eastAsia="zh-CN"/>
        </w:rPr>
        <w:t>Reference Points</w:t>
      </w:r>
      <w:r>
        <w:tab/>
      </w:r>
      <w:r>
        <w:fldChar w:fldCharType="begin"/>
      </w:r>
      <w:r>
        <w:instrText xml:space="preserve"> PAGEREF _Toc508958790 \h </w:instrText>
      </w:r>
      <w:r>
        <w:fldChar w:fldCharType="separate"/>
      </w:r>
      <w:r>
        <w:t>24</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3</w:t>
      </w:r>
      <w:r>
        <w:rPr>
          <w:lang w:eastAsia="zh-CN"/>
        </w:rPr>
        <w:t>.</w:t>
      </w:r>
      <w:r w:rsidRPr="00D74307">
        <w:rPr>
          <w:lang w:val="en-US" w:eastAsia="zh-CN"/>
        </w:rPr>
        <w:t>2</w:t>
      </w:r>
      <w:r>
        <w:rPr>
          <w:rFonts w:asciiTheme="minorHAnsi" w:eastAsiaTheme="minorEastAsia" w:hAnsiTheme="minorHAnsi" w:cstheme="minorBidi"/>
          <w:sz w:val="22"/>
          <w:szCs w:val="22"/>
          <w:lang w:val="en-US"/>
        </w:rPr>
        <w:tab/>
      </w:r>
      <w:r>
        <w:rPr>
          <w:lang w:eastAsia="zh-CN"/>
        </w:rPr>
        <w:t xml:space="preserve">Architecture </w:t>
      </w:r>
      <w:r w:rsidRPr="00D74307">
        <w:rPr>
          <w:lang w:val="en-US" w:eastAsia="zh-CN"/>
        </w:rPr>
        <w:t>Option #3</w:t>
      </w:r>
      <w:r>
        <w:tab/>
      </w:r>
      <w:r>
        <w:fldChar w:fldCharType="begin"/>
      </w:r>
      <w:r>
        <w:instrText xml:space="preserve"> PAGEREF _Toc508958791 \h </w:instrText>
      </w:r>
      <w:r>
        <w:fldChar w:fldCharType="separate"/>
      </w:r>
      <w:r>
        <w:t>25</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3.2</w:t>
      </w:r>
      <w:r>
        <w:t>.1</w:t>
      </w:r>
      <w:r>
        <w:rPr>
          <w:rFonts w:asciiTheme="minorHAnsi" w:eastAsiaTheme="minorEastAsia" w:hAnsiTheme="minorHAnsi" w:cstheme="minorBidi"/>
          <w:sz w:val="22"/>
          <w:szCs w:val="22"/>
          <w:lang w:val="en-US"/>
        </w:rPr>
        <w:tab/>
      </w:r>
      <w:r>
        <w:rPr>
          <w:lang w:eastAsia="zh-CN"/>
        </w:rPr>
        <w:t>Nodes</w:t>
      </w:r>
      <w:r>
        <w:tab/>
      </w:r>
      <w:r>
        <w:fldChar w:fldCharType="begin"/>
      </w:r>
      <w:r>
        <w:instrText xml:space="preserve"> PAGEREF _Toc508958792 \h </w:instrText>
      </w:r>
      <w:r>
        <w:fldChar w:fldCharType="separate"/>
      </w:r>
      <w:r>
        <w:t>27</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7</w:t>
      </w:r>
      <w:r>
        <w:rPr>
          <w:lang w:eastAsia="zh-CN"/>
        </w:rPr>
        <w:t>.</w:t>
      </w:r>
      <w:r w:rsidRPr="00D74307">
        <w:rPr>
          <w:lang w:val="en-US" w:eastAsia="zh-CN"/>
        </w:rPr>
        <w:t>3.2</w:t>
      </w:r>
      <w:r>
        <w:rPr>
          <w:lang w:eastAsia="zh-CN"/>
        </w:rPr>
        <w:t>.2</w:t>
      </w:r>
      <w:r>
        <w:rPr>
          <w:rFonts w:asciiTheme="minorHAnsi" w:eastAsiaTheme="minorEastAsia" w:hAnsiTheme="minorHAnsi" w:cstheme="minorBidi"/>
          <w:sz w:val="22"/>
          <w:szCs w:val="22"/>
          <w:lang w:val="en-US"/>
        </w:rPr>
        <w:tab/>
      </w:r>
      <w:r>
        <w:rPr>
          <w:lang w:eastAsia="zh-CN"/>
        </w:rPr>
        <w:t>Reference Points</w:t>
      </w:r>
      <w:r>
        <w:tab/>
      </w:r>
      <w:r>
        <w:fldChar w:fldCharType="begin"/>
      </w:r>
      <w:r>
        <w:instrText xml:space="preserve"> PAGEREF _Toc508958793 \h </w:instrText>
      </w:r>
      <w:r>
        <w:fldChar w:fldCharType="separate"/>
      </w:r>
      <w:r>
        <w:t>27</w:t>
      </w:r>
      <w:r>
        <w:fldChar w:fldCharType="end"/>
      </w:r>
    </w:p>
    <w:p w:rsidR="0012753F" w:rsidRDefault="0012753F">
      <w:pPr>
        <w:pStyle w:val="TOC1"/>
        <w:rPr>
          <w:rFonts w:asciiTheme="minorHAnsi" w:eastAsiaTheme="minorEastAsia" w:hAnsiTheme="minorHAnsi" w:cstheme="minorBidi"/>
          <w:szCs w:val="22"/>
          <w:lang w:val="en-US"/>
        </w:rPr>
      </w:pPr>
      <w:r w:rsidRPr="00D74307">
        <w:rPr>
          <w:lang w:val="en-US" w:eastAsia="zh-CN"/>
        </w:rPr>
        <w:t>8</w:t>
      </w:r>
      <w:r>
        <w:rPr>
          <w:rFonts w:asciiTheme="minorHAnsi" w:eastAsiaTheme="minorEastAsia" w:hAnsiTheme="minorHAnsi" w:cstheme="minorBidi"/>
          <w:szCs w:val="22"/>
          <w:lang w:val="en-US"/>
        </w:rPr>
        <w:tab/>
      </w:r>
      <w:r w:rsidRPr="00D74307">
        <w:rPr>
          <w:lang w:val="en-US" w:eastAsia="zh-CN"/>
        </w:rPr>
        <w:t>App-ID Registry Function Metadata</w:t>
      </w:r>
      <w:r>
        <w:tab/>
      </w:r>
      <w:r>
        <w:fldChar w:fldCharType="begin"/>
      </w:r>
      <w:r>
        <w:instrText xml:space="preserve"> PAGEREF _Toc508958794 \h </w:instrText>
      </w:r>
      <w:r>
        <w:fldChar w:fldCharType="separate"/>
      </w:r>
      <w:r>
        <w:t>27</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eastAsia="zh-CN"/>
        </w:rPr>
        <w:t>8.1</w:t>
      </w:r>
      <w:r>
        <w:rPr>
          <w:rFonts w:asciiTheme="minorHAnsi" w:eastAsiaTheme="minorEastAsia" w:hAnsiTheme="minorHAnsi" w:cstheme="minorBidi"/>
          <w:sz w:val="22"/>
          <w:szCs w:val="22"/>
          <w:lang w:val="en-US"/>
        </w:rPr>
        <w:tab/>
      </w:r>
      <w:r w:rsidRPr="00D74307">
        <w:rPr>
          <w:lang w:val="en-US" w:eastAsia="zh-CN"/>
        </w:rPr>
        <w:t xml:space="preserve">App-ID Registry </w:t>
      </w:r>
      <w:r>
        <w:rPr>
          <w:lang w:eastAsia="zh-CN"/>
        </w:rPr>
        <w:t>Function</w:t>
      </w:r>
      <w:r w:rsidRPr="00D74307">
        <w:rPr>
          <w:lang w:val="en-US" w:eastAsia="zh-CN"/>
        </w:rPr>
        <w:t xml:space="preserve"> </w:t>
      </w:r>
      <w:r>
        <w:rPr>
          <w:lang w:eastAsia="zh-CN"/>
        </w:rPr>
        <w:t xml:space="preserve">– Metadata related </w:t>
      </w:r>
      <w:r>
        <w:t>Requirements</w:t>
      </w:r>
      <w:r>
        <w:tab/>
      </w:r>
      <w:r>
        <w:fldChar w:fldCharType="begin"/>
      </w:r>
      <w:r>
        <w:instrText xml:space="preserve"> PAGEREF _Toc508958795 \h </w:instrText>
      </w:r>
      <w:r>
        <w:fldChar w:fldCharType="separate"/>
      </w:r>
      <w:r>
        <w:t>27</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eastAsia="zh-CN"/>
        </w:rPr>
        <w:t>8.2</w:t>
      </w:r>
      <w:r>
        <w:rPr>
          <w:rFonts w:asciiTheme="minorHAnsi" w:eastAsiaTheme="minorEastAsia" w:hAnsiTheme="minorHAnsi" w:cstheme="minorBidi"/>
          <w:sz w:val="22"/>
          <w:szCs w:val="22"/>
          <w:lang w:val="en-US"/>
        </w:rPr>
        <w:tab/>
      </w:r>
      <w:r w:rsidRPr="00D74307">
        <w:rPr>
          <w:lang w:val="en-US" w:eastAsia="zh-CN"/>
        </w:rPr>
        <w:t xml:space="preserve">App-ID </w:t>
      </w:r>
      <w:r>
        <w:rPr>
          <w:lang w:eastAsia="zh-CN"/>
        </w:rPr>
        <w:t>Metadata</w:t>
      </w:r>
      <w:r>
        <w:tab/>
      </w:r>
      <w:r>
        <w:fldChar w:fldCharType="begin"/>
      </w:r>
      <w:r>
        <w:instrText xml:space="preserve"> PAGEREF _Toc508958796 \h </w:instrText>
      </w:r>
      <w:r>
        <w:fldChar w:fldCharType="separate"/>
      </w:r>
      <w:r>
        <w:t>27</w:t>
      </w:r>
      <w:r>
        <w:fldChar w:fldCharType="end"/>
      </w:r>
    </w:p>
    <w:p w:rsidR="0012753F" w:rsidRDefault="0012753F">
      <w:pPr>
        <w:pStyle w:val="TOC1"/>
        <w:rPr>
          <w:rFonts w:asciiTheme="minorHAnsi" w:eastAsiaTheme="minorEastAsia" w:hAnsiTheme="minorHAnsi" w:cstheme="minorBidi"/>
          <w:szCs w:val="22"/>
          <w:lang w:val="en-US"/>
        </w:rPr>
      </w:pPr>
      <w:r>
        <w:rPr>
          <w:lang w:eastAsia="zh-CN"/>
        </w:rPr>
        <w:t>9</w:t>
      </w:r>
      <w:r>
        <w:rPr>
          <w:rFonts w:asciiTheme="minorHAnsi" w:eastAsiaTheme="minorEastAsia" w:hAnsiTheme="minorHAnsi" w:cstheme="minorBidi"/>
          <w:szCs w:val="22"/>
          <w:lang w:val="en-US"/>
        </w:rPr>
        <w:tab/>
      </w:r>
      <w:r>
        <w:t>Available Options</w:t>
      </w:r>
      <w:r>
        <w:tab/>
      </w:r>
      <w:r>
        <w:fldChar w:fldCharType="begin"/>
      </w:r>
      <w:r>
        <w:instrText xml:space="preserve"> PAGEREF _Toc508958797 \h </w:instrText>
      </w:r>
      <w:r>
        <w:fldChar w:fldCharType="separate"/>
      </w:r>
      <w:r>
        <w:t>30</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eastAsia="zh-CN"/>
        </w:rPr>
        <w:t>9</w:t>
      </w:r>
      <w:r w:rsidRPr="00D74307">
        <w:rPr>
          <w:lang w:val="en-US"/>
        </w:rPr>
        <w:t>.1</w:t>
      </w:r>
      <w:r>
        <w:rPr>
          <w:rFonts w:asciiTheme="minorHAnsi" w:eastAsiaTheme="minorEastAsia" w:hAnsiTheme="minorHAnsi" w:cstheme="minorBidi"/>
          <w:sz w:val="22"/>
          <w:szCs w:val="22"/>
          <w:lang w:val="en-US"/>
        </w:rPr>
        <w:tab/>
      </w:r>
      <w:r w:rsidRPr="00D74307">
        <w:rPr>
          <w:lang w:val="en-US"/>
        </w:rPr>
        <w:t>Review of Existing Technology for use in the functionality</w:t>
      </w:r>
      <w:r>
        <w:tab/>
      </w:r>
      <w:r>
        <w:fldChar w:fldCharType="begin"/>
      </w:r>
      <w:r>
        <w:instrText xml:space="preserve"> PAGEREF _Toc508958798 \h </w:instrText>
      </w:r>
      <w:r>
        <w:fldChar w:fldCharType="separate"/>
      </w:r>
      <w:r>
        <w:t>30</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eastAsia="zh-CN"/>
        </w:rPr>
        <w:t>9</w:t>
      </w:r>
      <w:r w:rsidRPr="00D74307">
        <w:rPr>
          <w:lang w:val="en-US"/>
        </w:rPr>
        <w:t>.1.1</w:t>
      </w:r>
      <w:r>
        <w:rPr>
          <w:rFonts w:asciiTheme="minorHAnsi" w:eastAsiaTheme="minorEastAsia" w:hAnsiTheme="minorHAnsi" w:cstheme="minorBidi"/>
          <w:sz w:val="22"/>
          <w:szCs w:val="22"/>
          <w:lang w:val="en-US"/>
        </w:rPr>
        <w:tab/>
      </w:r>
      <w:r w:rsidRPr="00D74307">
        <w:rPr>
          <w:lang w:val="en-US"/>
        </w:rPr>
        <w:t>Digital Letter of Approval</w:t>
      </w:r>
      <w:r>
        <w:tab/>
      </w:r>
      <w:r>
        <w:fldChar w:fldCharType="begin"/>
      </w:r>
      <w:r>
        <w:instrText xml:space="preserve"> PAGEREF _Toc508958799 \h </w:instrText>
      </w:r>
      <w:r>
        <w:fldChar w:fldCharType="separate"/>
      </w:r>
      <w:r>
        <w:t>30</w:t>
      </w:r>
      <w:r>
        <w:fldChar w:fldCharType="end"/>
      </w:r>
    </w:p>
    <w:p w:rsidR="0012753F" w:rsidRDefault="0012753F">
      <w:pPr>
        <w:pStyle w:val="TOC4"/>
        <w:rPr>
          <w:rFonts w:asciiTheme="minorHAnsi" w:eastAsiaTheme="minorEastAsia" w:hAnsiTheme="minorHAnsi" w:cstheme="minorBidi"/>
          <w:sz w:val="22"/>
          <w:szCs w:val="22"/>
          <w:lang w:val="en-US"/>
        </w:rPr>
      </w:pPr>
      <w:r w:rsidRPr="00D74307">
        <w:rPr>
          <w:lang w:val="en-US" w:eastAsia="zh-CN"/>
        </w:rPr>
        <w:t>9</w:t>
      </w:r>
      <w:r w:rsidRPr="00D74307">
        <w:rPr>
          <w:lang w:val="en-US"/>
        </w:rPr>
        <w:t>.1.1.1</w:t>
      </w:r>
      <w:r>
        <w:rPr>
          <w:rFonts w:asciiTheme="minorHAnsi" w:eastAsiaTheme="minorEastAsia" w:hAnsiTheme="minorHAnsi" w:cstheme="minorBidi"/>
          <w:sz w:val="22"/>
          <w:szCs w:val="22"/>
          <w:lang w:val="en-US"/>
        </w:rPr>
        <w:tab/>
      </w:r>
      <w:r w:rsidRPr="00D74307">
        <w:rPr>
          <w:lang w:val="en-US"/>
        </w:rPr>
        <w:t>Introduction to DLOA Technology</w:t>
      </w:r>
      <w:r>
        <w:tab/>
      </w:r>
      <w:r>
        <w:fldChar w:fldCharType="begin"/>
      </w:r>
      <w:r>
        <w:instrText xml:space="preserve"> PAGEREF _Toc508958800 \h </w:instrText>
      </w:r>
      <w:r>
        <w:fldChar w:fldCharType="separate"/>
      </w:r>
      <w:r>
        <w:t>30</w:t>
      </w:r>
      <w:r>
        <w:fldChar w:fldCharType="end"/>
      </w:r>
    </w:p>
    <w:p w:rsidR="0012753F" w:rsidRDefault="0012753F">
      <w:pPr>
        <w:pStyle w:val="TOC2"/>
        <w:rPr>
          <w:rFonts w:asciiTheme="minorHAnsi" w:eastAsiaTheme="minorEastAsia" w:hAnsiTheme="minorHAnsi" w:cstheme="minorBidi"/>
          <w:sz w:val="22"/>
          <w:szCs w:val="22"/>
          <w:lang w:val="en-US"/>
        </w:rPr>
      </w:pPr>
      <w:r w:rsidRPr="00D74307">
        <w:rPr>
          <w:lang w:val="en-US" w:eastAsia="zh-CN"/>
        </w:rPr>
        <w:t>9.2</w:t>
      </w:r>
      <w:r>
        <w:rPr>
          <w:rFonts w:asciiTheme="minorHAnsi" w:eastAsiaTheme="minorEastAsia" w:hAnsiTheme="minorHAnsi" w:cstheme="minorBidi"/>
          <w:sz w:val="22"/>
          <w:szCs w:val="22"/>
          <w:lang w:val="en-US"/>
        </w:rPr>
        <w:tab/>
      </w:r>
      <w:r w:rsidRPr="00D74307">
        <w:rPr>
          <w:lang w:val="en-US" w:eastAsia="zh-CN"/>
        </w:rPr>
        <w:t>A Solution for providing DLOA Functionality</w:t>
      </w:r>
      <w:r>
        <w:tab/>
      </w:r>
      <w:r>
        <w:fldChar w:fldCharType="begin"/>
      </w:r>
      <w:r>
        <w:instrText xml:space="preserve"> PAGEREF _Toc508958801 \h </w:instrText>
      </w:r>
      <w:r>
        <w:fldChar w:fldCharType="separate"/>
      </w:r>
      <w:r>
        <w:t>31</w:t>
      </w:r>
      <w:r>
        <w:fldChar w:fldCharType="end"/>
      </w:r>
    </w:p>
    <w:p w:rsidR="0012753F" w:rsidRDefault="0012753F">
      <w:pPr>
        <w:pStyle w:val="TOC3"/>
        <w:rPr>
          <w:rFonts w:asciiTheme="minorHAnsi" w:eastAsiaTheme="minorEastAsia" w:hAnsiTheme="minorHAnsi" w:cstheme="minorBidi"/>
          <w:sz w:val="22"/>
          <w:szCs w:val="22"/>
          <w:lang w:val="en-US"/>
        </w:rPr>
      </w:pPr>
      <w:r w:rsidRPr="00D74307">
        <w:rPr>
          <w:lang w:val="en-US" w:eastAsia="zh-CN"/>
        </w:rPr>
        <w:t>9</w:t>
      </w:r>
      <w:r>
        <w:t>.</w:t>
      </w:r>
      <w:r>
        <w:rPr>
          <w:lang w:eastAsia="zh-CN"/>
        </w:rPr>
        <w:t>2</w:t>
      </w:r>
      <w:r>
        <w:t>.</w:t>
      </w:r>
      <w:r>
        <w:rPr>
          <w:lang w:eastAsia="zh-CN"/>
        </w:rPr>
        <w:t>1</w:t>
      </w:r>
      <w:r>
        <w:rPr>
          <w:rFonts w:asciiTheme="minorHAnsi" w:eastAsiaTheme="minorEastAsia" w:hAnsiTheme="minorHAnsi" w:cstheme="minorBidi"/>
          <w:sz w:val="22"/>
          <w:szCs w:val="22"/>
          <w:lang w:val="en-US"/>
        </w:rPr>
        <w:tab/>
      </w:r>
      <w:r>
        <w:t xml:space="preserve">General procedure for </w:t>
      </w:r>
      <w:r w:rsidRPr="00D74307">
        <w:t>providing DLOA functionality</w:t>
      </w:r>
      <w:r>
        <w:tab/>
      </w:r>
      <w:r>
        <w:fldChar w:fldCharType="begin"/>
      </w:r>
      <w:r>
        <w:instrText xml:space="preserve"> PAGEREF _Toc508958802 \h </w:instrText>
      </w:r>
      <w:r>
        <w:fldChar w:fldCharType="separate"/>
      </w:r>
      <w:r>
        <w:t>31</w:t>
      </w:r>
      <w:r>
        <w:fldChar w:fldCharType="end"/>
      </w:r>
    </w:p>
    <w:p w:rsidR="0012753F" w:rsidRDefault="0012753F">
      <w:pPr>
        <w:pStyle w:val="TOC1"/>
        <w:rPr>
          <w:rFonts w:asciiTheme="minorHAnsi" w:eastAsiaTheme="minorEastAsia" w:hAnsiTheme="minorHAnsi" w:cstheme="minorBidi"/>
          <w:szCs w:val="22"/>
          <w:lang w:val="en-US"/>
        </w:rPr>
      </w:pPr>
      <w:r>
        <w:rPr>
          <w:lang w:eastAsia="zh-CN"/>
        </w:rPr>
        <w:t>10</w:t>
      </w:r>
      <w:r>
        <w:rPr>
          <w:rFonts w:asciiTheme="minorHAnsi" w:eastAsiaTheme="minorEastAsia" w:hAnsiTheme="minorHAnsi" w:cstheme="minorBidi"/>
          <w:szCs w:val="22"/>
          <w:lang w:val="en-US"/>
        </w:rPr>
        <w:tab/>
      </w:r>
      <w:r>
        <w:t>Conclusions and recommendations</w:t>
      </w:r>
      <w:r>
        <w:tab/>
      </w:r>
      <w:r>
        <w:fldChar w:fldCharType="begin"/>
      </w:r>
      <w:r>
        <w:instrText xml:space="preserve"> PAGEREF _Toc508958803 \h </w:instrText>
      </w:r>
      <w:r>
        <w:fldChar w:fldCharType="separate"/>
      </w:r>
      <w:r>
        <w:t>31</w:t>
      </w:r>
      <w:r>
        <w:fldChar w:fldCharType="end"/>
      </w:r>
    </w:p>
    <w:p w:rsidR="0012753F" w:rsidRDefault="0012753F">
      <w:pPr>
        <w:pStyle w:val="TOC1"/>
        <w:rPr>
          <w:rFonts w:asciiTheme="minorHAnsi" w:eastAsiaTheme="minorEastAsia" w:hAnsiTheme="minorHAnsi" w:cstheme="minorBidi"/>
          <w:szCs w:val="22"/>
          <w:lang w:val="en-US"/>
        </w:rPr>
      </w:pPr>
      <w:r>
        <w:t>History</w:t>
      </w:r>
      <w:r>
        <w:tab/>
      </w:r>
      <w:r>
        <w:fldChar w:fldCharType="begin"/>
      </w:r>
      <w:r>
        <w:instrText xml:space="preserve"> PAGEREF _Toc508958804 \h </w:instrText>
      </w:r>
      <w:r>
        <w:fldChar w:fldCharType="separate"/>
      </w:r>
      <w:r>
        <w:t>32</w:t>
      </w:r>
      <w:r>
        <w:fldChar w:fldCharType="end"/>
      </w:r>
    </w:p>
    <w:p w:rsidR="004A3476" w:rsidRPr="00EA211F" w:rsidRDefault="00267B30" w:rsidP="004A3476">
      <w:r w:rsidRPr="00EA211F">
        <w:lastRenderedPageBreak/>
        <w:fldChar w:fldCharType="end"/>
      </w:r>
    </w:p>
    <w:p w:rsidR="004A3476" w:rsidRPr="00EA211F" w:rsidRDefault="004A3476" w:rsidP="004A3476">
      <w:pPr>
        <w:pStyle w:val="Heading1"/>
      </w:pPr>
      <w:r w:rsidRPr="00EA211F">
        <w:rPr>
          <w:szCs w:val="36"/>
        </w:rPr>
        <w:br w:type="page"/>
      </w:r>
      <w:bookmarkStart w:id="7" w:name="_Toc300919384"/>
      <w:bookmarkStart w:id="8" w:name="_Toc431220763"/>
      <w:bookmarkStart w:id="9" w:name="_Toc451960170"/>
      <w:bookmarkStart w:id="10" w:name="_Toc508958752"/>
      <w:r w:rsidRPr="00EA211F">
        <w:lastRenderedPageBreak/>
        <w:t>1</w:t>
      </w:r>
      <w:r w:rsidRPr="00EA211F">
        <w:tab/>
        <w:t>Scope</w:t>
      </w:r>
      <w:bookmarkEnd w:id="7"/>
      <w:bookmarkEnd w:id="8"/>
      <w:bookmarkEnd w:id="9"/>
      <w:bookmarkEnd w:id="10"/>
    </w:p>
    <w:p w:rsidR="004A3476" w:rsidRPr="00EA211F" w:rsidRDefault="004A3476" w:rsidP="004A3476">
      <w:pPr>
        <w:rPr>
          <w:lang w:eastAsia="zh-CN"/>
        </w:rPr>
      </w:pPr>
      <w:bookmarkStart w:id="11" w:name="OLE_LINK28"/>
      <w:bookmarkStart w:id="12" w:name="OLE_LINK29"/>
      <w:r w:rsidRPr="00EA211F">
        <w:rPr>
          <w:rFonts w:hint="eastAsia"/>
          <w:lang w:eastAsia="zh-CN"/>
        </w:rPr>
        <w:t>T</w:t>
      </w:r>
      <w:r w:rsidRPr="00EA211F">
        <w:t>he present document</w:t>
      </w:r>
      <w:r w:rsidRPr="00EA211F">
        <w:rPr>
          <w:rFonts w:hint="eastAsia"/>
          <w:lang w:eastAsia="zh-CN"/>
        </w:rPr>
        <w:t xml:space="preserve"> provides </w:t>
      </w:r>
      <w:r w:rsidRPr="00EA211F">
        <w:rPr>
          <w:lang w:eastAsia="zh-CN"/>
        </w:rPr>
        <w:t xml:space="preserve">options </w:t>
      </w:r>
      <w:r w:rsidRPr="00EA211F">
        <w:rPr>
          <w:rFonts w:hint="eastAsia"/>
          <w:lang w:eastAsia="zh-CN"/>
        </w:rPr>
        <w:t xml:space="preserve">and analyses </w:t>
      </w:r>
      <w:r w:rsidRPr="00EA211F">
        <w:rPr>
          <w:lang w:eastAsia="zh-CN"/>
        </w:rPr>
        <w:t xml:space="preserve">for </w:t>
      </w:r>
      <w:r w:rsidR="00CB5D36">
        <w:rPr>
          <w:lang w:eastAsia="zh-CN"/>
        </w:rPr>
        <w:t xml:space="preserve">an </w:t>
      </w:r>
      <w:r w:rsidR="004C05A1">
        <w:rPr>
          <w:lang w:eastAsia="zh-CN"/>
        </w:rPr>
        <w:t>App-ID</w:t>
      </w:r>
      <w:r w:rsidR="00CB5D36">
        <w:rPr>
          <w:lang w:eastAsia="zh-CN"/>
        </w:rPr>
        <w:t xml:space="preserve"> </w:t>
      </w:r>
      <w:r w:rsidR="004731F1">
        <w:rPr>
          <w:lang w:eastAsia="zh-CN"/>
        </w:rPr>
        <w:t xml:space="preserve">Registry </w:t>
      </w:r>
      <w:r w:rsidR="00CB5D36">
        <w:rPr>
          <w:lang w:eastAsia="zh-CN"/>
        </w:rPr>
        <w:t>Function to support oneM2M</w:t>
      </w:r>
      <w:r w:rsidR="00CB5D36">
        <w:rPr>
          <w:rFonts w:hint="eastAsia"/>
          <w:lang w:eastAsia="zh-CN"/>
        </w:rPr>
        <w:t xml:space="preserve"> </w:t>
      </w:r>
      <w:r w:rsidR="00CB5D36">
        <w:rPr>
          <w:lang w:eastAsia="zh-CN"/>
        </w:rPr>
        <w:t xml:space="preserve">enrolment and </w:t>
      </w:r>
      <w:r w:rsidR="00CB5D36">
        <w:rPr>
          <w:rFonts w:hint="eastAsia"/>
          <w:lang w:eastAsia="zh-CN"/>
        </w:rPr>
        <w:t xml:space="preserve">security features, </w:t>
      </w:r>
      <w:r w:rsidR="00CB5D36">
        <w:rPr>
          <w:lang w:eastAsia="zh-CN"/>
        </w:rPr>
        <w:t>supporting</w:t>
      </w:r>
      <w:r w:rsidR="00CB5D36">
        <w:rPr>
          <w:rFonts w:hint="eastAsia"/>
          <w:lang w:eastAsia="zh-CN"/>
        </w:rPr>
        <w:t xml:space="preserve"> </w:t>
      </w:r>
      <w:r w:rsidRPr="00EA211F">
        <w:rPr>
          <w:rFonts w:hint="eastAsia"/>
          <w:lang w:eastAsia="zh-CN"/>
        </w:rPr>
        <w:t xml:space="preserve">mechanisms </w:t>
      </w:r>
      <w:r w:rsidR="00CB5D36">
        <w:rPr>
          <w:lang w:eastAsia="zh-CN"/>
        </w:rPr>
        <w:t xml:space="preserve">to </w:t>
      </w:r>
      <w:r w:rsidRPr="00EA211F">
        <w:rPr>
          <w:lang w:eastAsia="zh-CN"/>
        </w:rPr>
        <w:t>provid</w:t>
      </w:r>
      <w:r w:rsidR="00CB5D36">
        <w:rPr>
          <w:lang w:eastAsia="zh-CN"/>
        </w:rPr>
        <w:t>e</w:t>
      </w:r>
      <w:r w:rsidRPr="00EA211F">
        <w:rPr>
          <w:rFonts w:hint="eastAsia"/>
          <w:lang w:eastAsia="zh-CN"/>
        </w:rPr>
        <w:t xml:space="preserve"> end-to-end security for oneM2M.</w:t>
      </w:r>
    </w:p>
    <w:p w:rsidR="00CB5D36" w:rsidRPr="004B6310" w:rsidRDefault="004A3476" w:rsidP="00CB5D36">
      <w:r w:rsidRPr="00EA211F">
        <w:rPr>
          <w:rFonts w:hint="eastAsia"/>
          <w:lang w:eastAsia="zh-CN"/>
        </w:rPr>
        <w:t>The scope of th</w:t>
      </w:r>
      <w:r w:rsidR="003266C9">
        <w:rPr>
          <w:lang w:eastAsia="zh-CN"/>
        </w:rPr>
        <w:t>e present document</w:t>
      </w:r>
      <w:r w:rsidRPr="00EA211F">
        <w:rPr>
          <w:rFonts w:hint="eastAsia"/>
          <w:lang w:eastAsia="zh-CN"/>
        </w:rPr>
        <w:t xml:space="preserve"> includes use cases, threat analyses, </w:t>
      </w:r>
      <w:r w:rsidR="00082844" w:rsidRPr="00EA211F">
        <w:rPr>
          <w:rFonts w:hint="eastAsia"/>
          <w:lang w:eastAsia="zh-CN"/>
        </w:rPr>
        <w:t>high</w:t>
      </w:r>
      <w:r w:rsidR="00082844">
        <w:rPr>
          <w:lang w:eastAsia="zh-CN"/>
        </w:rPr>
        <w:t>-</w:t>
      </w:r>
      <w:r w:rsidRPr="00EA211F">
        <w:rPr>
          <w:rFonts w:hint="eastAsia"/>
          <w:lang w:eastAsia="zh-CN"/>
        </w:rPr>
        <w:t xml:space="preserve">level </w:t>
      </w:r>
      <w:r w:rsidRPr="00EA211F">
        <w:rPr>
          <w:lang w:eastAsia="zh-CN"/>
        </w:rPr>
        <w:t>architecture</w:t>
      </w:r>
      <w:r w:rsidRPr="00EA211F">
        <w:rPr>
          <w:rFonts w:hint="eastAsia"/>
          <w:lang w:eastAsia="zh-CN"/>
        </w:rPr>
        <w:t>, generic requirements</w:t>
      </w:r>
      <w:r w:rsidRPr="00EA211F">
        <w:rPr>
          <w:lang w:eastAsia="zh-CN"/>
        </w:rPr>
        <w:t>, available options, evaluation of options,</w:t>
      </w:r>
      <w:r w:rsidRPr="00EA211F">
        <w:rPr>
          <w:rFonts w:hint="eastAsia"/>
          <w:lang w:eastAsia="zh-CN"/>
        </w:rPr>
        <w:t xml:space="preserve"> and detailed procedures </w:t>
      </w:r>
      <w:r w:rsidRPr="00EA211F">
        <w:rPr>
          <w:lang w:eastAsia="zh-CN"/>
        </w:rPr>
        <w:t>for</w:t>
      </w:r>
      <w:r w:rsidR="00CB5D36">
        <w:rPr>
          <w:lang w:eastAsia="zh-CN"/>
        </w:rPr>
        <w:t xml:space="preserve"> an </w:t>
      </w:r>
      <w:r w:rsidR="004C05A1">
        <w:rPr>
          <w:lang w:eastAsia="zh-CN"/>
        </w:rPr>
        <w:t>App-ID</w:t>
      </w:r>
      <w:r w:rsidR="00CB5D36">
        <w:rPr>
          <w:lang w:eastAsia="zh-CN"/>
        </w:rPr>
        <w:t xml:space="preserve"> Registry Function</w:t>
      </w:r>
      <w:r w:rsidRPr="00EA211F">
        <w:rPr>
          <w:rFonts w:hint="eastAsia"/>
          <w:lang w:eastAsia="zh-CN"/>
        </w:rPr>
        <w:t xml:space="preserve"> </w:t>
      </w:r>
      <w:r w:rsidR="00CB5D36">
        <w:rPr>
          <w:lang w:eastAsia="zh-CN"/>
        </w:rPr>
        <w:t xml:space="preserve">within the oneM2M security authentication and enrolment procedures. </w:t>
      </w:r>
    </w:p>
    <w:p w:rsidR="00350C19" w:rsidRDefault="00350C19" w:rsidP="00350C19">
      <w:pPr>
        <w:jc w:val="both"/>
        <w:rPr>
          <w:lang w:eastAsia="zh-CN"/>
        </w:rPr>
      </w:pPr>
      <w:r>
        <w:t>Th</w:t>
      </w:r>
      <w:r w:rsidR="003266C9">
        <w:t xml:space="preserve">e present document </w:t>
      </w:r>
      <w:r>
        <w:t>will provide use case scenarios for how the App-ID registry can be used as an integral component of the oneM2M system architecture providing App-ID registry based functions / services.</w:t>
      </w:r>
    </w:p>
    <w:p w:rsidR="004A3476" w:rsidRPr="00EA211F" w:rsidRDefault="004A3476" w:rsidP="004A3476">
      <w:pPr>
        <w:pStyle w:val="Heading1"/>
      </w:pPr>
      <w:bookmarkStart w:id="13" w:name="_Toc300919385"/>
      <w:bookmarkStart w:id="14" w:name="_Toc431220764"/>
      <w:bookmarkStart w:id="15" w:name="_Toc451960171"/>
      <w:bookmarkStart w:id="16" w:name="_Toc492019230"/>
      <w:bookmarkStart w:id="17" w:name="_Toc508958753"/>
      <w:bookmarkEnd w:id="11"/>
      <w:bookmarkEnd w:id="12"/>
      <w:r w:rsidRPr="00EA211F">
        <w:t>2</w:t>
      </w:r>
      <w:r w:rsidRPr="00EA211F">
        <w:tab/>
        <w:t>References</w:t>
      </w:r>
      <w:bookmarkEnd w:id="13"/>
      <w:bookmarkEnd w:id="14"/>
      <w:bookmarkEnd w:id="15"/>
      <w:bookmarkEnd w:id="16"/>
      <w:bookmarkEnd w:id="17"/>
    </w:p>
    <w:p w:rsidR="004A3476" w:rsidRPr="00EA211F" w:rsidRDefault="004A3476" w:rsidP="004A3476">
      <w:r w:rsidRPr="00EA211F">
        <w:t>References are either specific (identified by date of publication and/or edition number or version number) or non</w:t>
      </w:r>
      <w:r w:rsidRPr="00EA211F">
        <w:noBreakHyphen/>
        <w:t>specific. For specific references,</w:t>
      </w:r>
      <w:r w:rsidR="0048495E">
        <w:t xml:space="preserve"> </w:t>
      </w:r>
      <w:r w:rsidRPr="00EA211F">
        <w:t>only the cited version applies. For non-specific references, the latest version of the referenced document (including any amendments) applies.</w:t>
      </w:r>
    </w:p>
    <w:p w:rsidR="004A3476" w:rsidRPr="00EA211F" w:rsidRDefault="004A3476" w:rsidP="004A3476">
      <w:pPr>
        <w:pStyle w:val="Heading2"/>
      </w:pPr>
      <w:bookmarkStart w:id="18" w:name="_Toc300919386"/>
      <w:bookmarkStart w:id="19" w:name="_Toc431220765"/>
      <w:bookmarkStart w:id="20" w:name="_Toc451960172"/>
      <w:bookmarkStart w:id="21" w:name="_Toc492019231"/>
      <w:bookmarkStart w:id="22" w:name="_Toc508958754"/>
      <w:r w:rsidRPr="00EA211F">
        <w:t>2.1</w:t>
      </w:r>
      <w:r w:rsidRPr="00EA211F">
        <w:tab/>
        <w:t>Normative references</w:t>
      </w:r>
      <w:bookmarkEnd w:id="18"/>
      <w:bookmarkEnd w:id="19"/>
      <w:bookmarkEnd w:id="20"/>
      <w:bookmarkEnd w:id="21"/>
      <w:bookmarkEnd w:id="22"/>
    </w:p>
    <w:p w:rsidR="004A3476" w:rsidRPr="00EA211F" w:rsidRDefault="004A3476" w:rsidP="004A3476">
      <w:pPr>
        <w:rPr>
          <w:lang w:eastAsia="en-GB"/>
        </w:rPr>
      </w:pPr>
      <w:r w:rsidRPr="00EA211F">
        <w:rPr>
          <w:lang w:eastAsia="en-GB"/>
        </w:rPr>
        <w:t>The following referenced documents are necessary for the application of the present document.</w:t>
      </w:r>
    </w:p>
    <w:p w:rsidR="004A3476" w:rsidRPr="00EA211F" w:rsidRDefault="004A3476" w:rsidP="004A3476">
      <w:pPr>
        <w:rPr>
          <w:lang w:eastAsia="zh-CN"/>
        </w:rPr>
      </w:pPr>
      <w:r w:rsidRPr="00EA211F">
        <w:t>Not applicable.</w:t>
      </w:r>
    </w:p>
    <w:p w:rsidR="004A3476" w:rsidRPr="00EA211F" w:rsidRDefault="004A3476" w:rsidP="004A3476">
      <w:pPr>
        <w:pStyle w:val="Heading2"/>
        <w:keepNext w:val="0"/>
      </w:pPr>
      <w:bookmarkStart w:id="23" w:name="_Toc300919387"/>
      <w:bookmarkStart w:id="24" w:name="_Toc431220766"/>
      <w:bookmarkStart w:id="25" w:name="_Toc451960173"/>
      <w:bookmarkStart w:id="26" w:name="_Toc492019232"/>
      <w:bookmarkStart w:id="27" w:name="_Toc508958755"/>
      <w:r w:rsidRPr="00EA211F">
        <w:t>2.2</w:t>
      </w:r>
      <w:r w:rsidRPr="00EA211F">
        <w:tab/>
        <w:t>Informative references</w:t>
      </w:r>
      <w:bookmarkEnd w:id="23"/>
      <w:bookmarkEnd w:id="24"/>
      <w:bookmarkEnd w:id="25"/>
      <w:bookmarkEnd w:id="26"/>
      <w:bookmarkEnd w:id="27"/>
    </w:p>
    <w:p w:rsidR="004A3476" w:rsidRPr="00EA211F" w:rsidRDefault="004A3476" w:rsidP="004A3476">
      <w:r w:rsidRPr="00EA211F">
        <w:rPr>
          <w:lang w:eastAsia="en-GB"/>
        </w:rPr>
        <w:t xml:space="preserve">The following referenced documents are </w:t>
      </w:r>
      <w:r w:rsidRPr="00EA211F">
        <w:t>not necessary for the application of the present document but they assist the user with regard to a particular subject area.</w:t>
      </w:r>
    </w:p>
    <w:p w:rsidR="004A3476" w:rsidRPr="00EA211F" w:rsidRDefault="004A3476" w:rsidP="004A3476">
      <w:pPr>
        <w:pStyle w:val="EX"/>
        <w:rPr>
          <w:lang w:val="en-US"/>
        </w:rPr>
      </w:pPr>
      <w:r w:rsidRPr="00EA211F">
        <w:rPr>
          <w:lang w:val="en-US"/>
        </w:rPr>
        <w:t>[</w:t>
      </w:r>
      <w:r w:rsidRPr="00EA211F">
        <w:rPr>
          <w:rFonts w:hint="eastAsia"/>
          <w:lang w:val="en-US" w:eastAsia="zh-CN"/>
        </w:rPr>
        <w:t>i.1</w:t>
      </w:r>
      <w:r w:rsidRPr="00EA211F">
        <w:rPr>
          <w:lang w:val="en-US"/>
        </w:rPr>
        <w:t>]</w:t>
      </w:r>
      <w:r w:rsidRPr="00EA211F">
        <w:rPr>
          <w:lang w:val="en-US"/>
        </w:rPr>
        <w:tab/>
      </w:r>
      <w:r w:rsidRPr="00EA211F">
        <w:t xml:space="preserve">oneM2M </w:t>
      </w:r>
      <w:r w:rsidRPr="00EA211F">
        <w:rPr>
          <w:lang w:val="en-US"/>
        </w:rPr>
        <w:t>TR-0004 Definitions and Acronyms</w:t>
      </w:r>
    </w:p>
    <w:p w:rsidR="004A3476" w:rsidRPr="00EA211F" w:rsidRDefault="004A3476" w:rsidP="004A3476">
      <w:pPr>
        <w:ind w:left="1702" w:hanging="1418"/>
      </w:pPr>
      <w:r w:rsidRPr="00EA211F">
        <w:t>[</w:t>
      </w:r>
      <w:r w:rsidRPr="00EA211F">
        <w:rPr>
          <w:rFonts w:hint="eastAsia"/>
          <w:lang w:eastAsia="zh-CN"/>
        </w:rPr>
        <w:t>i.2</w:t>
      </w:r>
      <w:r w:rsidRPr="00EA211F">
        <w:t>]</w:t>
      </w:r>
      <w:r w:rsidRPr="00EA211F">
        <w:tab/>
        <w:t xml:space="preserve">W3C Recommendation “Canonical XML Version 1.0”, 2001, </w:t>
      </w:r>
      <w:hyperlink r:id="rId9" w:history="1">
        <w:r w:rsidRPr="00EA211F">
          <w:rPr>
            <w:rStyle w:val="Hyperlink"/>
          </w:rPr>
          <w:t>http://www.w3.org/TR/xml-c14n</w:t>
        </w:r>
      </w:hyperlink>
      <w:r w:rsidRPr="00EA211F">
        <w:t xml:space="preserve"> </w:t>
      </w:r>
    </w:p>
    <w:p w:rsidR="004A3476" w:rsidRPr="00EA211F" w:rsidRDefault="004A3476" w:rsidP="004A3476">
      <w:pPr>
        <w:ind w:left="1702" w:hanging="1418"/>
      </w:pPr>
      <w:r w:rsidRPr="00EA211F">
        <w:t>[</w:t>
      </w:r>
      <w:r w:rsidRPr="00EA211F">
        <w:rPr>
          <w:rFonts w:hint="eastAsia"/>
          <w:lang w:eastAsia="zh-CN"/>
        </w:rPr>
        <w:t>i.3</w:t>
      </w:r>
      <w:r w:rsidRPr="00EA211F">
        <w:t>]</w:t>
      </w:r>
      <w:r w:rsidRPr="00EA211F">
        <w:tab/>
        <w:t>IETF RFC 7165: “Use Cases and Requirements for JSON Object Signing and Encryption (JOSE)”</w:t>
      </w:r>
    </w:p>
    <w:p w:rsidR="004A3476" w:rsidRPr="00EA211F" w:rsidRDefault="004A3476" w:rsidP="004A3476">
      <w:pPr>
        <w:ind w:left="1702" w:hanging="1418"/>
      </w:pPr>
      <w:r w:rsidRPr="00EA211F">
        <w:t>[</w:t>
      </w:r>
      <w:r w:rsidRPr="00EA211F">
        <w:rPr>
          <w:rFonts w:hint="eastAsia"/>
          <w:lang w:eastAsia="zh-CN"/>
        </w:rPr>
        <w:t>i.4</w:t>
      </w:r>
      <w:r w:rsidRPr="00EA211F">
        <w:t xml:space="preserve">] </w:t>
      </w:r>
      <w:r w:rsidRPr="00EA211F">
        <w:tab/>
        <w:t>IETF RFC</w:t>
      </w:r>
      <w:r w:rsidRPr="00EA211F">
        <w:rPr>
          <w:rFonts w:hint="eastAsia"/>
          <w:lang w:eastAsia="zh-CN"/>
        </w:rPr>
        <w:t xml:space="preserve"> </w:t>
      </w:r>
      <w:r w:rsidRPr="00EA211F">
        <w:t>5166: “An Interface and Algorithms for Authenticated Encryption”, 2008</w:t>
      </w:r>
    </w:p>
    <w:p w:rsidR="003266C9" w:rsidRDefault="004A3476" w:rsidP="004A3476">
      <w:pPr>
        <w:pStyle w:val="EX"/>
        <w:rPr>
          <w:lang w:val="en-US"/>
        </w:rPr>
      </w:pPr>
      <w:r w:rsidRPr="00EA211F">
        <w:rPr>
          <w:lang w:val="en-US"/>
        </w:rPr>
        <w:t>[i.</w:t>
      </w:r>
      <w:r w:rsidRPr="00EA211F">
        <w:rPr>
          <w:rFonts w:hint="eastAsia"/>
          <w:lang w:val="en-US" w:eastAsia="zh-CN"/>
        </w:rPr>
        <w:t>5</w:t>
      </w:r>
      <w:r w:rsidRPr="00EA211F">
        <w:rPr>
          <w:lang w:val="en-US"/>
        </w:rPr>
        <w:t>]</w:t>
      </w:r>
      <w:r w:rsidRPr="00EA211F">
        <w:rPr>
          <w:lang w:val="en-US"/>
        </w:rPr>
        <w:tab/>
        <w:t>oneM2M drafting rules</w:t>
      </w:r>
    </w:p>
    <w:p w:rsidR="003266C9" w:rsidRPr="00776264" w:rsidRDefault="003266C9" w:rsidP="003266C9">
      <w:pPr>
        <w:pStyle w:val="NO"/>
      </w:pPr>
      <w:r w:rsidRPr="00776264">
        <w:t>NOTE:</w:t>
      </w:r>
      <w:r w:rsidRPr="00776264">
        <w:tab/>
        <w:t xml:space="preserve">Available at </w:t>
      </w:r>
      <w:hyperlink r:id="rId10" w:history="1">
        <w:r w:rsidRPr="00A656D0">
          <w:rPr>
            <w:rStyle w:val="Hyperlink"/>
          </w:rPr>
          <w:t>http://www.onem2m.org/images/files/oneM2M-Drafting-Rules.pdf</w:t>
        </w:r>
      </w:hyperlink>
      <w:r w:rsidRPr="00776264">
        <w:t>.</w:t>
      </w:r>
    </w:p>
    <w:p w:rsidR="004A3476" w:rsidRPr="00EA211F" w:rsidRDefault="004A3476" w:rsidP="004A3476">
      <w:pPr>
        <w:pStyle w:val="EX"/>
        <w:rPr>
          <w:lang w:val="en-US"/>
        </w:rPr>
      </w:pPr>
      <w:r w:rsidRPr="00EA211F">
        <w:rPr>
          <w:lang w:val="en-US"/>
        </w:rPr>
        <w:t>[</w:t>
      </w:r>
      <w:r w:rsidRPr="00EA211F">
        <w:rPr>
          <w:rFonts w:hint="eastAsia"/>
          <w:lang w:val="en-US" w:eastAsia="zh-CN"/>
        </w:rPr>
        <w:t>i.6</w:t>
      </w:r>
      <w:r w:rsidRPr="00EA211F">
        <w:rPr>
          <w:lang w:val="en-US"/>
        </w:rPr>
        <w:t>]</w:t>
      </w:r>
      <w:r w:rsidRPr="00EA211F">
        <w:rPr>
          <w:lang w:val="en-US"/>
        </w:rPr>
        <w:tab/>
      </w:r>
      <w:r w:rsidRPr="00EA211F">
        <w:t xml:space="preserve">oneM2M </w:t>
      </w:r>
      <w:r w:rsidRPr="00EA211F">
        <w:rPr>
          <w:lang w:val="en-US"/>
        </w:rPr>
        <w:t xml:space="preserve">TS-0001 Functional Architecture </w:t>
      </w:r>
    </w:p>
    <w:p w:rsidR="004A3476" w:rsidRPr="00EA211F" w:rsidRDefault="004A3476" w:rsidP="004A3476">
      <w:pPr>
        <w:pStyle w:val="EX"/>
        <w:rPr>
          <w:lang w:val="en-US"/>
        </w:rPr>
      </w:pPr>
      <w:r w:rsidRPr="00EA211F">
        <w:t>[</w:t>
      </w:r>
      <w:r w:rsidRPr="00EA211F">
        <w:rPr>
          <w:rFonts w:hint="eastAsia"/>
          <w:lang w:eastAsia="zh-CN"/>
        </w:rPr>
        <w:t>i.7</w:t>
      </w:r>
      <w:r w:rsidRPr="00EA211F">
        <w:t>]</w:t>
      </w:r>
      <w:r w:rsidRPr="00EA211F">
        <w:tab/>
        <w:t>oneM2M TS-0002 Requirements</w:t>
      </w:r>
    </w:p>
    <w:p w:rsidR="004A3476" w:rsidRPr="00EA211F" w:rsidRDefault="004A3476" w:rsidP="004A3476">
      <w:pPr>
        <w:pStyle w:val="EX"/>
        <w:rPr>
          <w:lang w:val="en-US" w:eastAsia="zh-CN"/>
        </w:rPr>
      </w:pPr>
      <w:r w:rsidRPr="00EA211F">
        <w:rPr>
          <w:lang w:val="en-US"/>
        </w:rPr>
        <w:t>[</w:t>
      </w:r>
      <w:r w:rsidRPr="00EA211F">
        <w:rPr>
          <w:rFonts w:hint="eastAsia"/>
          <w:lang w:val="en-US" w:eastAsia="zh-CN"/>
        </w:rPr>
        <w:t>i.8</w:t>
      </w:r>
      <w:r w:rsidRPr="00EA211F">
        <w:rPr>
          <w:lang w:val="en-US"/>
        </w:rPr>
        <w:t>]</w:t>
      </w:r>
      <w:r w:rsidRPr="00EA211F">
        <w:rPr>
          <w:rFonts w:hint="eastAsia"/>
          <w:lang w:val="en-US" w:eastAsia="zh-CN"/>
        </w:rPr>
        <w:t xml:space="preserve"> </w:t>
      </w:r>
      <w:r w:rsidRPr="00EA211F">
        <w:rPr>
          <w:rFonts w:hint="eastAsia"/>
          <w:lang w:val="en-US" w:eastAsia="zh-CN"/>
        </w:rPr>
        <w:tab/>
      </w:r>
      <w:r w:rsidRPr="00EA211F">
        <w:t xml:space="preserve">oneM2M </w:t>
      </w:r>
      <w:r w:rsidRPr="00EA211F">
        <w:rPr>
          <w:rFonts w:hint="eastAsia"/>
          <w:lang w:val="en-US" w:eastAsia="zh-CN"/>
        </w:rPr>
        <w:t>TS-0003 Security Solutions</w:t>
      </w:r>
    </w:p>
    <w:p w:rsidR="004A3476" w:rsidRDefault="004A3476" w:rsidP="004A3476">
      <w:pPr>
        <w:pStyle w:val="EX"/>
        <w:rPr>
          <w:lang w:val="en-US" w:eastAsia="zh-CN"/>
        </w:rPr>
      </w:pPr>
      <w:r w:rsidRPr="00EA211F">
        <w:rPr>
          <w:rFonts w:hint="eastAsia"/>
          <w:lang w:val="en-US" w:eastAsia="zh-CN"/>
        </w:rPr>
        <w:t>[i.9]</w:t>
      </w:r>
      <w:r w:rsidRPr="00EA211F">
        <w:rPr>
          <w:rFonts w:hint="eastAsia"/>
          <w:lang w:val="en-US" w:eastAsia="zh-CN"/>
        </w:rPr>
        <w:tab/>
      </w:r>
      <w:r w:rsidRPr="00EA211F">
        <w:t xml:space="preserve">oneM2M </w:t>
      </w:r>
      <w:r w:rsidRPr="00EA211F">
        <w:rPr>
          <w:rFonts w:hint="eastAsia"/>
          <w:lang w:val="en-US" w:eastAsia="zh-CN"/>
        </w:rPr>
        <w:t>TS-0004 Servi</w:t>
      </w:r>
      <w:r w:rsidR="000C3EF9">
        <w:rPr>
          <w:lang w:val="en-US" w:eastAsia="zh-CN"/>
        </w:rPr>
        <w:t>c</w:t>
      </w:r>
      <w:r w:rsidRPr="00EA211F">
        <w:rPr>
          <w:rFonts w:hint="eastAsia"/>
          <w:lang w:val="en-US" w:eastAsia="zh-CN"/>
        </w:rPr>
        <w:t>e Layer Core Protocol Specification</w:t>
      </w:r>
    </w:p>
    <w:p w:rsidR="005202D0" w:rsidRPr="00001EBD" w:rsidRDefault="005202D0" w:rsidP="005202D0">
      <w:pPr>
        <w:pStyle w:val="TableText"/>
        <w:ind w:firstLine="284"/>
        <w:rPr>
          <w:szCs w:val="25"/>
          <w:lang w:val="en-US"/>
        </w:rPr>
      </w:pPr>
      <w:r>
        <w:rPr>
          <w:lang w:val="en-US" w:eastAsia="zh-CN"/>
        </w:rPr>
        <w:t>[i.10]</w:t>
      </w:r>
      <w:r>
        <w:rPr>
          <w:lang w:val="en-US" w:eastAsia="zh-CN"/>
        </w:rPr>
        <w:tab/>
      </w:r>
      <w:r>
        <w:rPr>
          <w:lang w:val="en-US" w:eastAsia="zh-CN"/>
        </w:rPr>
        <w:tab/>
      </w:r>
      <w:r>
        <w:rPr>
          <w:lang w:val="en-US" w:eastAsia="zh-CN"/>
        </w:rPr>
        <w:tab/>
      </w:r>
      <w:r>
        <w:rPr>
          <w:lang w:val="en-US" w:eastAsia="zh-CN"/>
        </w:rPr>
        <w:tab/>
      </w:r>
      <w:r>
        <w:rPr>
          <w:szCs w:val="25"/>
          <w:lang w:val="en-US"/>
        </w:rPr>
        <w:t xml:space="preserve">GlobalPlatform </w:t>
      </w:r>
      <w:r w:rsidRPr="00123F48">
        <w:rPr>
          <w:szCs w:val="25"/>
          <w:lang w:val="en-US"/>
        </w:rPr>
        <w:t>Card</w:t>
      </w:r>
      <w:r>
        <w:rPr>
          <w:szCs w:val="25"/>
          <w:lang w:val="en-US"/>
        </w:rPr>
        <w:t xml:space="preserve"> - </w:t>
      </w:r>
      <w:r w:rsidRPr="00123F48">
        <w:rPr>
          <w:szCs w:val="25"/>
          <w:lang w:val="en-US"/>
        </w:rPr>
        <w:t>Digital Letter of Approval</w:t>
      </w:r>
      <w:r>
        <w:rPr>
          <w:szCs w:val="25"/>
          <w:lang w:val="en-US"/>
        </w:rPr>
        <w:t xml:space="preserve"> - </w:t>
      </w:r>
      <w:r w:rsidRPr="00123F48">
        <w:rPr>
          <w:szCs w:val="25"/>
          <w:lang w:val="en-US"/>
        </w:rPr>
        <w:t>Version 1.0</w:t>
      </w:r>
    </w:p>
    <w:p w:rsidR="005202D0" w:rsidRPr="00EA211F" w:rsidRDefault="005202D0" w:rsidP="004A3476">
      <w:pPr>
        <w:pStyle w:val="EX"/>
        <w:rPr>
          <w:lang w:val="en-US" w:eastAsia="zh-CN"/>
        </w:rPr>
      </w:pPr>
    </w:p>
    <w:p w:rsidR="004A3476" w:rsidRPr="00EA211F" w:rsidRDefault="004A3476" w:rsidP="004A3476">
      <w:pPr>
        <w:rPr>
          <w:lang w:val="en-US" w:eastAsia="zh-CN"/>
        </w:rPr>
      </w:pPr>
    </w:p>
    <w:p w:rsidR="004A3476" w:rsidRPr="00EA211F" w:rsidRDefault="004A3476" w:rsidP="004A3476">
      <w:pPr>
        <w:pStyle w:val="Heading1"/>
      </w:pPr>
      <w:bookmarkStart w:id="28" w:name="_Toc300919388"/>
      <w:bookmarkStart w:id="29" w:name="_Toc508958756"/>
      <w:bookmarkStart w:id="30" w:name="_Toc431220767"/>
      <w:bookmarkStart w:id="31" w:name="_Toc451960174"/>
      <w:r w:rsidRPr="00EA211F">
        <w:t>3</w:t>
      </w:r>
      <w:r w:rsidRPr="00EA211F">
        <w:tab/>
        <w:t>Definitions, symbols</w:t>
      </w:r>
      <w:r w:rsidR="003266C9">
        <w:t xml:space="preserve"> and</w:t>
      </w:r>
      <w:r w:rsidRPr="00EA211F">
        <w:t xml:space="preserve"> abbreviations</w:t>
      </w:r>
      <w:bookmarkEnd w:id="28"/>
      <w:bookmarkEnd w:id="29"/>
      <w:r w:rsidRPr="00EA211F">
        <w:t xml:space="preserve"> </w:t>
      </w:r>
      <w:bookmarkEnd w:id="30"/>
      <w:bookmarkEnd w:id="31"/>
    </w:p>
    <w:p w:rsidR="004A3476" w:rsidRPr="00EA211F" w:rsidRDefault="004A3476" w:rsidP="004A3476">
      <w:pPr>
        <w:pStyle w:val="Heading2"/>
      </w:pPr>
      <w:bookmarkStart w:id="32" w:name="_Toc300919389"/>
      <w:bookmarkStart w:id="33" w:name="_Toc431220768"/>
      <w:bookmarkStart w:id="34" w:name="_Toc451960175"/>
      <w:bookmarkStart w:id="35" w:name="_Toc508958757"/>
      <w:r w:rsidRPr="00EA211F">
        <w:t>3.1</w:t>
      </w:r>
      <w:r w:rsidRPr="00EA211F">
        <w:tab/>
        <w:t>Definitions</w:t>
      </w:r>
      <w:bookmarkEnd w:id="32"/>
      <w:bookmarkEnd w:id="33"/>
      <w:bookmarkEnd w:id="34"/>
      <w:bookmarkEnd w:id="35"/>
    </w:p>
    <w:p w:rsidR="004A3476" w:rsidRDefault="004A3476" w:rsidP="004A3476">
      <w:r w:rsidRPr="00EA211F">
        <w:t>For the purposes of the present document, the terms and definitions given in [i.</w:t>
      </w:r>
      <w:r w:rsidRPr="00EA211F">
        <w:rPr>
          <w:rFonts w:hint="eastAsia"/>
          <w:lang w:eastAsia="zh-CN"/>
        </w:rPr>
        <w:t>1</w:t>
      </w:r>
      <w:r w:rsidRPr="00EA211F">
        <w:t>] and the following apply:</w:t>
      </w:r>
    </w:p>
    <w:p w:rsidR="000C1AD0" w:rsidRDefault="000C1AD0" w:rsidP="000C1AD0">
      <w:pPr>
        <w:pStyle w:val="ListParagraph"/>
        <w:numPr>
          <w:ilvl w:val="0"/>
          <w:numId w:val="14"/>
        </w:numPr>
        <w:jc w:val="both"/>
        <w:rPr>
          <w:sz w:val="20"/>
          <w:szCs w:val="20"/>
        </w:rPr>
      </w:pPr>
      <w:r>
        <w:rPr>
          <w:b/>
          <w:sz w:val="20"/>
          <w:szCs w:val="20"/>
        </w:rPr>
        <w:lastRenderedPageBreak/>
        <w:t>Authentication type:</w:t>
      </w:r>
      <w:r>
        <w:rPr>
          <w:sz w:val="20"/>
          <w:szCs w:val="20"/>
        </w:rPr>
        <w:t xml:space="preserve"> The mechanism used to authenticate the IoT Application. For example, if using a PKI certificate, who is the root of trust. </w:t>
      </w:r>
    </w:p>
    <w:p w:rsidR="000C1AD0" w:rsidRDefault="000C1AD0" w:rsidP="000C1AD0">
      <w:pPr>
        <w:pStyle w:val="ListParagraph"/>
        <w:jc w:val="both"/>
        <w:rPr>
          <w:sz w:val="20"/>
          <w:szCs w:val="20"/>
        </w:rPr>
      </w:pPr>
    </w:p>
    <w:p w:rsidR="000C1AD0" w:rsidRDefault="000C1AD0" w:rsidP="000C1AD0">
      <w:pPr>
        <w:numPr>
          <w:ilvl w:val="0"/>
          <w:numId w:val="14"/>
        </w:numPr>
        <w:overflowPunct/>
        <w:autoSpaceDE/>
        <w:adjustRightInd/>
        <w:spacing w:after="0"/>
        <w:contextualSpacing/>
        <w:jc w:val="both"/>
        <w:textAlignment w:val="auto"/>
        <w:rPr>
          <w:lang w:val="en-US"/>
        </w:rPr>
      </w:pPr>
      <w:r>
        <w:rPr>
          <w:b/>
          <w:lang w:val="en-US"/>
        </w:rPr>
        <w:t>Certification body</w:t>
      </w:r>
      <w:r>
        <w:rPr>
          <w:lang w:val="en-US"/>
        </w:rPr>
        <w:t>: the test and certification body that has verified the App-ID identity and the metadata profile.</w:t>
      </w:r>
    </w:p>
    <w:p w:rsidR="000C1AD0" w:rsidRDefault="000C1AD0" w:rsidP="000C1AD0">
      <w:pPr>
        <w:overflowPunct/>
        <w:autoSpaceDE/>
        <w:adjustRightInd/>
        <w:spacing w:after="0"/>
        <w:ind w:left="720"/>
        <w:contextualSpacing/>
        <w:jc w:val="both"/>
        <w:rPr>
          <w:lang w:val="en-US"/>
        </w:rPr>
      </w:pPr>
    </w:p>
    <w:p w:rsidR="000C1AD0" w:rsidRPr="00B71604" w:rsidRDefault="000C1AD0" w:rsidP="000C1AD0">
      <w:pPr>
        <w:pStyle w:val="ListParagraph"/>
        <w:numPr>
          <w:ilvl w:val="0"/>
          <w:numId w:val="14"/>
        </w:numPr>
        <w:jc w:val="both"/>
        <w:rPr>
          <w:lang w:eastAsia="zh-CN"/>
        </w:rPr>
      </w:pPr>
      <w:r w:rsidRPr="00B71604">
        <w:rPr>
          <w:b/>
          <w:sz w:val="20"/>
          <w:szCs w:val="20"/>
        </w:rPr>
        <w:t xml:space="preserve">Certification compliance: </w:t>
      </w:r>
      <w:r w:rsidRPr="00B71604">
        <w:rPr>
          <w:sz w:val="20"/>
          <w:szCs w:val="20"/>
        </w:rPr>
        <w:t>List of the compliance functionality that is certified by the certification body. Not all features of the certification process may be compatible with the IoT application. It is possible only a sub set of features are compliant with the certification process.</w:t>
      </w:r>
      <w:r w:rsidRPr="000C1AD0">
        <w:rPr>
          <w:b/>
          <w:sz w:val="20"/>
          <w:szCs w:val="20"/>
        </w:rPr>
        <w:t xml:space="preserve"> </w:t>
      </w:r>
      <w:r w:rsidRPr="00B71604">
        <w:rPr>
          <w:b/>
          <w:sz w:val="20"/>
          <w:szCs w:val="20"/>
        </w:rPr>
        <w:t>Communications class:</w:t>
      </w:r>
      <w:r w:rsidRPr="000C1AD0">
        <w:rPr>
          <w:sz w:val="20"/>
          <w:szCs w:val="20"/>
        </w:rPr>
        <w:t xml:space="preserve"> The profile for the data generated by the application. For example, streamed data, periodic burst of data, or intermittent bursts of data.</w:t>
      </w:r>
    </w:p>
    <w:p w:rsidR="000C1AD0" w:rsidRPr="00B71604" w:rsidRDefault="000C1AD0" w:rsidP="000C1AD0">
      <w:pPr>
        <w:pStyle w:val="ListParagraph"/>
        <w:rPr>
          <w:b/>
          <w:sz w:val="20"/>
          <w:szCs w:val="20"/>
        </w:rPr>
      </w:pPr>
    </w:p>
    <w:p w:rsidR="000C1AD0" w:rsidRDefault="000C1AD0" w:rsidP="000C1AD0">
      <w:pPr>
        <w:pStyle w:val="ListParagraph"/>
        <w:numPr>
          <w:ilvl w:val="0"/>
          <w:numId w:val="14"/>
        </w:numPr>
        <w:jc w:val="both"/>
        <w:rPr>
          <w:sz w:val="20"/>
          <w:szCs w:val="20"/>
        </w:rPr>
      </w:pPr>
      <w:r>
        <w:rPr>
          <w:b/>
          <w:sz w:val="20"/>
          <w:szCs w:val="20"/>
        </w:rPr>
        <w:t>Data Model:</w:t>
      </w:r>
      <w:r>
        <w:rPr>
          <w:sz w:val="20"/>
          <w:szCs w:val="20"/>
        </w:rPr>
        <w:t xml:space="preserve"> The data definition for the application, what is projected, and the actions that can be performed. The application data model and mapping to oneM2M ontology.</w:t>
      </w:r>
    </w:p>
    <w:p w:rsidR="000C1AD0" w:rsidRDefault="000C1AD0" w:rsidP="000C1AD0">
      <w:pPr>
        <w:pStyle w:val="ListParagraph"/>
        <w:rPr>
          <w:sz w:val="20"/>
          <w:szCs w:val="20"/>
        </w:rPr>
      </w:pPr>
    </w:p>
    <w:p w:rsidR="000C1AD0" w:rsidRPr="000C1AD0" w:rsidRDefault="000C1AD0" w:rsidP="000C1AD0">
      <w:pPr>
        <w:pStyle w:val="ListParagraph"/>
        <w:numPr>
          <w:ilvl w:val="0"/>
          <w:numId w:val="14"/>
        </w:numPr>
        <w:rPr>
          <w:sz w:val="20"/>
          <w:szCs w:val="20"/>
        </w:rPr>
      </w:pPr>
      <w:r>
        <w:rPr>
          <w:b/>
          <w:sz w:val="20"/>
          <w:szCs w:val="20"/>
        </w:rPr>
        <w:t>Data privacy:</w:t>
      </w:r>
      <w:r>
        <w:rPr>
          <w:sz w:val="20"/>
          <w:szCs w:val="20"/>
        </w:rPr>
        <w:t xml:space="preserve"> The data privacy asserted for this App-ID. The generic data privacy model for the application identity. For example, the IoT application is a blood pressure monitor and the data can only be provided to the client’s electronic health record. The data cannot be shared, data mined, or resold by the IoT service provider.</w:t>
      </w:r>
    </w:p>
    <w:p w:rsidR="000C1AD0" w:rsidRPr="00721808" w:rsidRDefault="000C1AD0" w:rsidP="00721808">
      <w:pPr>
        <w:pStyle w:val="ListParagraph"/>
        <w:rPr>
          <w:b/>
          <w:sz w:val="20"/>
          <w:szCs w:val="20"/>
        </w:rPr>
      </w:pPr>
    </w:p>
    <w:p w:rsidR="005202D0" w:rsidRDefault="005202D0" w:rsidP="000C1AD0">
      <w:pPr>
        <w:pStyle w:val="ListParagraph"/>
        <w:numPr>
          <w:ilvl w:val="0"/>
          <w:numId w:val="14"/>
        </w:numPr>
        <w:jc w:val="both"/>
        <w:rPr>
          <w:sz w:val="20"/>
          <w:szCs w:val="20"/>
        </w:rPr>
      </w:pPr>
      <w:r>
        <w:rPr>
          <w:b/>
          <w:sz w:val="20"/>
          <w:szCs w:val="20"/>
        </w:rPr>
        <w:t>Digital Letter of Approval:</w:t>
      </w:r>
      <w:r>
        <w:rPr>
          <w:sz w:val="20"/>
          <w:szCs w:val="20"/>
        </w:rPr>
        <w:t xml:space="preserve"> </w:t>
      </w:r>
      <w:r w:rsidRPr="00721808">
        <w:rPr>
          <w:sz w:val="20"/>
        </w:rPr>
        <w:t>A digital representation of a Letter of Approval, signed by a DLOA Authority</w:t>
      </w:r>
      <w:r>
        <w:rPr>
          <w:sz w:val="20"/>
          <w:szCs w:val="20"/>
        </w:rPr>
        <w:t xml:space="preserve">. </w:t>
      </w:r>
    </w:p>
    <w:p w:rsidR="005202D0" w:rsidRDefault="005202D0" w:rsidP="005202D0">
      <w:pPr>
        <w:pStyle w:val="ListParagraph"/>
        <w:jc w:val="both"/>
        <w:rPr>
          <w:sz w:val="20"/>
          <w:szCs w:val="20"/>
        </w:rPr>
      </w:pPr>
    </w:p>
    <w:p w:rsidR="005202D0" w:rsidRDefault="005202D0" w:rsidP="005202D0">
      <w:pPr>
        <w:pStyle w:val="ListParagraph"/>
        <w:numPr>
          <w:ilvl w:val="0"/>
          <w:numId w:val="14"/>
        </w:numPr>
        <w:jc w:val="both"/>
        <w:rPr>
          <w:sz w:val="20"/>
          <w:szCs w:val="20"/>
        </w:rPr>
      </w:pPr>
      <w:r>
        <w:rPr>
          <w:b/>
          <w:sz w:val="20"/>
          <w:szCs w:val="20"/>
        </w:rPr>
        <w:t>DLOA Authority:</w:t>
      </w:r>
      <w:r>
        <w:rPr>
          <w:sz w:val="20"/>
          <w:szCs w:val="20"/>
        </w:rPr>
        <w:t xml:space="preserve"> </w:t>
      </w:r>
      <w:r w:rsidRPr="00721808">
        <w:rPr>
          <w:sz w:val="20"/>
        </w:rPr>
        <w:t>An entity that provides a certification, evaluation, approval, qualification, or validation scheme that delivers Digital Letters of Approval.</w:t>
      </w:r>
      <w:r w:rsidRPr="00721808">
        <w:rPr>
          <w:sz w:val="16"/>
          <w:szCs w:val="20"/>
        </w:rPr>
        <w:t xml:space="preserve"> </w:t>
      </w:r>
    </w:p>
    <w:p w:rsidR="005202D0" w:rsidRPr="00721808" w:rsidRDefault="005202D0" w:rsidP="00721808">
      <w:pPr>
        <w:pStyle w:val="ListParagraph"/>
        <w:rPr>
          <w:sz w:val="20"/>
          <w:szCs w:val="20"/>
        </w:rPr>
      </w:pPr>
    </w:p>
    <w:p w:rsidR="005202D0" w:rsidRDefault="005202D0" w:rsidP="005202D0">
      <w:pPr>
        <w:pStyle w:val="ListParagraph"/>
        <w:numPr>
          <w:ilvl w:val="0"/>
          <w:numId w:val="14"/>
        </w:numPr>
        <w:jc w:val="both"/>
        <w:rPr>
          <w:sz w:val="20"/>
          <w:szCs w:val="20"/>
        </w:rPr>
      </w:pPr>
      <w:r>
        <w:rPr>
          <w:b/>
          <w:sz w:val="20"/>
          <w:szCs w:val="20"/>
        </w:rPr>
        <w:t>DLOA Registrar:</w:t>
      </w:r>
      <w:r>
        <w:rPr>
          <w:sz w:val="20"/>
          <w:szCs w:val="20"/>
        </w:rPr>
        <w:t xml:space="preserve"> </w:t>
      </w:r>
      <w:r w:rsidRPr="00721808">
        <w:rPr>
          <w:sz w:val="20"/>
        </w:rPr>
        <w:t>A role that stores DLOAs and provides an interface to enable a Management System to retrieve them.</w:t>
      </w:r>
    </w:p>
    <w:p w:rsidR="000C1AD0" w:rsidRPr="00721808" w:rsidRDefault="000C1AD0" w:rsidP="00721808">
      <w:pPr>
        <w:pStyle w:val="ListParagraph"/>
        <w:ind w:left="1440"/>
        <w:jc w:val="both"/>
        <w:rPr>
          <w:sz w:val="20"/>
          <w:szCs w:val="20"/>
        </w:rPr>
      </w:pPr>
    </w:p>
    <w:p w:rsidR="000C1AD0" w:rsidRDefault="000C1AD0" w:rsidP="000C1AD0">
      <w:pPr>
        <w:pStyle w:val="ListParagraph"/>
        <w:numPr>
          <w:ilvl w:val="0"/>
          <w:numId w:val="14"/>
        </w:numPr>
        <w:jc w:val="both"/>
        <w:rPr>
          <w:sz w:val="20"/>
          <w:szCs w:val="20"/>
        </w:rPr>
      </w:pPr>
      <w:r>
        <w:rPr>
          <w:b/>
          <w:sz w:val="20"/>
          <w:szCs w:val="20"/>
        </w:rPr>
        <w:t>IoT application Type:</w:t>
      </w:r>
      <w:r>
        <w:rPr>
          <w:sz w:val="20"/>
          <w:szCs w:val="20"/>
        </w:rPr>
        <w:t xml:space="preserve"> Information regarding the type of application, for example thermostat, vehicle telemetry, or fan control. </w:t>
      </w:r>
    </w:p>
    <w:p w:rsidR="000C1AD0" w:rsidRDefault="000C1AD0" w:rsidP="000C1AD0">
      <w:pPr>
        <w:pStyle w:val="ListParagraph"/>
        <w:jc w:val="both"/>
        <w:rPr>
          <w:sz w:val="20"/>
          <w:szCs w:val="20"/>
        </w:rPr>
      </w:pPr>
    </w:p>
    <w:p w:rsidR="000C1AD0" w:rsidRPr="00721808" w:rsidRDefault="000C1AD0" w:rsidP="00721808">
      <w:pPr>
        <w:pStyle w:val="ListParagraph"/>
        <w:numPr>
          <w:ilvl w:val="0"/>
          <w:numId w:val="14"/>
        </w:numPr>
        <w:jc w:val="both"/>
        <w:rPr>
          <w:lang w:val="en-GB"/>
        </w:rPr>
      </w:pPr>
      <w:r w:rsidRPr="00721808">
        <w:rPr>
          <w:b/>
          <w:sz w:val="20"/>
          <w:szCs w:val="20"/>
        </w:rPr>
        <w:t>IoT application Class:</w:t>
      </w:r>
      <w:r w:rsidRPr="000C1AD0">
        <w:rPr>
          <w:sz w:val="20"/>
          <w:szCs w:val="20"/>
        </w:rPr>
        <w:t xml:space="preserve"> Details for the class of use</w:t>
      </w:r>
      <w:r w:rsidRPr="00721808">
        <w:rPr>
          <w:color w:val="FF0000"/>
          <w:sz w:val="20"/>
          <w:szCs w:val="20"/>
        </w:rPr>
        <w:t>:</w:t>
      </w:r>
      <w:r w:rsidRPr="000C1AD0">
        <w:rPr>
          <w:sz w:val="20"/>
          <w:szCs w:val="20"/>
        </w:rPr>
        <w:t xml:space="preserve"> consumer, industrial, or critical infrastructure. The</w:t>
      </w:r>
      <w:r w:rsidRPr="00721808">
        <w:rPr>
          <w:strike/>
          <w:sz w:val="20"/>
          <w:szCs w:val="20"/>
        </w:rPr>
        <w:t>se</w:t>
      </w:r>
      <w:r w:rsidRPr="00721808">
        <w:rPr>
          <w:sz w:val="20"/>
          <w:szCs w:val="20"/>
        </w:rPr>
        <w:t xml:space="preserve"> class type will have a bearing on how the data and security of the IoT application is enrolled onto the SP. </w:t>
      </w:r>
    </w:p>
    <w:p w:rsidR="000C1AD0" w:rsidRPr="00721808" w:rsidRDefault="000C1AD0" w:rsidP="00721808">
      <w:pPr>
        <w:overflowPunct/>
        <w:autoSpaceDE/>
        <w:adjustRightInd/>
        <w:spacing w:after="0"/>
        <w:ind w:left="1440"/>
        <w:contextualSpacing/>
        <w:jc w:val="both"/>
        <w:textAlignment w:val="auto"/>
      </w:pPr>
    </w:p>
    <w:p w:rsidR="000C1AD0" w:rsidRPr="000C1AD0" w:rsidRDefault="000C1AD0" w:rsidP="000C1AD0">
      <w:pPr>
        <w:numPr>
          <w:ilvl w:val="0"/>
          <w:numId w:val="14"/>
        </w:numPr>
        <w:overflowPunct/>
        <w:autoSpaceDE/>
        <w:adjustRightInd/>
        <w:spacing w:after="0"/>
        <w:contextualSpacing/>
        <w:jc w:val="both"/>
        <w:textAlignment w:val="auto"/>
      </w:pPr>
      <w:r w:rsidRPr="000C1AD0">
        <w:rPr>
          <w:b/>
        </w:rPr>
        <w:t>M2M Application:</w:t>
      </w:r>
      <w:r w:rsidRPr="000C1AD0">
        <w:t xml:space="preserve"> It represents an IoT application that is responsible for accumulating data, transferring it to the SP and performi</w:t>
      </w:r>
      <w:r>
        <w:t>ng actions instructed by the SP</w:t>
      </w:r>
      <w:r w:rsidRPr="000C1AD0">
        <w:t xml:space="preserve">. </w:t>
      </w:r>
    </w:p>
    <w:p w:rsidR="000C1AD0" w:rsidRPr="00721808" w:rsidRDefault="000C1AD0" w:rsidP="00721808">
      <w:pPr>
        <w:overflowPunct/>
        <w:autoSpaceDE/>
        <w:adjustRightInd/>
        <w:spacing w:after="0"/>
        <w:ind w:left="1440"/>
        <w:contextualSpacing/>
        <w:jc w:val="both"/>
        <w:textAlignment w:val="auto"/>
        <w:rPr>
          <w:lang w:val="en-US"/>
        </w:rPr>
      </w:pPr>
    </w:p>
    <w:p w:rsidR="000C1AD0" w:rsidRPr="00721808" w:rsidRDefault="000C1AD0" w:rsidP="000C1AD0">
      <w:pPr>
        <w:numPr>
          <w:ilvl w:val="0"/>
          <w:numId w:val="14"/>
        </w:numPr>
        <w:overflowPunct/>
        <w:autoSpaceDE/>
        <w:adjustRightInd/>
        <w:spacing w:after="0"/>
        <w:contextualSpacing/>
        <w:jc w:val="both"/>
        <w:textAlignment w:val="auto"/>
        <w:rPr>
          <w:lang w:val="en-US"/>
        </w:rPr>
      </w:pPr>
      <w:r w:rsidRPr="000C1AD0">
        <w:rPr>
          <w:b/>
        </w:rPr>
        <w:t xml:space="preserve">M2M App-ID Registration Authority (ARA): </w:t>
      </w:r>
      <w:r w:rsidRPr="000C1AD0">
        <w:t>legal entity that manages/administers the App-ID database used to issue unique global identifiers consistent with oneM2M specifications</w:t>
      </w:r>
    </w:p>
    <w:p w:rsidR="000C1AD0" w:rsidRDefault="000C1AD0" w:rsidP="00721808">
      <w:pPr>
        <w:overflowPunct/>
        <w:autoSpaceDE/>
        <w:adjustRightInd/>
        <w:spacing w:after="0"/>
        <w:contextualSpacing/>
        <w:jc w:val="both"/>
        <w:textAlignment w:val="auto"/>
        <w:rPr>
          <w:lang w:val="en-US"/>
        </w:rPr>
      </w:pPr>
    </w:p>
    <w:p w:rsidR="000C1AD0" w:rsidRPr="000C1AD0" w:rsidRDefault="000C1AD0" w:rsidP="000C1AD0">
      <w:pPr>
        <w:pStyle w:val="ListParagraph"/>
        <w:numPr>
          <w:ilvl w:val="0"/>
          <w:numId w:val="14"/>
        </w:numPr>
        <w:jc w:val="both"/>
        <w:rPr>
          <w:sz w:val="20"/>
          <w:szCs w:val="20"/>
        </w:rPr>
      </w:pPr>
      <w:r>
        <w:rPr>
          <w:b/>
          <w:sz w:val="20"/>
          <w:szCs w:val="20"/>
        </w:rPr>
        <w:t>Security capability</w:t>
      </w:r>
      <w:r>
        <w:rPr>
          <w:sz w:val="20"/>
          <w:szCs w:val="20"/>
        </w:rPr>
        <w:t xml:space="preserve">: The security capabilities of the IoT application. This will indicate the security capabilities of the IoT application, authentication, as well as the ability for the IoT application to secure a private key in a trust enclave. </w:t>
      </w:r>
    </w:p>
    <w:p w:rsidR="000C1AD0" w:rsidRPr="000C1AD0" w:rsidRDefault="000C1AD0" w:rsidP="00721808">
      <w:pPr>
        <w:pStyle w:val="ListParagraph"/>
        <w:ind w:left="1440"/>
        <w:jc w:val="both"/>
        <w:rPr>
          <w:sz w:val="20"/>
          <w:szCs w:val="20"/>
        </w:rPr>
      </w:pPr>
    </w:p>
    <w:p w:rsidR="000C1AD0" w:rsidRPr="000C1AD0" w:rsidRDefault="000C1AD0" w:rsidP="000C1AD0">
      <w:pPr>
        <w:numPr>
          <w:ilvl w:val="0"/>
          <w:numId w:val="14"/>
        </w:numPr>
        <w:overflowPunct/>
        <w:autoSpaceDE/>
        <w:adjustRightInd/>
        <w:spacing w:after="0"/>
        <w:contextualSpacing/>
        <w:jc w:val="both"/>
        <w:textAlignment w:val="auto"/>
      </w:pPr>
      <w:r w:rsidRPr="000C1AD0">
        <w:rPr>
          <w:b/>
        </w:rPr>
        <w:t>M2M Service Infrastructure:</w:t>
      </w:r>
      <w:r w:rsidRPr="000C1AD0">
        <w:t xml:space="preserve"> It represents a SP </w:t>
      </w:r>
      <w:r w:rsidRPr="000C1AD0">
        <w:rPr>
          <w:rFonts w:hint="eastAsia"/>
        </w:rPr>
        <w:t>i</w:t>
      </w:r>
      <w:r w:rsidRPr="000C1AD0">
        <w:t>nfrastructure, including the physical equipment (e.g. a set of physical servers) that provides management of data and coordination capabilities for the M2M SP and communicates with M2M Devices.</w:t>
      </w:r>
    </w:p>
    <w:p w:rsidR="000C1AD0" w:rsidRDefault="000C1AD0" w:rsidP="000C1AD0">
      <w:pPr>
        <w:overflowPunct/>
        <w:autoSpaceDE/>
        <w:adjustRightInd/>
        <w:spacing w:after="0"/>
        <w:ind w:left="1080"/>
        <w:contextualSpacing/>
        <w:jc w:val="both"/>
        <w:textAlignment w:val="auto"/>
        <w:rPr>
          <w:lang w:val="x-none"/>
        </w:rPr>
      </w:pPr>
    </w:p>
    <w:p w:rsidR="000C1AD0" w:rsidRPr="000C1AD0" w:rsidRDefault="000C1AD0" w:rsidP="000C1AD0">
      <w:pPr>
        <w:numPr>
          <w:ilvl w:val="0"/>
          <w:numId w:val="14"/>
        </w:numPr>
        <w:overflowPunct/>
        <w:autoSpaceDE/>
        <w:adjustRightInd/>
        <w:spacing w:after="0"/>
        <w:contextualSpacing/>
        <w:jc w:val="both"/>
        <w:textAlignment w:val="auto"/>
      </w:pPr>
      <w:r w:rsidRPr="000C1AD0">
        <w:rPr>
          <w:b/>
        </w:rPr>
        <w:t>M2M Service Provider:</w:t>
      </w:r>
      <w:r w:rsidRPr="000C1AD0">
        <w:t xml:space="preserve"> entity (e.g. a company) that provides M2M Common Services to a M2M Application Service Provider or to the User.</w:t>
      </w:r>
    </w:p>
    <w:p w:rsidR="000C1AD0" w:rsidRPr="00EA211F" w:rsidRDefault="000C1AD0" w:rsidP="00721808">
      <w:pPr>
        <w:jc w:val="both"/>
        <w:rPr>
          <w:lang w:eastAsia="zh-CN"/>
        </w:rPr>
      </w:pPr>
    </w:p>
    <w:p w:rsidR="004A3476" w:rsidRPr="00EA211F" w:rsidRDefault="004A3476" w:rsidP="004A3476">
      <w:pPr>
        <w:pStyle w:val="Heading2"/>
      </w:pPr>
      <w:bookmarkStart w:id="36" w:name="_Toc300919390"/>
      <w:bookmarkStart w:id="37" w:name="_Toc431220769"/>
      <w:bookmarkStart w:id="38" w:name="_Toc451960176"/>
      <w:bookmarkStart w:id="39" w:name="_Toc508958758"/>
      <w:r w:rsidRPr="00EA211F">
        <w:t>3.2</w:t>
      </w:r>
      <w:r w:rsidRPr="00EA211F">
        <w:tab/>
        <w:t>Symbols</w:t>
      </w:r>
      <w:bookmarkEnd w:id="36"/>
      <w:bookmarkEnd w:id="37"/>
      <w:bookmarkEnd w:id="38"/>
      <w:bookmarkEnd w:id="39"/>
    </w:p>
    <w:p w:rsidR="004A3476" w:rsidRPr="00EA211F" w:rsidRDefault="004A3476" w:rsidP="004A3476">
      <w:pPr>
        <w:keepNext/>
      </w:pPr>
      <w:r w:rsidRPr="00EA211F">
        <w:t>For the purposes of the present document, the [following] symbols [given in ... and the following] apply:</w:t>
      </w:r>
    </w:p>
    <w:p w:rsidR="004A3476" w:rsidRPr="00EA211F" w:rsidRDefault="004A3476" w:rsidP="004A3476">
      <w:pPr>
        <w:pStyle w:val="EW"/>
        <w:rPr>
          <w:lang w:eastAsia="zh-CN"/>
        </w:rPr>
      </w:pPr>
      <w:r w:rsidRPr="00EA211F">
        <w:t>||</w:t>
      </w:r>
      <w:r w:rsidRPr="00EA211F">
        <w:tab/>
        <w:t xml:space="preserve">Concatenation </w:t>
      </w:r>
    </w:p>
    <w:p w:rsidR="004A3476" w:rsidRPr="00EA211F" w:rsidRDefault="004A3476" w:rsidP="004A3476">
      <w:pPr>
        <w:pStyle w:val="Heading2"/>
      </w:pPr>
      <w:bookmarkStart w:id="40" w:name="_Toc300919391"/>
      <w:bookmarkStart w:id="41" w:name="_Toc431220770"/>
      <w:bookmarkStart w:id="42" w:name="_Toc451960177"/>
      <w:bookmarkStart w:id="43" w:name="_Toc508958759"/>
      <w:r w:rsidRPr="00EA211F">
        <w:lastRenderedPageBreak/>
        <w:t>3.3</w:t>
      </w:r>
      <w:r w:rsidRPr="00EA211F">
        <w:tab/>
        <w:t>Abbreviations</w:t>
      </w:r>
      <w:bookmarkEnd w:id="40"/>
      <w:bookmarkEnd w:id="41"/>
      <w:bookmarkEnd w:id="42"/>
      <w:bookmarkEnd w:id="43"/>
    </w:p>
    <w:p w:rsidR="004A3476" w:rsidRPr="00EA211F" w:rsidRDefault="004A3476" w:rsidP="004A3476">
      <w:pPr>
        <w:keepNext/>
      </w:pPr>
      <w:r w:rsidRPr="00EA211F">
        <w:t>For the purposes of the present document, the [following] abbreviations [given in ... and the following] apply:</w:t>
      </w:r>
    </w:p>
    <w:p w:rsidR="003266C9" w:rsidRDefault="003266C9" w:rsidP="003266C9">
      <w:pPr>
        <w:pStyle w:val="EW"/>
      </w:pPr>
      <w:r>
        <w:t>ADN</w:t>
      </w:r>
      <w:r>
        <w:tab/>
        <w:t>Application Dedicated Node</w:t>
      </w:r>
    </w:p>
    <w:p w:rsidR="003266C9" w:rsidRDefault="003266C9" w:rsidP="003266C9">
      <w:pPr>
        <w:pStyle w:val="EW"/>
      </w:pPr>
      <w:r>
        <w:t>AE</w:t>
      </w:r>
      <w:r>
        <w:tab/>
        <w:t>Application Entity</w:t>
      </w:r>
    </w:p>
    <w:p w:rsidR="003266C9" w:rsidRDefault="003266C9" w:rsidP="003266C9">
      <w:pPr>
        <w:pStyle w:val="EW"/>
      </w:pPr>
      <w:r>
        <w:t>AE-ID</w:t>
      </w:r>
      <w:r>
        <w:tab/>
        <w:t>Application Entity Identifier</w:t>
      </w:r>
    </w:p>
    <w:p w:rsidR="003266C9" w:rsidRDefault="003266C9" w:rsidP="003266C9">
      <w:pPr>
        <w:pStyle w:val="EW"/>
      </w:pPr>
      <w:r>
        <w:t>App-ID</w:t>
      </w:r>
      <w:r>
        <w:tab/>
        <w:t>Application Identifier</w:t>
      </w:r>
    </w:p>
    <w:p w:rsidR="003266C9" w:rsidRDefault="003266C9" w:rsidP="003266C9">
      <w:pPr>
        <w:pStyle w:val="EW"/>
      </w:pPr>
      <w:r>
        <w:t>ARA</w:t>
      </w:r>
      <w:r>
        <w:tab/>
        <w:t>App-ID Registration Authority</w:t>
      </w:r>
    </w:p>
    <w:p w:rsidR="003266C9" w:rsidRDefault="003266C9" w:rsidP="003266C9">
      <w:pPr>
        <w:pStyle w:val="EW"/>
      </w:pPr>
      <w:r>
        <w:t>ARF</w:t>
      </w:r>
      <w:r>
        <w:tab/>
        <w:t>App-ID Registry Function</w:t>
      </w:r>
    </w:p>
    <w:p w:rsidR="003266C9" w:rsidRDefault="003266C9" w:rsidP="003266C9">
      <w:pPr>
        <w:pStyle w:val="EW"/>
      </w:pPr>
      <w:r>
        <w:t>ASN</w:t>
      </w:r>
      <w:r>
        <w:tab/>
        <w:t>Application Service Node</w:t>
      </w:r>
    </w:p>
    <w:p w:rsidR="003266C9" w:rsidRDefault="003266C9" w:rsidP="003266C9">
      <w:pPr>
        <w:pStyle w:val="EW"/>
      </w:pPr>
      <w:r>
        <w:t>BYOD</w:t>
      </w:r>
      <w:r>
        <w:tab/>
        <w:t>Bring Your Own Device</w:t>
      </w:r>
    </w:p>
    <w:p w:rsidR="003266C9" w:rsidRDefault="003266C9" w:rsidP="003266C9">
      <w:pPr>
        <w:pStyle w:val="EW"/>
      </w:pPr>
      <w:r>
        <w:t>CA</w:t>
      </w:r>
      <w:r>
        <w:tab/>
        <w:t>Certificate Authority</w:t>
      </w:r>
    </w:p>
    <w:p w:rsidR="003266C9" w:rsidRDefault="003266C9" w:rsidP="003266C9">
      <w:pPr>
        <w:pStyle w:val="EW"/>
      </w:pPr>
      <w:r>
        <w:t>CCB</w:t>
      </w:r>
      <w:r>
        <w:tab/>
        <w:t>Compliance Certification Body</w:t>
      </w:r>
    </w:p>
    <w:p w:rsidR="003266C9" w:rsidRDefault="003266C9" w:rsidP="003266C9">
      <w:pPr>
        <w:pStyle w:val="EW"/>
      </w:pPr>
      <w:r>
        <w:t>CRL</w:t>
      </w:r>
      <w:r>
        <w:tab/>
        <w:t>Certificate Revocation List</w:t>
      </w:r>
    </w:p>
    <w:p w:rsidR="003266C9" w:rsidRDefault="003266C9" w:rsidP="003266C9">
      <w:pPr>
        <w:pStyle w:val="EW"/>
      </w:pPr>
      <w:r>
        <w:t>CRUD</w:t>
      </w:r>
      <w:r>
        <w:tab/>
        <w:t>Create Retrieve Update Delete</w:t>
      </w:r>
    </w:p>
    <w:p w:rsidR="003266C9" w:rsidRDefault="003266C9" w:rsidP="003266C9">
      <w:pPr>
        <w:pStyle w:val="EW"/>
        <w:rPr>
          <w:lang w:eastAsia="zh-CN"/>
        </w:rPr>
      </w:pPr>
      <w:r>
        <w:rPr>
          <w:lang w:eastAsia="zh-CN"/>
        </w:rPr>
        <w:t>CSE</w:t>
      </w:r>
      <w:r>
        <w:rPr>
          <w:lang w:eastAsia="zh-CN"/>
        </w:rPr>
        <w:tab/>
        <w:t>Common Services Entity</w:t>
      </w:r>
    </w:p>
    <w:p w:rsidR="003266C9" w:rsidRDefault="003266C9" w:rsidP="003266C9">
      <w:pPr>
        <w:pStyle w:val="EW"/>
        <w:rPr>
          <w:lang w:eastAsia="zh-CN"/>
        </w:rPr>
      </w:pPr>
      <w:r>
        <w:rPr>
          <w:lang w:eastAsia="zh-CN"/>
        </w:rPr>
        <w:t>DM</w:t>
      </w:r>
      <w:r>
        <w:rPr>
          <w:lang w:eastAsia="zh-CN"/>
        </w:rPr>
        <w:tab/>
        <w:t>Device Management</w:t>
      </w:r>
    </w:p>
    <w:p w:rsidR="003266C9" w:rsidRDefault="003266C9" w:rsidP="003266C9">
      <w:pPr>
        <w:pStyle w:val="EW"/>
        <w:rPr>
          <w:lang w:eastAsia="zh-CN"/>
        </w:rPr>
      </w:pPr>
      <w:r>
        <w:rPr>
          <w:lang w:eastAsia="zh-CN"/>
        </w:rPr>
        <w:t>DLOA</w:t>
      </w:r>
      <w:r>
        <w:rPr>
          <w:lang w:eastAsia="zh-CN"/>
        </w:rPr>
        <w:tab/>
        <w:t>Digital Letter of Approval</w:t>
      </w:r>
    </w:p>
    <w:p w:rsidR="003266C9" w:rsidRDefault="003266C9" w:rsidP="003266C9">
      <w:pPr>
        <w:pStyle w:val="EW"/>
        <w:rPr>
          <w:lang w:eastAsia="zh-CN"/>
        </w:rPr>
      </w:pPr>
      <w:r>
        <w:rPr>
          <w:lang w:eastAsia="zh-CN"/>
        </w:rPr>
        <w:t>IN</w:t>
      </w:r>
      <w:r>
        <w:rPr>
          <w:lang w:eastAsia="zh-CN"/>
        </w:rPr>
        <w:tab/>
        <w:t>Infrastructure Node</w:t>
      </w:r>
    </w:p>
    <w:p w:rsidR="003266C9" w:rsidRDefault="003266C9" w:rsidP="003266C9">
      <w:pPr>
        <w:pStyle w:val="EW"/>
        <w:rPr>
          <w:lang w:eastAsia="zh-CN"/>
        </w:rPr>
      </w:pPr>
      <w:r>
        <w:rPr>
          <w:lang w:eastAsia="zh-CN"/>
        </w:rPr>
        <w:t>IoT</w:t>
      </w:r>
      <w:r>
        <w:rPr>
          <w:lang w:eastAsia="zh-CN"/>
        </w:rPr>
        <w:tab/>
        <w:t>Internet of Things</w:t>
      </w:r>
    </w:p>
    <w:p w:rsidR="003266C9" w:rsidRDefault="003266C9" w:rsidP="003266C9">
      <w:pPr>
        <w:pStyle w:val="EW"/>
        <w:rPr>
          <w:lang w:eastAsia="zh-CN"/>
        </w:rPr>
      </w:pPr>
      <w:r>
        <w:rPr>
          <w:lang w:eastAsia="zh-CN"/>
        </w:rPr>
        <w:t>MAF</w:t>
      </w:r>
      <w:r>
        <w:rPr>
          <w:lang w:eastAsia="zh-CN"/>
        </w:rPr>
        <w:tab/>
        <w:t>M2M Authorisation Function</w:t>
      </w:r>
    </w:p>
    <w:p w:rsidR="003266C9" w:rsidRDefault="003266C9" w:rsidP="003266C9">
      <w:pPr>
        <w:pStyle w:val="EW"/>
        <w:rPr>
          <w:lang w:eastAsia="zh-CN"/>
        </w:rPr>
      </w:pPr>
      <w:r>
        <w:rPr>
          <w:lang w:eastAsia="zh-CN"/>
        </w:rPr>
        <w:t>MEF</w:t>
      </w:r>
      <w:r>
        <w:rPr>
          <w:lang w:eastAsia="zh-CN"/>
        </w:rPr>
        <w:tab/>
        <w:t>M2M Enrolment Function</w:t>
      </w:r>
    </w:p>
    <w:p w:rsidR="003266C9" w:rsidRDefault="003266C9" w:rsidP="003266C9">
      <w:pPr>
        <w:pStyle w:val="EW"/>
        <w:rPr>
          <w:lang w:eastAsia="zh-CN"/>
        </w:rPr>
      </w:pPr>
      <w:r>
        <w:rPr>
          <w:lang w:eastAsia="zh-CN"/>
        </w:rPr>
        <w:t>MN</w:t>
      </w:r>
      <w:r>
        <w:rPr>
          <w:lang w:eastAsia="zh-CN"/>
        </w:rPr>
        <w:tab/>
        <w:t>Middle Node</w:t>
      </w:r>
    </w:p>
    <w:p w:rsidR="003266C9" w:rsidRDefault="003266C9" w:rsidP="003266C9">
      <w:pPr>
        <w:pStyle w:val="EW"/>
        <w:rPr>
          <w:lang w:eastAsia="zh-CN"/>
        </w:rPr>
      </w:pPr>
      <w:r>
        <w:rPr>
          <w:lang w:eastAsia="zh-CN"/>
        </w:rPr>
        <w:t>OS</w:t>
      </w:r>
      <w:r>
        <w:rPr>
          <w:lang w:eastAsia="zh-CN"/>
        </w:rPr>
        <w:tab/>
        <w:t>Operating System</w:t>
      </w:r>
    </w:p>
    <w:p w:rsidR="003266C9" w:rsidRDefault="003266C9" w:rsidP="003266C9">
      <w:pPr>
        <w:pStyle w:val="EW"/>
        <w:rPr>
          <w:lang w:eastAsia="zh-CN"/>
        </w:rPr>
      </w:pPr>
      <w:r>
        <w:rPr>
          <w:lang w:eastAsia="zh-CN"/>
        </w:rPr>
        <w:t>PKI</w:t>
      </w:r>
      <w:r>
        <w:rPr>
          <w:lang w:eastAsia="zh-CN"/>
        </w:rPr>
        <w:tab/>
        <w:t>Public Key Infrastructure</w:t>
      </w:r>
    </w:p>
    <w:p w:rsidR="003266C9" w:rsidRDefault="003266C9" w:rsidP="003266C9">
      <w:pPr>
        <w:pStyle w:val="EW"/>
        <w:rPr>
          <w:lang w:eastAsia="zh-CN"/>
        </w:rPr>
      </w:pPr>
      <w:r>
        <w:rPr>
          <w:lang w:eastAsia="zh-CN"/>
        </w:rPr>
        <w:t>SP</w:t>
      </w:r>
      <w:r>
        <w:rPr>
          <w:lang w:eastAsia="zh-CN"/>
        </w:rPr>
        <w:tab/>
        <w:t>Service Provider</w:t>
      </w:r>
    </w:p>
    <w:p w:rsidR="003266C9" w:rsidRPr="00EA211F" w:rsidRDefault="003266C9" w:rsidP="003266C9">
      <w:pPr>
        <w:pStyle w:val="EW"/>
        <w:rPr>
          <w:lang w:eastAsia="zh-CN"/>
        </w:rPr>
      </w:pPr>
      <w:r>
        <w:rPr>
          <w:lang w:eastAsia="zh-CN"/>
        </w:rPr>
        <w:t>SSL</w:t>
      </w:r>
      <w:r>
        <w:rPr>
          <w:lang w:eastAsia="zh-CN"/>
        </w:rPr>
        <w:tab/>
        <w:t>Secure Socket Layer</w:t>
      </w:r>
    </w:p>
    <w:p w:rsidR="004A3476" w:rsidRPr="00EA211F" w:rsidRDefault="004A3476" w:rsidP="004A3476">
      <w:pPr>
        <w:pStyle w:val="EX"/>
        <w:rPr>
          <w:lang w:eastAsia="zh-CN"/>
        </w:rPr>
      </w:pPr>
    </w:p>
    <w:p w:rsidR="004C05A1" w:rsidRPr="00EA211F" w:rsidRDefault="004C05A1" w:rsidP="004A3476">
      <w:pPr>
        <w:pStyle w:val="EW"/>
        <w:rPr>
          <w:lang w:eastAsia="zh-CN"/>
        </w:rPr>
      </w:pPr>
      <w:bookmarkStart w:id="44" w:name="_Toc300919392"/>
    </w:p>
    <w:p w:rsidR="004A3476" w:rsidRPr="00EA211F" w:rsidRDefault="004A3476" w:rsidP="004A3476">
      <w:pPr>
        <w:pStyle w:val="Heading1"/>
        <w:rPr>
          <w:lang w:eastAsia="zh-CN"/>
        </w:rPr>
      </w:pPr>
      <w:bookmarkStart w:id="45" w:name="_Toc431220772"/>
      <w:bookmarkStart w:id="46" w:name="_Toc451960179"/>
      <w:bookmarkStart w:id="47" w:name="_Toc508958760"/>
      <w:r w:rsidRPr="00EA211F">
        <w:t>4</w:t>
      </w:r>
      <w:r w:rsidRPr="00EA211F">
        <w:tab/>
        <w:t>Conventions</w:t>
      </w:r>
      <w:bookmarkEnd w:id="45"/>
      <w:bookmarkEnd w:id="46"/>
      <w:bookmarkEnd w:id="47"/>
    </w:p>
    <w:p w:rsidR="004A3476" w:rsidRDefault="004A3476" w:rsidP="004A3476">
      <w:r w:rsidRPr="00EA211F">
        <w:t>The key words “Shall”, ”Shall not”, “May”, ”Need not”, “Should”, ”Should not” in this document are to be interpreted as described in the oneM2M Drafting Rules [</w:t>
      </w:r>
      <w:r w:rsidRPr="00EA211F">
        <w:rPr>
          <w:rFonts w:hint="eastAsia"/>
          <w:lang w:eastAsia="zh-CN"/>
        </w:rPr>
        <w:t>i.5</w:t>
      </w:r>
      <w:r w:rsidRPr="00EA211F">
        <w:t>]</w:t>
      </w:r>
    </w:p>
    <w:p w:rsidR="00B007B6" w:rsidRPr="00EA211F" w:rsidRDefault="00B007B6" w:rsidP="0019768F">
      <w:pPr>
        <w:pStyle w:val="Heading1"/>
      </w:pPr>
      <w:bookmarkStart w:id="48" w:name="_Toc508958761"/>
      <w:r>
        <w:rPr>
          <w:lang w:val="en-US"/>
        </w:rPr>
        <w:t xml:space="preserve">5 </w:t>
      </w:r>
      <w:bookmarkStart w:id="49" w:name="OLE_LINK2"/>
      <w:r w:rsidR="005C5ABB">
        <w:rPr>
          <w:lang w:val="en-US"/>
        </w:rPr>
        <w:tab/>
      </w:r>
      <w:r w:rsidRPr="00EA211F">
        <w:t>Introduction</w:t>
      </w:r>
      <w:bookmarkEnd w:id="48"/>
      <w:bookmarkEnd w:id="49"/>
    </w:p>
    <w:p w:rsidR="00B007B6" w:rsidRDefault="00B007B6" w:rsidP="00B007B6">
      <w:pPr>
        <w:ind w:left="568"/>
        <w:rPr>
          <w:lang w:eastAsia="zh-CN"/>
        </w:rPr>
      </w:pPr>
      <w:r>
        <w:rPr>
          <w:lang w:eastAsia="zh-CN"/>
        </w:rPr>
        <w:t xml:space="preserve">In today’s rapidly growing IoT environment, authenticity and data security problems are rampant and pose great challenges.  These include unsecured supply chains for IoT devices, no mechanism to manage unknown IoT devices, as well as BYOD (Bring Your Own Device) consumer IoT services that enable connections of devices outside of direct control of the IoT platform or service providers. </w:t>
      </w:r>
    </w:p>
    <w:p w:rsidR="00B007B6" w:rsidRDefault="00B007B6" w:rsidP="00B007B6">
      <w:pPr>
        <w:ind w:left="568"/>
        <w:rPr>
          <w:lang w:eastAsia="zh-CN"/>
        </w:rPr>
      </w:pPr>
      <w:r>
        <w:rPr>
          <w:lang w:eastAsia="zh-CN"/>
        </w:rPr>
        <w:t>Though IoT devices can support a wide range of security mechanisms, including X.509 Certs, pre-shared keys, raw public keys, many solutions use no security at all. From toasters to baby monitors, IoT devices have shown vulnerability to cyberattacks.</w:t>
      </w:r>
    </w:p>
    <w:p w:rsidR="00B007B6" w:rsidRDefault="00B007B6" w:rsidP="00B007B6">
      <w:pPr>
        <w:ind w:left="568"/>
        <w:rPr>
          <w:lang w:eastAsia="zh-CN"/>
        </w:rPr>
      </w:pPr>
      <w:r>
        <w:rPr>
          <w:lang w:eastAsia="zh-CN"/>
        </w:rPr>
        <w:t>Furthermore, in the current environment, IoT security is highly fragmented and characterized by vertical standards, proprietary technical implementations and weak security that creates silos and restricts interoperability. As such, a reliable mechanism to validate identity integrity for a connecting IoT application is critical to securing IoT services and the resulting trust that interoperability depends upon.</w:t>
      </w:r>
    </w:p>
    <w:p w:rsidR="00B007B6" w:rsidRDefault="00B007B6" w:rsidP="00B007B6">
      <w:pPr>
        <w:ind w:left="568"/>
        <w:rPr>
          <w:lang w:eastAsia="zh-CN"/>
        </w:rPr>
      </w:pPr>
      <w:r>
        <w:rPr>
          <w:lang w:eastAsia="zh-CN"/>
        </w:rPr>
        <w:t>For many IoT applications that support critical infrastructures such as healthcare, the smart city and emergency services, device compromise can be a significant concern, with potentially catastrophic consequences.</w:t>
      </w:r>
    </w:p>
    <w:p w:rsidR="00B007B6" w:rsidRDefault="00B007B6" w:rsidP="00B007B6">
      <w:pPr>
        <w:pStyle w:val="ListParagraph"/>
        <w:jc w:val="both"/>
      </w:pPr>
    </w:p>
    <w:p w:rsidR="00B007B6" w:rsidRPr="004601AE" w:rsidRDefault="00B007B6" w:rsidP="00B007B6">
      <w:pPr>
        <w:ind w:left="568"/>
        <w:rPr>
          <w:b/>
          <w:lang w:eastAsia="zh-CN"/>
        </w:rPr>
      </w:pPr>
      <w:r w:rsidRPr="004601AE">
        <w:rPr>
          <w:b/>
          <w:lang w:eastAsia="zh-CN"/>
        </w:rPr>
        <w:t xml:space="preserve">App-ID Registry </w:t>
      </w:r>
    </w:p>
    <w:p w:rsidR="00B007B6" w:rsidRDefault="00B007B6" w:rsidP="00B007B6">
      <w:pPr>
        <w:ind w:left="568"/>
        <w:rPr>
          <w:lang w:eastAsia="zh-CN"/>
        </w:rPr>
      </w:pPr>
      <w:r>
        <w:rPr>
          <w:lang w:eastAsia="zh-CN"/>
        </w:rPr>
        <w:t xml:space="preserve">The App-ID Registry enables applications to identify themselves in a consistent, standards-based way to the oneM2M service layer.  It provides a guaranteed means for uniquely identifying each oneM2M application and </w:t>
      </w:r>
      <w:r>
        <w:rPr>
          <w:lang w:eastAsia="zh-CN"/>
        </w:rPr>
        <w:lastRenderedPageBreak/>
        <w:t>device.  This enables any IoT application from any developer to communicate and share data with any IoT device.  In addition, it offers trusted identity and authentication of IoT application data.</w:t>
      </w:r>
    </w:p>
    <w:p w:rsidR="00B007B6" w:rsidRDefault="00B007B6" w:rsidP="00B007B6">
      <w:pPr>
        <w:ind w:left="568"/>
        <w:rPr>
          <w:lang w:eastAsia="zh-CN"/>
        </w:rPr>
      </w:pPr>
      <w:r>
        <w:rPr>
          <w:lang w:eastAsia="zh-CN"/>
        </w:rPr>
        <w:t>It is particularly valuable for organizations that do not operate within the same networks or platforms and which could not easily communicate with one another. The App-ID Registry helps to bridge these silos enabling a much broader addressable market opportunity for application developers, device maker, and service providers.</w:t>
      </w:r>
    </w:p>
    <w:p w:rsidR="00B007B6" w:rsidRDefault="00B007B6" w:rsidP="00B007B6">
      <w:pPr>
        <w:ind w:left="568"/>
        <w:rPr>
          <w:lang w:eastAsia="zh-CN"/>
        </w:rPr>
      </w:pPr>
      <w:r>
        <w:rPr>
          <w:lang w:eastAsia="zh-CN"/>
        </w:rPr>
        <w:t>For example, a smart city will likely use multiple suppliers for its IoT devices and applications as well as support multiple users of this data.  It could also support “visiting devices” from tourists and business travellers, making it very difficult for these devices to securely communicate. Data interoperability is critical for successful implementation of many smart city solutions – such as transportation, public safety, event management and government services, as a few examples.</w:t>
      </w:r>
    </w:p>
    <w:p w:rsidR="00B007B6" w:rsidRDefault="00B007B6" w:rsidP="00B007B6">
      <w:pPr>
        <w:ind w:left="568"/>
        <w:rPr>
          <w:lang w:eastAsia="zh-CN"/>
        </w:rPr>
      </w:pPr>
      <w:r>
        <w:rPr>
          <w:lang w:eastAsia="zh-CN"/>
        </w:rPr>
        <w:t>Another example where interoperability is critical to success is the smart home.  Many companies engaging in this space only develop products and applications for one or two device categories – such as smart locks or lighting controls. For service providers to offer a complete smart-home solution, it will be necessary for multiple solutions to work together seamlessly.  Partnering becomes much easier once developers open up their interfaces and use the App-ID Registry to gain visibility in the smart-home ecosystem.</w:t>
      </w:r>
    </w:p>
    <w:p w:rsidR="00B007B6" w:rsidRDefault="00B007B6" w:rsidP="00B007B6">
      <w:pPr>
        <w:ind w:left="568"/>
        <w:rPr>
          <w:lang w:eastAsia="zh-CN"/>
        </w:rPr>
      </w:pPr>
      <w:r>
        <w:rPr>
          <w:lang w:eastAsia="zh-CN"/>
        </w:rPr>
        <w:t>The App-ID Registry offers numerous benefits across the entire IoT ecosystem.</w:t>
      </w:r>
    </w:p>
    <w:p w:rsidR="00B007B6" w:rsidRDefault="00B007B6" w:rsidP="00B007B6">
      <w:pPr>
        <w:ind w:left="568"/>
        <w:rPr>
          <w:lang w:eastAsia="zh-CN"/>
        </w:rPr>
      </w:pPr>
      <w:r>
        <w:rPr>
          <w:lang w:eastAsia="zh-CN"/>
        </w:rPr>
        <w:t xml:space="preserve">For device and application vendors, the Registry provides the ability for IoT devices to be uniquely identified and authenticated so as to be broadly adopted by any IoT service provider, increasing the addressable market opportunity.  The App-ID </w:t>
      </w:r>
      <w:r w:rsidR="004731F1">
        <w:rPr>
          <w:lang w:eastAsia="zh-CN"/>
        </w:rPr>
        <w:t>R</w:t>
      </w:r>
      <w:r>
        <w:rPr>
          <w:lang w:eastAsia="zh-CN"/>
        </w:rPr>
        <w:t xml:space="preserve">egistry provides metadata regarding the characterization of the IoT device and the format of the data it produces, </w:t>
      </w:r>
      <w:r w:rsidR="003266C9">
        <w:rPr>
          <w:lang w:eastAsia="zh-CN"/>
        </w:rPr>
        <w:t xml:space="preserve">which makes it </w:t>
      </w:r>
      <w:r>
        <w:rPr>
          <w:lang w:eastAsia="zh-CN"/>
        </w:rPr>
        <w:t>interoperable for integration with any appropriate application. All this enable</w:t>
      </w:r>
      <w:r w:rsidR="003266C9">
        <w:rPr>
          <w:lang w:eastAsia="zh-CN"/>
        </w:rPr>
        <w:t>s</w:t>
      </w:r>
      <w:r>
        <w:rPr>
          <w:lang w:eastAsia="zh-CN"/>
        </w:rPr>
        <w:t xml:space="preserve"> applications to be compatible with a greater range of devices, thereby improving cost effectiveness, while enhancing the rate of innovation.  Finally, compliance test</w:t>
      </w:r>
      <w:r w:rsidR="003266C9">
        <w:rPr>
          <w:lang w:eastAsia="zh-CN"/>
        </w:rPr>
        <w:t>ing</w:t>
      </w:r>
      <w:r>
        <w:rPr>
          <w:lang w:eastAsia="zh-CN"/>
        </w:rPr>
        <w:t xml:space="preserve"> and certification of IoT applications, increase</w:t>
      </w:r>
      <w:r w:rsidR="003266C9">
        <w:rPr>
          <w:lang w:eastAsia="zh-CN"/>
        </w:rPr>
        <w:t>s</w:t>
      </w:r>
      <w:r>
        <w:rPr>
          <w:lang w:eastAsia="zh-CN"/>
        </w:rPr>
        <w:t xml:space="preserve"> buyer confidence and brand value.</w:t>
      </w:r>
    </w:p>
    <w:p w:rsidR="00B007B6" w:rsidRDefault="00B007B6" w:rsidP="00B007B6">
      <w:pPr>
        <w:pStyle w:val="ListParagraph"/>
        <w:jc w:val="both"/>
      </w:pPr>
    </w:p>
    <w:p w:rsidR="00B007B6" w:rsidRPr="004601AE" w:rsidRDefault="00B007B6" w:rsidP="00B007B6">
      <w:pPr>
        <w:pStyle w:val="ListParagraph"/>
        <w:numPr>
          <w:ilvl w:val="0"/>
          <w:numId w:val="12"/>
        </w:numPr>
        <w:jc w:val="both"/>
        <w:rPr>
          <w:sz w:val="20"/>
        </w:rPr>
      </w:pPr>
      <w:r w:rsidRPr="004601AE">
        <w:rPr>
          <w:sz w:val="20"/>
        </w:rPr>
        <w:t xml:space="preserve">For IoT platform and system integrators, the App-ID Registry helps to streamline the onboarding process and allows integration with broader range of IoT devices, while reducing the cost of ongoing management. </w:t>
      </w:r>
    </w:p>
    <w:p w:rsidR="00B007B6" w:rsidRPr="004601AE" w:rsidRDefault="00B007B6" w:rsidP="00B007B6">
      <w:pPr>
        <w:pStyle w:val="ListParagraph"/>
        <w:jc w:val="both"/>
        <w:rPr>
          <w:sz w:val="20"/>
        </w:rPr>
      </w:pPr>
    </w:p>
    <w:p w:rsidR="00B007B6" w:rsidRPr="004601AE" w:rsidRDefault="00B007B6" w:rsidP="00B007B6">
      <w:pPr>
        <w:pStyle w:val="ListParagraph"/>
        <w:numPr>
          <w:ilvl w:val="0"/>
          <w:numId w:val="12"/>
        </w:numPr>
        <w:jc w:val="both"/>
        <w:rPr>
          <w:sz w:val="20"/>
        </w:rPr>
      </w:pPr>
      <w:r w:rsidRPr="004601AE">
        <w:rPr>
          <w:sz w:val="20"/>
        </w:rPr>
        <w:t>For IoT network operators and service providers, the App-ID Registry encourages open yet trusted access which results in broader adoption for a larger range of IoT devices and their data to enable more innovation and the resulting revenue possibilities.</w:t>
      </w:r>
    </w:p>
    <w:p w:rsidR="00B007B6" w:rsidRPr="004601AE" w:rsidRDefault="00B007B6" w:rsidP="00B007B6">
      <w:pPr>
        <w:pStyle w:val="ListParagraph"/>
        <w:ind w:firstLine="60"/>
        <w:jc w:val="both"/>
        <w:rPr>
          <w:sz w:val="20"/>
        </w:rPr>
      </w:pPr>
    </w:p>
    <w:p w:rsidR="00B007B6" w:rsidRPr="004601AE" w:rsidRDefault="00B007B6" w:rsidP="00B007B6">
      <w:pPr>
        <w:pStyle w:val="ListParagraph"/>
        <w:numPr>
          <w:ilvl w:val="0"/>
          <w:numId w:val="12"/>
        </w:numPr>
        <w:jc w:val="both"/>
        <w:rPr>
          <w:sz w:val="20"/>
        </w:rPr>
      </w:pPr>
      <w:r w:rsidRPr="004601AE">
        <w:rPr>
          <w:sz w:val="20"/>
        </w:rPr>
        <w:t xml:space="preserve">For consumers and other end users, the App-ID Registry makes it easier to participate in services in an IoT BYOD environment, and </w:t>
      </w:r>
      <w:r>
        <w:rPr>
          <w:sz w:val="20"/>
        </w:rPr>
        <w:t>supports</w:t>
      </w:r>
      <w:r w:rsidRPr="004601AE">
        <w:rPr>
          <w:sz w:val="20"/>
        </w:rPr>
        <w:t xml:space="preserve"> privacy controls over data use.</w:t>
      </w:r>
    </w:p>
    <w:p w:rsidR="00B007B6" w:rsidRDefault="00B007B6" w:rsidP="00B007B6">
      <w:pPr>
        <w:pStyle w:val="ListParagraph"/>
        <w:ind w:left="1440"/>
        <w:jc w:val="both"/>
      </w:pPr>
    </w:p>
    <w:p w:rsidR="00B007B6" w:rsidRDefault="00B007B6" w:rsidP="00B007B6">
      <w:pPr>
        <w:pStyle w:val="ListParagraph"/>
      </w:pPr>
    </w:p>
    <w:p w:rsidR="00B007B6" w:rsidRDefault="00B007B6" w:rsidP="00B007B6">
      <w:pPr>
        <w:pStyle w:val="ListParagraph"/>
        <w:jc w:val="both"/>
      </w:pPr>
      <w:r>
        <w:rPr>
          <w:noProof/>
          <w:lang w:val="en-GB" w:eastAsia="en-GB"/>
        </w:rPr>
        <w:drawing>
          <wp:inline distT="0" distB="0" distL="0" distR="0" wp14:anchorId="15D65AC2" wp14:editId="5B6488BC">
            <wp:extent cx="5819775" cy="291782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19775" cy="2917825"/>
                    </a:xfrm>
                    <a:prstGeom prst="rect">
                      <a:avLst/>
                    </a:prstGeom>
                    <a:noFill/>
                  </pic:spPr>
                </pic:pic>
              </a:graphicData>
            </a:graphic>
          </wp:inline>
        </w:drawing>
      </w:r>
    </w:p>
    <w:p w:rsidR="00B007B6" w:rsidRPr="0019768F" w:rsidRDefault="009F6828" w:rsidP="0019768F">
      <w:pPr>
        <w:jc w:val="center"/>
        <w:rPr>
          <w:b/>
          <w:lang w:eastAsia="zh-CN"/>
        </w:rPr>
      </w:pPr>
      <w:r>
        <w:rPr>
          <w:b/>
          <w:lang w:eastAsia="zh-CN"/>
        </w:rPr>
        <w:t>Figure 5</w:t>
      </w:r>
      <w:r w:rsidR="003266C9">
        <w:rPr>
          <w:b/>
          <w:lang w:eastAsia="zh-CN"/>
        </w:rPr>
        <w:t>-1</w:t>
      </w:r>
      <w:r w:rsidRPr="00B759E5">
        <w:rPr>
          <w:b/>
          <w:lang w:eastAsia="zh-CN"/>
        </w:rPr>
        <w:t xml:space="preserve">: </w:t>
      </w:r>
      <w:r>
        <w:rPr>
          <w:b/>
          <w:lang w:eastAsia="zh-CN"/>
        </w:rPr>
        <w:t>App-ID Registry Function Secure Identity Validation</w:t>
      </w:r>
    </w:p>
    <w:p w:rsidR="009F6828" w:rsidRDefault="009F6828" w:rsidP="00B007B6">
      <w:pPr>
        <w:pStyle w:val="ListParagraph"/>
        <w:jc w:val="both"/>
      </w:pPr>
    </w:p>
    <w:p w:rsidR="00B007B6" w:rsidRDefault="00B007B6" w:rsidP="00B007B6">
      <w:pPr>
        <w:pStyle w:val="ListParagraph"/>
        <w:jc w:val="both"/>
        <w:rPr>
          <w:sz w:val="20"/>
          <w:szCs w:val="20"/>
        </w:rPr>
      </w:pPr>
      <w:r>
        <w:rPr>
          <w:sz w:val="20"/>
          <w:szCs w:val="20"/>
        </w:rPr>
        <w:lastRenderedPageBreak/>
        <w:t xml:space="preserve">As the number of devices, applications and developers in the IoT market continues to grow, the App-ID Registry can confirm that IoT devices and their application identities are both unique and discoverable with levels of trust that enable all this to be managed at scale.   </w:t>
      </w:r>
    </w:p>
    <w:p w:rsidR="00B007B6" w:rsidRDefault="00B007B6" w:rsidP="00B007B6">
      <w:pPr>
        <w:pStyle w:val="ListParagraph"/>
        <w:jc w:val="both"/>
        <w:rPr>
          <w:sz w:val="20"/>
          <w:szCs w:val="20"/>
        </w:rPr>
      </w:pPr>
    </w:p>
    <w:p w:rsidR="00B007B6" w:rsidRDefault="00B007B6" w:rsidP="00B007B6">
      <w:pPr>
        <w:pStyle w:val="ListParagraph"/>
        <w:jc w:val="both"/>
        <w:rPr>
          <w:sz w:val="20"/>
          <w:szCs w:val="20"/>
        </w:rPr>
      </w:pPr>
      <w:r>
        <w:rPr>
          <w:sz w:val="20"/>
          <w:szCs w:val="20"/>
        </w:rPr>
        <w:t>For the IoT industry, the App-ID Registry lowers the cost of implementation, integration and ongoing management of IoT applications and devices; and enables a broader inclusion for IoT device manufacturers and consumers. Perhaps most importantly, IoT applications and the data they produce can be trusted, limiting IoT security vulnerabilities and maximizing service innovation through increased interoperability that is also secure.</w:t>
      </w:r>
    </w:p>
    <w:p w:rsidR="00B007B6" w:rsidRPr="00EA211F" w:rsidRDefault="00B007B6" w:rsidP="004A3476"/>
    <w:p w:rsidR="004A3476" w:rsidRPr="00EA211F" w:rsidRDefault="00B007B6" w:rsidP="004A3476">
      <w:pPr>
        <w:pStyle w:val="Heading1"/>
      </w:pPr>
      <w:bookmarkStart w:id="50" w:name="_Toc431220773"/>
      <w:bookmarkStart w:id="51" w:name="_Toc451960180"/>
      <w:bookmarkStart w:id="52" w:name="_Toc492019239"/>
      <w:bookmarkStart w:id="53" w:name="_Toc508958762"/>
      <w:r>
        <w:t>6</w:t>
      </w:r>
      <w:r w:rsidR="004A3476" w:rsidRPr="00EA211F">
        <w:tab/>
      </w:r>
      <w:bookmarkEnd w:id="44"/>
      <w:r w:rsidR="004A3476" w:rsidRPr="00EA211F">
        <w:t>Use Cases</w:t>
      </w:r>
      <w:bookmarkEnd w:id="50"/>
      <w:bookmarkEnd w:id="51"/>
      <w:bookmarkEnd w:id="52"/>
      <w:bookmarkEnd w:id="53"/>
    </w:p>
    <w:p w:rsidR="00350C19" w:rsidRPr="00CB5D36" w:rsidRDefault="00B007B6" w:rsidP="00350C19">
      <w:pPr>
        <w:pStyle w:val="Heading2"/>
        <w:rPr>
          <w:lang w:val="en-GB"/>
        </w:rPr>
      </w:pPr>
      <w:bookmarkStart w:id="54" w:name="_Toc431220774"/>
      <w:bookmarkStart w:id="55" w:name="_Toc451960181"/>
      <w:bookmarkStart w:id="56" w:name="_Toc492019240"/>
      <w:bookmarkStart w:id="57" w:name="_Toc508958763"/>
      <w:r>
        <w:rPr>
          <w:lang w:val="en-US"/>
        </w:rPr>
        <w:t>6</w:t>
      </w:r>
      <w:r w:rsidR="004A3476" w:rsidRPr="00EA211F">
        <w:rPr>
          <w:rFonts w:hint="eastAsia"/>
        </w:rPr>
        <w:t>.1</w:t>
      </w:r>
      <w:r w:rsidR="004A3476" w:rsidRPr="00EA211F">
        <w:rPr>
          <w:rFonts w:hint="eastAsia"/>
        </w:rPr>
        <w:tab/>
        <w:t xml:space="preserve">Use Case of </w:t>
      </w:r>
      <w:bookmarkEnd w:id="54"/>
      <w:bookmarkEnd w:id="55"/>
      <w:r w:rsidR="00CB5D36">
        <w:rPr>
          <w:lang w:val="en-GB"/>
        </w:rPr>
        <w:t>1</w:t>
      </w:r>
      <w:bookmarkEnd w:id="56"/>
      <w:r w:rsidR="00350C19">
        <w:rPr>
          <w:lang w:val="en-GB"/>
        </w:rPr>
        <w:t xml:space="preserve">: </w:t>
      </w:r>
      <w:r w:rsidR="00350C19">
        <w:t xml:space="preserve">Verify IoT </w:t>
      </w:r>
      <w:r w:rsidR="00350C19" w:rsidRPr="007B1FD6">
        <w:t>Application identity and integrity</w:t>
      </w:r>
      <w:bookmarkEnd w:id="57"/>
    </w:p>
    <w:p w:rsidR="00350C19" w:rsidRPr="007B1FD6" w:rsidRDefault="00350C19" w:rsidP="00350C19">
      <w:pPr>
        <w:pStyle w:val="ListParagraph"/>
        <w:jc w:val="both"/>
        <w:rPr>
          <w:sz w:val="20"/>
          <w:szCs w:val="20"/>
        </w:rPr>
      </w:pPr>
      <w:bookmarkStart w:id="58" w:name="_Toc492019241"/>
      <w:bookmarkStart w:id="59" w:name="_Toc431220775"/>
      <w:bookmarkStart w:id="60" w:name="_Toc451960182"/>
      <w:r w:rsidRPr="007B1FD6">
        <w:rPr>
          <w:sz w:val="20"/>
          <w:szCs w:val="20"/>
        </w:rPr>
        <w:t xml:space="preserve">IoT </w:t>
      </w:r>
      <w:r>
        <w:rPr>
          <w:sz w:val="20"/>
          <w:szCs w:val="20"/>
        </w:rPr>
        <w:t>applications</w:t>
      </w:r>
      <w:r w:rsidRPr="007B1FD6">
        <w:rPr>
          <w:sz w:val="20"/>
          <w:szCs w:val="20"/>
        </w:rPr>
        <w:t xml:space="preserve"> can enter into the supply chain via many routes. With the best intentions it is not possible to 100% secure the control of the supply chain though manufacturers, distributors, resellers, 3</w:t>
      </w:r>
      <w:r w:rsidRPr="007B1FD6">
        <w:rPr>
          <w:sz w:val="20"/>
          <w:szCs w:val="20"/>
          <w:vertAlign w:val="superscript"/>
        </w:rPr>
        <w:t>rd</w:t>
      </w:r>
      <w:r w:rsidRPr="007B1FD6">
        <w:rPr>
          <w:sz w:val="20"/>
          <w:szCs w:val="20"/>
        </w:rPr>
        <w:t xml:space="preserve"> party contractors and consumers. </w:t>
      </w:r>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t xml:space="preserve">Many IoT service are required to provide open access for unknown IoT applications to connect, for example smart homes, cities, healthcare. The economies of these services are built upon consumers and businesses being able to acquire their own IoT </w:t>
      </w:r>
      <w:r>
        <w:rPr>
          <w:sz w:val="20"/>
          <w:szCs w:val="20"/>
        </w:rPr>
        <w:t>applications</w:t>
      </w:r>
      <w:r w:rsidRPr="007B1FD6">
        <w:rPr>
          <w:sz w:val="20"/>
          <w:szCs w:val="20"/>
        </w:rPr>
        <w:t xml:space="preserve"> and connect them with these smart communities. </w:t>
      </w:r>
      <w:bookmarkStart w:id="61" w:name="OLE_LINK20"/>
      <w:bookmarkStart w:id="62" w:name="OLE_LINK21"/>
      <w:bookmarkStart w:id="63" w:name="OLE_LINK22"/>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t>Even when IoT systems are vertically integrated, such as industrial controls, factories, utilities</w:t>
      </w:r>
      <w:r w:rsidR="003266C9">
        <w:rPr>
          <w:sz w:val="20"/>
          <w:szCs w:val="20"/>
        </w:rPr>
        <w:t>,</w:t>
      </w:r>
      <w:r w:rsidRPr="007B1FD6">
        <w:rPr>
          <w:sz w:val="20"/>
          <w:szCs w:val="20"/>
        </w:rPr>
        <w:t xml:space="preserve"> etc, the IoT service provider will find it difficult to control the supply chain and cannot guarantee 100% that all the IoT applications </w:t>
      </w:r>
      <w:bookmarkEnd w:id="61"/>
      <w:bookmarkEnd w:id="62"/>
      <w:bookmarkEnd w:id="63"/>
      <w:r w:rsidRPr="007B1FD6">
        <w:rPr>
          <w:sz w:val="20"/>
          <w:szCs w:val="20"/>
        </w:rPr>
        <w:t xml:space="preserve">are authentic. </w:t>
      </w:r>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t xml:space="preserve">Where this happens at scale for example 1000’s IoT sensors with an industrial deployment or a smart city needing to authenticate various brands makes and models of connected vehicles. Scale exacerbates the problem for supply chain controls. </w:t>
      </w:r>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b/>
          <w:sz w:val="20"/>
          <w:szCs w:val="20"/>
        </w:rPr>
        <w:t xml:space="preserve">Using </w:t>
      </w:r>
      <w:r>
        <w:rPr>
          <w:b/>
          <w:sz w:val="20"/>
          <w:szCs w:val="20"/>
        </w:rPr>
        <w:t xml:space="preserve">App-ID Registry </w:t>
      </w:r>
      <w:r w:rsidRPr="007B1FD6">
        <w:rPr>
          <w:b/>
          <w:sz w:val="20"/>
          <w:szCs w:val="20"/>
        </w:rPr>
        <w:t xml:space="preserve">Function to provide IoT identity and integrity checking. </w:t>
      </w:r>
      <w:r w:rsidRPr="007B1FD6">
        <w:rPr>
          <w:sz w:val="20"/>
          <w:szCs w:val="20"/>
        </w:rPr>
        <w:t xml:space="preserve"> </w:t>
      </w:r>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t xml:space="preserve">A </w:t>
      </w:r>
      <w:r>
        <w:rPr>
          <w:sz w:val="20"/>
          <w:szCs w:val="20"/>
        </w:rPr>
        <w:t xml:space="preserve">Service </w:t>
      </w:r>
      <w:r w:rsidR="003266C9">
        <w:rPr>
          <w:sz w:val="20"/>
          <w:szCs w:val="20"/>
        </w:rPr>
        <w:t>P</w:t>
      </w:r>
      <w:r>
        <w:rPr>
          <w:sz w:val="20"/>
          <w:szCs w:val="20"/>
        </w:rPr>
        <w:t xml:space="preserve">rovider Infrastructure </w:t>
      </w:r>
      <w:r w:rsidRPr="007B1FD6">
        <w:rPr>
          <w:sz w:val="20"/>
          <w:szCs w:val="20"/>
        </w:rPr>
        <w:t xml:space="preserve">can verify the identity of a connecting IoT application by connecting with the </w:t>
      </w:r>
      <w:r>
        <w:rPr>
          <w:sz w:val="20"/>
          <w:szCs w:val="20"/>
        </w:rPr>
        <w:t>App-ID Registry Function</w:t>
      </w:r>
      <w:r w:rsidRPr="007B1FD6">
        <w:rPr>
          <w:sz w:val="20"/>
          <w:szCs w:val="20"/>
        </w:rPr>
        <w:t>. A</w:t>
      </w:r>
      <w:r w:rsidR="003266C9">
        <w:rPr>
          <w:sz w:val="20"/>
          <w:szCs w:val="20"/>
        </w:rPr>
        <w:t>n</w:t>
      </w:r>
      <w:r w:rsidRPr="007B1FD6">
        <w:rPr>
          <w:sz w:val="20"/>
          <w:szCs w:val="20"/>
        </w:rPr>
        <w:t xml:space="preserve"> </w:t>
      </w:r>
      <w:r w:rsidRPr="003266C9">
        <w:rPr>
          <w:sz w:val="20"/>
          <w:szCs w:val="20"/>
        </w:rPr>
        <w:t>SP</w:t>
      </w:r>
      <w:r w:rsidRPr="007B1FD6">
        <w:rPr>
          <w:sz w:val="20"/>
          <w:szCs w:val="20"/>
        </w:rPr>
        <w:t xml:space="preserve"> is able to query the </w:t>
      </w:r>
      <w:r>
        <w:rPr>
          <w:sz w:val="20"/>
          <w:szCs w:val="20"/>
        </w:rPr>
        <w:t xml:space="preserve">App-ID Registry Function </w:t>
      </w:r>
      <w:r w:rsidRPr="007B1FD6">
        <w:rPr>
          <w:sz w:val="20"/>
          <w:szCs w:val="20"/>
        </w:rPr>
        <w:t>if the App</w:t>
      </w:r>
      <w:r>
        <w:rPr>
          <w:sz w:val="20"/>
          <w:szCs w:val="20"/>
        </w:rPr>
        <w:t>-</w:t>
      </w:r>
      <w:r w:rsidRPr="007B1FD6">
        <w:rPr>
          <w:sz w:val="20"/>
          <w:szCs w:val="20"/>
        </w:rPr>
        <w:t>ID is registered and if so collect the metadata for a presented IoT application’s (AE-ID/App</w:t>
      </w:r>
      <w:r>
        <w:rPr>
          <w:sz w:val="20"/>
          <w:szCs w:val="20"/>
        </w:rPr>
        <w:t>-</w:t>
      </w:r>
      <w:r w:rsidRPr="007B1FD6">
        <w:rPr>
          <w:sz w:val="20"/>
          <w:szCs w:val="20"/>
        </w:rPr>
        <w:t>ID). The App</w:t>
      </w:r>
      <w:r>
        <w:rPr>
          <w:sz w:val="20"/>
          <w:szCs w:val="20"/>
        </w:rPr>
        <w:t>-</w:t>
      </w:r>
      <w:r w:rsidRPr="007B1FD6">
        <w:rPr>
          <w:sz w:val="20"/>
          <w:szCs w:val="20"/>
        </w:rPr>
        <w:t xml:space="preserve">ID metadata can contain information to enable the </w:t>
      </w:r>
      <w:r>
        <w:rPr>
          <w:sz w:val="20"/>
          <w:szCs w:val="20"/>
        </w:rPr>
        <w:t>SP</w:t>
      </w:r>
      <w:r w:rsidRPr="007B1FD6">
        <w:rPr>
          <w:sz w:val="20"/>
          <w:szCs w:val="20"/>
        </w:rPr>
        <w:t xml:space="preserve"> to verify if the connecting IoT application. The App</w:t>
      </w:r>
      <w:r>
        <w:rPr>
          <w:sz w:val="20"/>
          <w:szCs w:val="20"/>
        </w:rPr>
        <w:t>-</w:t>
      </w:r>
      <w:r w:rsidRPr="007B1FD6">
        <w:rPr>
          <w:sz w:val="20"/>
          <w:szCs w:val="20"/>
        </w:rPr>
        <w:t xml:space="preserve">ID metadata can contain the following attributes to allow the </w:t>
      </w:r>
      <w:r>
        <w:rPr>
          <w:sz w:val="20"/>
          <w:szCs w:val="20"/>
        </w:rPr>
        <w:t>SP</w:t>
      </w:r>
      <w:r w:rsidRPr="007B1FD6">
        <w:rPr>
          <w:sz w:val="20"/>
          <w:szCs w:val="20"/>
        </w:rPr>
        <w:t xml:space="preserve"> be informed to make decisions how to allow the IoT application connect, if at all :- </w:t>
      </w:r>
    </w:p>
    <w:p w:rsidR="00350C19" w:rsidRPr="007B1FD6" w:rsidRDefault="00350C19" w:rsidP="00350C19">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IoT application Type:</w:t>
      </w:r>
      <w:r>
        <w:rPr>
          <w:sz w:val="20"/>
          <w:szCs w:val="20"/>
        </w:rPr>
        <w:t xml:space="preserve"> Information regarding the type of application, for example thermostat, vehicle telemetry, or fan control. </w:t>
      </w:r>
    </w:p>
    <w:p w:rsidR="00D41BD8" w:rsidRDefault="00D41BD8" w:rsidP="00D41BD8">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IoT application Class:</w:t>
      </w:r>
      <w:r>
        <w:rPr>
          <w:sz w:val="20"/>
          <w:szCs w:val="20"/>
        </w:rPr>
        <w:t xml:space="preserve"> Details for the class of use</w:t>
      </w:r>
      <w:r>
        <w:rPr>
          <w:color w:val="FF0000"/>
          <w:sz w:val="20"/>
          <w:szCs w:val="20"/>
        </w:rPr>
        <w:t>:</w:t>
      </w:r>
      <w:r>
        <w:rPr>
          <w:sz w:val="20"/>
          <w:szCs w:val="20"/>
        </w:rPr>
        <w:t xml:space="preserve"> consumer, industrial, or critical infrastructure. The</w:t>
      </w:r>
      <w:r>
        <w:rPr>
          <w:strike/>
          <w:sz w:val="20"/>
          <w:szCs w:val="20"/>
        </w:rPr>
        <w:t>se</w:t>
      </w:r>
      <w:r>
        <w:rPr>
          <w:sz w:val="20"/>
          <w:szCs w:val="20"/>
        </w:rPr>
        <w:t xml:space="preserve"> class type will have a bearing on how the data and security of the IoT application is enrolled onto the SP. </w:t>
      </w:r>
    </w:p>
    <w:p w:rsidR="00D41BD8" w:rsidRDefault="00D41BD8" w:rsidP="00D41BD8">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Security capability</w:t>
      </w:r>
      <w:r>
        <w:rPr>
          <w:sz w:val="20"/>
          <w:szCs w:val="20"/>
        </w:rPr>
        <w:t xml:space="preserve">: The security capabilities of the IoT application. This will indicate the security capabilities of the IoT application, authentication, as well as the ability for the IoT application to secure a private key in a trust enclave. </w:t>
      </w:r>
    </w:p>
    <w:p w:rsidR="00D41BD8" w:rsidRDefault="00D41BD8" w:rsidP="00D41BD8">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Authentication type:</w:t>
      </w:r>
      <w:r>
        <w:rPr>
          <w:sz w:val="20"/>
          <w:szCs w:val="20"/>
        </w:rPr>
        <w:t xml:space="preserve"> The mechanism used to authenticate the IoT Application. For example, if using a PKI certificate, who is the root of trust. </w:t>
      </w:r>
    </w:p>
    <w:p w:rsidR="00D41BD8" w:rsidRDefault="00D41BD8" w:rsidP="00D41BD8">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Communications class:</w:t>
      </w:r>
      <w:r>
        <w:rPr>
          <w:sz w:val="20"/>
          <w:szCs w:val="20"/>
        </w:rPr>
        <w:t xml:space="preserve"> The profile for the data generated by the application. For example, streamed data, periodic burst of data, or intermittent bursts of data. </w:t>
      </w:r>
    </w:p>
    <w:p w:rsidR="00D41BD8" w:rsidRDefault="00D41BD8" w:rsidP="00D41BD8">
      <w:pPr>
        <w:pStyle w:val="ListParagraph"/>
        <w:rPr>
          <w:sz w:val="20"/>
          <w:szCs w:val="20"/>
        </w:rPr>
      </w:pPr>
    </w:p>
    <w:p w:rsidR="00D41BD8" w:rsidRDefault="00D41BD8" w:rsidP="0019768F">
      <w:pPr>
        <w:pStyle w:val="ListParagraph"/>
        <w:numPr>
          <w:ilvl w:val="0"/>
          <w:numId w:val="14"/>
        </w:numPr>
        <w:jc w:val="both"/>
        <w:rPr>
          <w:sz w:val="20"/>
          <w:szCs w:val="20"/>
        </w:rPr>
      </w:pPr>
      <w:r>
        <w:rPr>
          <w:b/>
          <w:sz w:val="20"/>
          <w:szCs w:val="20"/>
        </w:rPr>
        <w:t>Data Model:</w:t>
      </w:r>
      <w:r>
        <w:rPr>
          <w:sz w:val="20"/>
          <w:szCs w:val="20"/>
        </w:rPr>
        <w:t xml:space="preserve"> The data definition for the application, what is projected, and the actions that can be performed. The application data model and mapping to oneM2M ontology.</w:t>
      </w:r>
    </w:p>
    <w:p w:rsidR="00350C19" w:rsidRPr="007B1FD6" w:rsidRDefault="00350C19" w:rsidP="0019768F">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lastRenderedPageBreak/>
        <w:t>Using the App</w:t>
      </w:r>
      <w:r>
        <w:rPr>
          <w:sz w:val="20"/>
          <w:szCs w:val="20"/>
        </w:rPr>
        <w:t>-</w:t>
      </w:r>
      <w:r w:rsidRPr="007B1FD6">
        <w:rPr>
          <w:sz w:val="20"/>
          <w:szCs w:val="20"/>
        </w:rPr>
        <w:t>ID metadata provided by the</w:t>
      </w:r>
      <w:r>
        <w:rPr>
          <w:sz w:val="20"/>
          <w:szCs w:val="20"/>
        </w:rPr>
        <w:t xml:space="preserve"> </w:t>
      </w:r>
      <w:r w:rsidRPr="007B1FD6">
        <w:rPr>
          <w:sz w:val="20"/>
          <w:szCs w:val="20"/>
        </w:rPr>
        <w:t xml:space="preserve">App-ID Registry Function, the </w:t>
      </w:r>
      <w:r>
        <w:rPr>
          <w:sz w:val="20"/>
          <w:szCs w:val="20"/>
        </w:rPr>
        <w:t>SP</w:t>
      </w:r>
      <w:r w:rsidRPr="007B1FD6">
        <w:rPr>
          <w:sz w:val="20"/>
          <w:szCs w:val="20"/>
        </w:rPr>
        <w:t xml:space="preserve"> can verify the identity and authenticity of the connecting IoT application. </w:t>
      </w:r>
      <w:r w:rsidR="003266C9">
        <w:rPr>
          <w:sz w:val="20"/>
          <w:szCs w:val="20"/>
        </w:rPr>
        <w:t>I</w:t>
      </w:r>
      <w:r w:rsidRPr="007B1FD6">
        <w:rPr>
          <w:sz w:val="20"/>
          <w:szCs w:val="20"/>
        </w:rPr>
        <w:t xml:space="preserve">t can </w:t>
      </w:r>
      <w:r w:rsidR="003266C9">
        <w:rPr>
          <w:sz w:val="20"/>
          <w:szCs w:val="20"/>
        </w:rPr>
        <w:t xml:space="preserve">also </w:t>
      </w:r>
      <w:r w:rsidRPr="007B1FD6">
        <w:rPr>
          <w:sz w:val="20"/>
          <w:szCs w:val="20"/>
        </w:rPr>
        <w:t>assign</w:t>
      </w:r>
      <w:r w:rsidR="003266C9">
        <w:rPr>
          <w:sz w:val="20"/>
          <w:szCs w:val="20"/>
        </w:rPr>
        <w:t xml:space="preserve"> </w:t>
      </w:r>
      <w:r w:rsidRPr="007B1FD6">
        <w:rPr>
          <w:sz w:val="20"/>
          <w:szCs w:val="20"/>
        </w:rPr>
        <w:t>the right resources for the connecting IoT application</w:t>
      </w:r>
      <w:r w:rsidR="003266C9">
        <w:rPr>
          <w:sz w:val="20"/>
          <w:szCs w:val="20"/>
        </w:rPr>
        <w:t>.</w:t>
      </w:r>
    </w:p>
    <w:p w:rsidR="00350C19" w:rsidRPr="007B1FD6" w:rsidRDefault="00350C19" w:rsidP="00350C19">
      <w:pPr>
        <w:pStyle w:val="ListParagraph"/>
        <w:jc w:val="both"/>
        <w:rPr>
          <w:sz w:val="20"/>
          <w:szCs w:val="20"/>
        </w:rPr>
      </w:pPr>
    </w:p>
    <w:p w:rsidR="00350C19" w:rsidRPr="007B1FD6" w:rsidRDefault="00350C19" w:rsidP="00350C19">
      <w:pPr>
        <w:pStyle w:val="ListParagraph"/>
        <w:jc w:val="both"/>
        <w:rPr>
          <w:sz w:val="20"/>
          <w:szCs w:val="20"/>
        </w:rPr>
      </w:pPr>
      <w:r w:rsidRPr="007B1FD6">
        <w:rPr>
          <w:sz w:val="20"/>
          <w:szCs w:val="20"/>
        </w:rPr>
        <w:t xml:space="preserve">This functionality will allow any registered App-ID to provide an application profile in </w:t>
      </w:r>
      <w:r w:rsidR="003266C9">
        <w:rPr>
          <w:sz w:val="20"/>
          <w:szCs w:val="20"/>
        </w:rPr>
        <w:t xml:space="preserve">the </w:t>
      </w:r>
      <w:r w:rsidRPr="007B1FD6">
        <w:rPr>
          <w:sz w:val="20"/>
          <w:szCs w:val="20"/>
        </w:rPr>
        <w:t xml:space="preserve">form of metadata that can be used by </w:t>
      </w:r>
      <w:r w:rsidR="003266C9" w:rsidRPr="007B1FD6">
        <w:rPr>
          <w:sz w:val="20"/>
          <w:szCs w:val="20"/>
        </w:rPr>
        <w:t>a</w:t>
      </w:r>
      <w:r w:rsidR="003266C9">
        <w:rPr>
          <w:sz w:val="20"/>
          <w:szCs w:val="20"/>
        </w:rPr>
        <w:t xml:space="preserve">n </w:t>
      </w:r>
      <w:r>
        <w:rPr>
          <w:sz w:val="20"/>
          <w:szCs w:val="20"/>
        </w:rPr>
        <w:t>SP</w:t>
      </w:r>
      <w:r w:rsidRPr="007B1FD6">
        <w:rPr>
          <w:sz w:val="20"/>
          <w:szCs w:val="20"/>
        </w:rPr>
        <w:t xml:space="preserve"> to identify and verify that the connecting IoT application is representing itself consistently with the characterization presented by the metadata. </w:t>
      </w:r>
    </w:p>
    <w:p w:rsidR="00350C19" w:rsidRPr="007B1FD6" w:rsidRDefault="00350C19" w:rsidP="00350C19">
      <w:pPr>
        <w:pStyle w:val="ListParagraph"/>
        <w:jc w:val="both"/>
        <w:rPr>
          <w:sz w:val="20"/>
          <w:szCs w:val="20"/>
        </w:rPr>
      </w:pPr>
    </w:p>
    <w:p w:rsidR="00350C19" w:rsidRDefault="00350C19" w:rsidP="00350C19">
      <w:pPr>
        <w:pStyle w:val="ListParagraph"/>
        <w:jc w:val="both"/>
        <w:rPr>
          <w:sz w:val="20"/>
          <w:szCs w:val="20"/>
        </w:rPr>
      </w:pPr>
      <w:r w:rsidRPr="007B1FD6">
        <w:rPr>
          <w:sz w:val="20"/>
          <w:szCs w:val="20"/>
        </w:rPr>
        <w:t xml:space="preserve">The role of the </w:t>
      </w:r>
      <w:r>
        <w:rPr>
          <w:sz w:val="20"/>
          <w:szCs w:val="20"/>
        </w:rPr>
        <w:t>App-ID Registry Function</w:t>
      </w:r>
      <w:r w:rsidRPr="007B1FD6">
        <w:rPr>
          <w:sz w:val="20"/>
          <w:szCs w:val="20"/>
        </w:rPr>
        <w:t xml:space="preserve"> is not to enforce the policy of the </w:t>
      </w:r>
      <w:r>
        <w:rPr>
          <w:sz w:val="20"/>
          <w:szCs w:val="20"/>
        </w:rPr>
        <w:t>SP</w:t>
      </w:r>
      <w:r w:rsidRPr="007B1FD6">
        <w:rPr>
          <w:sz w:val="20"/>
          <w:szCs w:val="20"/>
        </w:rPr>
        <w:t xml:space="preserve">, but for the </w:t>
      </w:r>
      <w:r>
        <w:rPr>
          <w:sz w:val="20"/>
          <w:szCs w:val="20"/>
        </w:rPr>
        <w:t>SP</w:t>
      </w:r>
      <w:r w:rsidRPr="007B1FD6">
        <w:rPr>
          <w:sz w:val="20"/>
          <w:szCs w:val="20"/>
        </w:rPr>
        <w:t xml:space="preserve"> to be informed through the App-ID metadata profile to automate the authentication and enrolment process. </w:t>
      </w:r>
    </w:p>
    <w:p w:rsidR="00350C19" w:rsidRDefault="00350C19" w:rsidP="00350C19">
      <w:pPr>
        <w:pStyle w:val="ListParagraph"/>
        <w:jc w:val="both"/>
        <w:rPr>
          <w:sz w:val="20"/>
          <w:szCs w:val="20"/>
        </w:rPr>
      </w:pPr>
    </w:p>
    <w:p w:rsidR="00350C19" w:rsidRDefault="00350C19" w:rsidP="00350C19">
      <w:pPr>
        <w:pStyle w:val="ListParagraph"/>
        <w:jc w:val="both"/>
        <w:rPr>
          <w:sz w:val="20"/>
          <w:szCs w:val="20"/>
        </w:rPr>
      </w:pPr>
    </w:p>
    <w:p w:rsidR="00350C19" w:rsidRPr="006905FE" w:rsidRDefault="00B007B6" w:rsidP="00350C19">
      <w:pPr>
        <w:pStyle w:val="Heading2"/>
      </w:pPr>
      <w:bookmarkStart w:id="64" w:name="_Toc494099353"/>
      <w:bookmarkStart w:id="65" w:name="_Toc508958764"/>
      <w:r>
        <w:rPr>
          <w:lang w:val="en-US"/>
        </w:rPr>
        <w:t>6</w:t>
      </w:r>
      <w:r w:rsidR="00350C19" w:rsidRPr="006905FE">
        <w:rPr>
          <w:rFonts w:hint="eastAsia"/>
        </w:rPr>
        <w:t>.</w:t>
      </w:r>
      <w:r w:rsidR="00350C19" w:rsidRPr="006905FE">
        <w:t>2</w:t>
      </w:r>
      <w:r w:rsidR="00350C19" w:rsidRPr="006905FE">
        <w:rPr>
          <w:rFonts w:hint="eastAsia"/>
        </w:rPr>
        <w:tab/>
        <w:t>Use Case</w:t>
      </w:r>
      <w:r w:rsidR="00350C19" w:rsidRPr="006905FE">
        <w:t xml:space="preserve"> 2: Allow Certified IoT applications</w:t>
      </w:r>
      <w:bookmarkEnd w:id="64"/>
      <w:bookmarkEnd w:id="65"/>
    </w:p>
    <w:p w:rsidR="00350C19" w:rsidRDefault="00B007B6" w:rsidP="00350C19">
      <w:pPr>
        <w:pStyle w:val="Heading3"/>
      </w:pPr>
      <w:bookmarkStart w:id="66" w:name="_Toc494099354"/>
      <w:bookmarkStart w:id="67" w:name="_Toc508958765"/>
      <w:r>
        <w:rPr>
          <w:lang w:val="en-US"/>
        </w:rPr>
        <w:t>6</w:t>
      </w:r>
      <w:r w:rsidR="00350C19" w:rsidRPr="00EA211F">
        <w:t>.</w:t>
      </w:r>
      <w:r w:rsidR="00350C19">
        <w:rPr>
          <w:lang w:val="en-US"/>
        </w:rPr>
        <w:t>2</w:t>
      </w:r>
      <w:r w:rsidR="00350C19" w:rsidRPr="00EA211F">
        <w:t>.</w:t>
      </w:r>
      <w:r w:rsidR="00350C19" w:rsidRPr="00EA211F">
        <w:rPr>
          <w:rFonts w:hint="eastAsia"/>
        </w:rPr>
        <w:t>1</w:t>
      </w:r>
      <w:r w:rsidR="00350C19" w:rsidRPr="00EA211F">
        <w:rPr>
          <w:rFonts w:hint="eastAsia"/>
        </w:rPr>
        <w:tab/>
      </w:r>
      <w:r w:rsidR="00350C19" w:rsidRPr="00EA211F">
        <w:t>Description</w:t>
      </w:r>
      <w:bookmarkEnd w:id="66"/>
      <w:bookmarkEnd w:id="67"/>
    </w:p>
    <w:p w:rsidR="00D41BD8" w:rsidRDefault="00D41BD8" w:rsidP="0019768F">
      <w:pPr>
        <w:overflowPunct/>
        <w:autoSpaceDE/>
        <w:adjustRightInd/>
        <w:spacing w:after="0"/>
        <w:ind w:left="720"/>
        <w:contextualSpacing/>
        <w:jc w:val="both"/>
        <w:rPr>
          <w:lang w:val="en-US"/>
        </w:rPr>
      </w:pPr>
      <w:r>
        <w:rPr>
          <w:lang w:val="en-US"/>
        </w:rPr>
        <w:t>Some specific IoT services rely on strict industry certification for the use of any IoT application. The IoT application needs to comply with specific industry regulation</w:t>
      </w:r>
      <w:r w:rsidR="003266C9">
        <w:rPr>
          <w:lang w:val="en-US"/>
        </w:rPr>
        <w:t>s</w:t>
      </w:r>
      <w:r>
        <w:rPr>
          <w:lang w:val="en-US"/>
        </w:rPr>
        <w:t>, technical specification</w:t>
      </w:r>
      <w:r w:rsidR="003266C9">
        <w:rPr>
          <w:lang w:val="en-US"/>
        </w:rPr>
        <w:t>s</w:t>
      </w:r>
      <w:r>
        <w:rPr>
          <w:lang w:val="en-US"/>
        </w:rPr>
        <w:t xml:space="preserve">, consumer rights and industry specific security policies. </w:t>
      </w:r>
      <w:bookmarkStart w:id="68" w:name="OLE_LINK23"/>
      <w:bookmarkStart w:id="69" w:name="OLE_LINK24"/>
      <w:bookmarkStart w:id="70" w:name="OLE_LINK25"/>
      <w:r>
        <w:rPr>
          <w:lang w:val="en-US"/>
        </w:rPr>
        <w:t>For example, a power station may require strict environmental and security compliance for its use</w:t>
      </w:r>
      <w:bookmarkEnd w:id="68"/>
      <w:bookmarkEnd w:id="69"/>
      <w:bookmarkEnd w:id="70"/>
      <w:r>
        <w:rPr>
          <w:lang w:val="en-US"/>
        </w:rPr>
        <w:t>.</w:t>
      </w:r>
    </w:p>
    <w:p w:rsidR="00D41BD8" w:rsidRDefault="00D41BD8" w:rsidP="0019768F">
      <w:pPr>
        <w:overflowPunct/>
        <w:autoSpaceDE/>
        <w:adjustRightInd/>
        <w:spacing w:after="0"/>
        <w:ind w:left="720"/>
        <w:contextualSpacing/>
        <w:jc w:val="both"/>
        <w:rPr>
          <w:lang w:val="en-US"/>
        </w:rPr>
      </w:pPr>
    </w:p>
    <w:p w:rsidR="00D41BD8" w:rsidRDefault="00D41BD8" w:rsidP="0019768F">
      <w:pPr>
        <w:overflowPunct/>
        <w:autoSpaceDE/>
        <w:adjustRightInd/>
        <w:spacing w:after="0"/>
        <w:ind w:left="720"/>
        <w:contextualSpacing/>
        <w:jc w:val="both"/>
        <w:rPr>
          <w:lang w:val="en-US"/>
        </w:rPr>
      </w:pPr>
      <w:r>
        <w:rPr>
          <w:lang w:val="en-US"/>
        </w:rPr>
        <w:t xml:space="preserve">To this end, test and certification bodies provide services to ensure that an IoT application </w:t>
      </w:r>
      <w:r w:rsidR="003266C9">
        <w:rPr>
          <w:lang w:val="en-US"/>
        </w:rPr>
        <w:t xml:space="preserve">is </w:t>
      </w:r>
      <w:r>
        <w:rPr>
          <w:lang w:val="en-US"/>
        </w:rPr>
        <w:t xml:space="preserve">conformant with the appropriate specifications for compliance.  </w:t>
      </w:r>
    </w:p>
    <w:p w:rsidR="00D41BD8" w:rsidRDefault="00D41BD8" w:rsidP="0019768F">
      <w:pPr>
        <w:overflowPunct/>
        <w:autoSpaceDE/>
        <w:adjustRightInd/>
        <w:spacing w:after="0"/>
        <w:ind w:left="720"/>
        <w:contextualSpacing/>
        <w:jc w:val="both"/>
        <w:rPr>
          <w:lang w:val="en-US"/>
        </w:rPr>
      </w:pPr>
    </w:p>
    <w:p w:rsidR="00D41BD8" w:rsidRDefault="00D41BD8" w:rsidP="0019768F">
      <w:pPr>
        <w:overflowPunct/>
        <w:autoSpaceDE/>
        <w:adjustRightInd/>
        <w:spacing w:after="0"/>
        <w:ind w:left="720"/>
        <w:contextualSpacing/>
        <w:jc w:val="both"/>
        <w:rPr>
          <w:lang w:val="en-US"/>
        </w:rPr>
      </w:pPr>
      <w:r>
        <w:rPr>
          <w:lang w:val="en-US"/>
        </w:rPr>
        <w:t xml:space="preserve">Today a Service Provider has no context of an unknown IoT application being compliant with any specific certifications or not. </w:t>
      </w:r>
      <w:r w:rsidR="003266C9">
        <w:rPr>
          <w:lang w:val="en-US"/>
        </w:rPr>
        <w:t>For example</w:t>
      </w:r>
      <w:r>
        <w:rPr>
          <w:lang w:val="en-US"/>
        </w:rPr>
        <w:t xml:space="preserve"> is a heart rate monitor or blood pressure monitor certified and should the data be allowed to be passed into the client’s health record. The consequence of such could be damaging to the patient, the credibility of the health care provider and IoT service provider </w:t>
      </w:r>
    </w:p>
    <w:p w:rsidR="00D41BD8" w:rsidRDefault="00D41BD8" w:rsidP="0019768F">
      <w:pPr>
        <w:overflowPunct/>
        <w:autoSpaceDE/>
        <w:adjustRightInd/>
        <w:spacing w:after="0"/>
        <w:ind w:left="720"/>
        <w:contextualSpacing/>
        <w:jc w:val="both"/>
        <w:rPr>
          <w:lang w:val="en-US"/>
        </w:rPr>
      </w:pPr>
    </w:p>
    <w:p w:rsidR="00D41BD8" w:rsidRDefault="00D41BD8" w:rsidP="0019768F">
      <w:pPr>
        <w:overflowPunct/>
        <w:autoSpaceDE/>
        <w:adjustRightInd/>
        <w:spacing w:after="0"/>
        <w:ind w:left="720"/>
        <w:contextualSpacing/>
        <w:jc w:val="both"/>
        <w:rPr>
          <w:lang w:val="en-US"/>
        </w:rPr>
      </w:pPr>
      <w:r>
        <w:rPr>
          <w:b/>
          <w:lang w:val="en-US"/>
        </w:rPr>
        <w:t xml:space="preserve">Using </w:t>
      </w:r>
      <w:r w:rsidR="003266C9">
        <w:rPr>
          <w:b/>
          <w:lang w:val="en-US"/>
        </w:rPr>
        <w:t xml:space="preserve"> the </w:t>
      </w:r>
      <w:r>
        <w:rPr>
          <w:b/>
          <w:lang w:val="en-US"/>
        </w:rPr>
        <w:t xml:space="preserve">App-ID Registry Function to verify the IoT application is certified for use. </w:t>
      </w:r>
      <w:r>
        <w:rPr>
          <w:lang w:val="en-US"/>
        </w:rPr>
        <w:t xml:space="preserve"> </w:t>
      </w:r>
    </w:p>
    <w:p w:rsidR="00D41BD8" w:rsidRDefault="00D41BD8" w:rsidP="0019768F">
      <w:pPr>
        <w:overflowPunct/>
        <w:autoSpaceDE/>
        <w:adjustRightInd/>
        <w:spacing w:after="0"/>
        <w:ind w:left="720"/>
        <w:contextualSpacing/>
        <w:jc w:val="both"/>
        <w:rPr>
          <w:lang w:val="en-US"/>
        </w:rPr>
      </w:pPr>
    </w:p>
    <w:p w:rsidR="00D41BD8" w:rsidRDefault="00D41BD8" w:rsidP="0019768F">
      <w:pPr>
        <w:overflowPunct/>
        <w:autoSpaceDE/>
        <w:adjustRightInd/>
        <w:spacing w:after="0"/>
        <w:ind w:left="720"/>
        <w:contextualSpacing/>
        <w:jc w:val="both"/>
        <w:rPr>
          <w:lang w:val="en-US"/>
        </w:rPr>
      </w:pPr>
      <w:r>
        <w:rPr>
          <w:lang w:val="en-US"/>
        </w:rPr>
        <w:t xml:space="preserve">The service provider infrastructure can verify, with the App-ID Registry </w:t>
      </w:r>
      <w:r w:rsidR="004731F1">
        <w:rPr>
          <w:lang w:val="en-US"/>
        </w:rPr>
        <w:t>F</w:t>
      </w:r>
      <w:r>
        <w:rPr>
          <w:lang w:val="en-US"/>
        </w:rPr>
        <w:t>unction, that the identity</w:t>
      </w:r>
      <w:r w:rsidR="00082844">
        <w:rPr>
          <w:lang w:val="en-US"/>
        </w:rPr>
        <w:t xml:space="preserve"> </w:t>
      </w:r>
      <w:r>
        <w:rPr>
          <w:lang w:val="en-US"/>
        </w:rPr>
        <w:t>of a connecting IoT application is certified for use and complies with specifications. The SP is able to query the App-ID Registry Function if the App-ID is registered</w:t>
      </w:r>
      <w:r w:rsidR="00345FBA">
        <w:rPr>
          <w:lang w:val="en-US"/>
        </w:rPr>
        <w:t>,</w:t>
      </w:r>
      <w:r>
        <w:rPr>
          <w:lang w:val="en-US"/>
        </w:rPr>
        <w:t xml:space="preserve"> and if so collect the metadata for a presented IoT application’s (AE-ID/App-ID). The App-ID metadata can contain information to enable the SP to verify if the connecting IoT application is certified for the specific use. The App-ID metadata can contain the following attributes to allow the SP be informed regarding the certification status and to make decisions how to allow the IoT application connect, if at all:- </w:t>
      </w:r>
    </w:p>
    <w:p w:rsidR="00D41BD8" w:rsidRDefault="00D41BD8" w:rsidP="0019768F">
      <w:pPr>
        <w:overflowPunct/>
        <w:autoSpaceDE/>
        <w:adjustRightInd/>
        <w:spacing w:after="0"/>
        <w:ind w:left="720"/>
        <w:contextualSpacing/>
        <w:jc w:val="both"/>
        <w:rPr>
          <w:lang w:val="en-US"/>
        </w:rPr>
      </w:pPr>
    </w:p>
    <w:p w:rsidR="00D41BD8" w:rsidRDefault="00D41BD8" w:rsidP="0019768F">
      <w:pPr>
        <w:numPr>
          <w:ilvl w:val="0"/>
          <w:numId w:val="14"/>
        </w:numPr>
        <w:overflowPunct/>
        <w:autoSpaceDE/>
        <w:adjustRightInd/>
        <w:spacing w:after="0"/>
        <w:contextualSpacing/>
        <w:jc w:val="both"/>
        <w:textAlignment w:val="auto"/>
        <w:rPr>
          <w:lang w:val="en-US"/>
        </w:rPr>
      </w:pPr>
      <w:r>
        <w:rPr>
          <w:b/>
          <w:lang w:val="en-US"/>
        </w:rPr>
        <w:t>Certification body</w:t>
      </w:r>
      <w:r>
        <w:rPr>
          <w:lang w:val="en-US"/>
        </w:rPr>
        <w:t>: the test and certification body that has verified the App-ID identity and the metadata profile.</w:t>
      </w:r>
    </w:p>
    <w:p w:rsidR="00D41BD8" w:rsidRDefault="00D41BD8" w:rsidP="0019768F">
      <w:pPr>
        <w:overflowPunct/>
        <w:autoSpaceDE/>
        <w:adjustRightInd/>
        <w:spacing w:after="0"/>
        <w:ind w:left="720"/>
        <w:contextualSpacing/>
        <w:jc w:val="both"/>
        <w:rPr>
          <w:lang w:val="en-US"/>
        </w:rPr>
      </w:pPr>
    </w:p>
    <w:p w:rsidR="00D41BD8" w:rsidRDefault="00D41BD8" w:rsidP="0019768F">
      <w:pPr>
        <w:numPr>
          <w:ilvl w:val="0"/>
          <w:numId w:val="14"/>
        </w:numPr>
        <w:overflowPunct/>
        <w:autoSpaceDE/>
        <w:adjustRightInd/>
        <w:spacing w:after="0"/>
        <w:contextualSpacing/>
        <w:jc w:val="both"/>
        <w:textAlignment w:val="auto"/>
        <w:rPr>
          <w:lang w:val="en-US"/>
        </w:rPr>
      </w:pPr>
      <w:r>
        <w:rPr>
          <w:b/>
          <w:lang w:val="en-US"/>
        </w:rPr>
        <w:t>Certification compliance</w:t>
      </w:r>
      <w:r>
        <w:rPr>
          <w:lang w:val="en-US"/>
        </w:rPr>
        <w:t xml:space="preserve">: List of the compliance functionality that is certified by the certification body. Not all features of the certification process may be compatible with the IoT application. It is possible only a sub set of features are compliant with the certification process. </w:t>
      </w:r>
    </w:p>
    <w:p w:rsidR="00D41BD8" w:rsidRDefault="00D41BD8" w:rsidP="0019768F">
      <w:pPr>
        <w:overflowPunct/>
        <w:autoSpaceDE/>
        <w:adjustRightInd/>
        <w:spacing w:after="0"/>
        <w:ind w:left="720"/>
        <w:contextualSpacing/>
        <w:rPr>
          <w:lang w:val="en-US"/>
        </w:rPr>
      </w:pPr>
    </w:p>
    <w:p w:rsidR="00D41BD8" w:rsidRDefault="00D41BD8" w:rsidP="0019768F">
      <w:pPr>
        <w:overflowPunct/>
        <w:autoSpaceDE/>
        <w:adjustRightInd/>
        <w:spacing w:after="0"/>
        <w:ind w:left="720"/>
        <w:contextualSpacing/>
        <w:jc w:val="both"/>
        <w:rPr>
          <w:lang w:val="en-US"/>
        </w:rPr>
      </w:pPr>
    </w:p>
    <w:p w:rsidR="00D41BD8" w:rsidRDefault="00D41BD8" w:rsidP="0019768F">
      <w:pPr>
        <w:overflowPunct/>
        <w:autoSpaceDE/>
        <w:adjustRightInd/>
        <w:spacing w:after="0"/>
        <w:ind w:left="720"/>
        <w:contextualSpacing/>
        <w:jc w:val="both"/>
        <w:rPr>
          <w:lang w:val="en-US"/>
        </w:rPr>
      </w:pPr>
      <w:r>
        <w:rPr>
          <w:lang w:val="en-US"/>
        </w:rPr>
        <w:t xml:space="preserve">Using the App-ID metadata provided by the App-ID Registry Function, the SP infrastructure can verify the App-ID certification compliance of the connecting IoT application and if it should be allowed to connect or provide any data to the IoT service.  </w:t>
      </w:r>
    </w:p>
    <w:p w:rsidR="00D41BD8" w:rsidRDefault="00D41BD8" w:rsidP="0019768F">
      <w:pPr>
        <w:overflowPunct/>
        <w:autoSpaceDE/>
        <w:adjustRightInd/>
        <w:spacing w:after="0"/>
        <w:ind w:left="720"/>
        <w:contextualSpacing/>
        <w:jc w:val="both"/>
        <w:rPr>
          <w:lang w:val="en-US"/>
        </w:rPr>
      </w:pPr>
    </w:p>
    <w:p w:rsidR="00D41BD8" w:rsidRDefault="00D41BD8" w:rsidP="00D41BD8">
      <w:pPr>
        <w:ind w:left="720"/>
        <w:rPr>
          <w:lang w:val="x-none"/>
        </w:rPr>
      </w:pPr>
      <w:r>
        <w:t>The role of the App-ID Registry Function is not to enforce the policy of the SP infrastructure, but for the SP infrastructure to be informed through the App-ID metadata profile to automate the authentication and enrolment process.</w:t>
      </w:r>
    </w:p>
    <w:p w:rsidR="00350C19" w:rsidRDefault="00350C19" w:rsidP="00350C19">
      <w:pPr>
        <w:pStyle w:val="ListParagraph"/>
        <w:jc w:val="both"/>
        <w:rPr>
          <w:sz w:val="20"/>
          <w:szCs w:val="20"/>
        </w:rPr>
      </w:pPr>
    </w:p>
    <w:p w:rsidR="00350C19" w:rsidRPr="00CB5D36" w:rsidRDefault="00B007B6" w:rsidP="00350C19">
      <w:pPr>
        <w:pStyle w:val="Heading2"/>
      </w:pPr>
      <w:bookmarkStart w:id="71" w:name="_Toc494099355"/>
      <w:bookmarkStart w:id="72" w:name="_Toc508958766"/>
      <w:r>
        <w:rPr>
          <w:lang w:val="en-US"/>
        </w:rPr>
        <w:lastRenderedPageBreak/>
        <w:t>6</w:t>
      </w:r>
      <w:r w:rsidR="00350C19" w:rsidRPr="00EA211F">
        <w:rPr>
          <w:rFonts w:hint="eastAsia"/>
        </w:rPr>
        <w:t>.</w:t>
      </w:r>
      <w:r w:rsidR="00350C19">
        <w:t>3</w:t>
      </w:r>
      <w:r w:rsidR="00350C19" w:rsidRPr="00EA211F">
        <w:rPr>
          <w:rFonts w:hint="eastAsia"/>
        </w:rPr>
        <w:tab/>
        <w:t>Use Cas</w:t>
      </w:r>
      <w:r w:rsidR="00350C19">
        <w:rPr>
          <w:rFonts w:hint="eastAsia"/>
        </w:rPr>
        <w:t>e</w:t>
      </w:r>
      <w:r w:rsidR="00350C19">
        <w:t xml:space="preserve"> 3: Registration Enrolment using the App-ID Metadata</w:t>
      </w:r>
      <w:bookmarkEnd w:id="71"/>
      <w:bookmarkEnd w:id="72"/>
    </w:p>
    <w:p w:rsidR="00350C19" w:rsidRDefault="00B007B6" w:rsidP="00350C19">
      <w:pPr>
        <w:pStyle w:val="Heading3"/>
      </w:pPr>
      <w:bookmarkStart w:id="73" w:name="_Toc494099356"/>
      <w:bookmarkStart w:id="74" w:name="_Toc508958767"/>
      <w:r>
        <w:rPr>
          <w:lang w:val="en-US"/>
        </w:rPr>
        <w:t>6</w:t>
      </w:r>
      <w:r w:rsidR="00350C19" w:rsidRPr="00EA211F">
        <w:t>.</w:t>
      </w:r>
      <w:r w:rsidR="00350C19">
        <w:rPr>
          <w:lang w:val="en-US"/>
        </w:rPr>
        <w:t>3</w:t>
      </w:r>
      <w:r w:rsidR="00350C19" w:rsidRPr="00EA211F">
        <w:t>.</w:t>
      </w:r>
      <w:r w:rsidR="00350C19" w:rsidRPr="00EA211F">
        <w:rPr>
          <w:rFonts w:hint="eastAsia"/>
        </w:rPr>
        <w:t>1</w:t>
      </w:r>
      <w:r w:rsidR="00350C19" w:rsidRPr="00EA211F">
        <w:rPr>
          <w:rFonts w:hint="eastAsia"/>
        </w:rPr>
        <w:tab/>
      </w:r>
      <w:r w:rsidR="00350C19" w:rsidRPr="00EA211F">
        <w:t>Description</w:t>
      </w:r>
      <w:bookmarkEnd w:id="73"/>
      <w:bookmarkEnd w:id="74"/>
    </w:p>
    <w:p w:rsidR="00350C19" w:rsidRPr="00873DE4" w:rsidRDefault="00350C19" w:rsidP="00350C19">
      <w:pPr>
        <w:pStyle w:val="ListParagraph"/>
        <w:jc w:val="both"/>
        <w:rPr>
          <w:sz w:val="20"/>
          <w:szCs w:val="20"/>
        </w:rPr>
      </w:pPr>
      <w:bookmarkStart w:id="75" w:name="OLE_LINK3"/>
      <w:bookmarkStart w:id="76" w:name="OLE_LINK4"/>
      <w:bookmarkStart w:id="77" w:name="OLE_LINK7"/>
      <w:bookmarkStart w:id="78" w:name="OLE_LINK8"/>
      <w:bookmarkStart w:id="79" w:name="OLE_LINK9"/>
      <w:bookmarkStart w:id="80" w:name="OLE_LINK10"/>
      <w:r w:rsidRPr="00873DE4">
        <w:rPr>
          <w:sz w:val="20"/>
          <w:szCs w:val="20"/>
        </w:rPr>
        <w:t>Where the connecting IoT application</w:t>
      </w:r>
      <w:bookmarkEnd w:id="75"/>
      <w:bookmarkEnd w:id="76"/>
      <w:bookmarkEnd w:id="77"/>
      <w:r w:rsidRPr="00873DE4">
        <w:rPr>
          <w:sz w:val="20"/>
          <w:szCs w:val="20"/>
        </w:rPr>
        <w:t xml:space="preserve"> (AE-ID/App</w:t>
      </w:r>
      <w:r>
        <w:rPr>
          <w:sz w:val="20"/>
          <w:szCs w:val="20"/>
        </w:rPr>
        <w:t>-</w:t>
      </w:r>
      <w:r w:rsidRPr="00873DE4">
        <w:rPr>
          <w:sz w:val="20"/>
          <w:szCs w:val="20"/>
        </w:rPr>
        <w:t xml:space="preserve">ID) is unknown to the </w:t>
      </w:r>
      <w:bookmarkEnd w:id="78"/>
      <w:bookmarkEnd w:id="79"/>
      <w:bookmarkEnd w:id="80"/>
      <w:r w:rsidRPr="00873DE4">
        <w:rPr>
          <w:sz w:val="20"/>
          <w:szCs w:val="20"/>
        </w:rPr>
        <w:t xml:space="preserve">oneM2M system, the administrator of the system, </w:t>
      </w:r>
      <w:r w:rsidR="00AC4858">
        <w:rPr>
          <w:sz w:val="20"/>
          <w:szCs w:val="20"/>
        </w:rPr>
        <w:t>should</w:t>
      </w:r>
      <w:r w:rsidR="00AC4858" w:rsidRPr="00873DE4">
        <w:rPr>
          <w:sz w:val="20"/>
          <w:szCs w:val="20"/>
        </w:rPr>
        <w:t xml:space="preserve"> </w:t>
      </w:r>
      <w:r w:rsidRPr="00873DE4">
        <w:rPr>
          <w:sz w:val="20"/>
          <w:szCs w:val="20"/>
        </w:rPr>
        <w:t xml:space="preserve">configure the IoT application identity service subscription rule &lt;serviceSubscribedAppRule&gt; to allow the IoT application to connect with the </w:t>
      </w:r>
      <w:r>
        <w:rPr>
          <w:sz w:val="20"/>
          <w:szCs w:val="20"/>
        </w:rPr>
        <w:t>S</w:t>
      </w:r>
      <w:r w:rsidR="00345FBA">
        <w:rPr>
          <w:sz w:val="20"/>
          <w:szCs w:val="20"/>
        </w:rPr>
        <w:t>P</w:t>
      </w:r>
      <w:r>
        <w:rPr>
          <w:sz w:val="20"/>
          <w:szCs w:val="20"/>
        </w:rPr>
        <w:t xml:space="preserve"> infrastructure </w:t>
      </w:r>
      <w:r w:rsidRPr="00873DE4">
        <w:rPr>
          <w:sz w:val="20"/>
          <w:szCs w:val="20"/>
        </w:rPr>
        <w:t xml:space="preserve">and provide its data. </w:t>
      </w:r>
      <w:bookmarkStart w:id="81" w:name="OLE_LINK11"/>
      <w:bookmarkStart w:id="82" w:name="OLE_LINK12"/>
      <w:bookmarkStart w:id="83" w:name="OLE_LINK13"/>
    </w:p>
    <w:p w:rsidR="00350C19" w:rsidRPr="00873DE4" w:rsidRDefault="00350C19" w:rsidP="00350C19">
      <w:pPr>
        <w:pStyle w:val="ListParagraph"/>
        <w:jc w:val="both"/>
        <w:rPr>
          <w:sz w:val="20"/>
          <w:szCs w:val="20"/>
        </w:rPr>
      </w:pPr>
    </w:p>
    <w:p w:rsidR="00350C19" w:rsidRPr="00873DE4" w:rsidRDefault="00350C19" w:rsidP="00350C19">
      <w:pPr>
        <w:pStyle w:val="ListParagraph"/>
        <w:jc w:val="both"/>
        <w:rPr>
          <w:sz w:val="20"/>
          <w:szCs w:val="20"/>
        </w:rPr>
      </w:pPr>
      <w:bookmarkStart w:id="84" w:name="OLE_LINK14"/>
      <w:bookmarkStart w:id="85" w:name="OLE_LINK15"/>
      <w:bookmarkStart w:id="86" w:name="OLE_LINK16"/>
      <w:r w:rsidRPr="00873DE4">
        <w:rPr>
          <w:sz w:val="20"/>
          <w:szCs w:val="20"/>
        </w:rPr>
        <w:t xml:space="preserve">The &lt;serviceSubscribedAppRule&gt; resource represents a rule that defines allowed Role-ID, App-ID and AE-ID combinations that are acceptable for registering an AE on a </w:t>
      </w:r>
      <w:r>
        <w:rPr>
          <w:sz w:val="20"/>
          <w:szCs w:val="20"/>
        </w:rPr>
        <w:t>service provider’s infrastructure</w:t>
      </w:r>
      <w:r w:rsidRPr="00873DE4">
        <w:rPr>
          <w:sz w:val="20"/>
          <w:szCs w:val="20"/>
        </w:rPr>
        <w:t>.</w:t>
      </w:r>
    </w:p>
    <w:p w:rsidR="00350C19" w:rsidRPr="00873DE4" w:rsidRDefault="00350C19" w:rsidP="00350C19">
      <w:pPr>
        <w:pStyle w:val="ListParagraph"/>
        <w:jc w:val="both"/>
        <w:rPr>
          <w:sz w:val="20"/>
          <w:szCs w:val="20"/>
        </w:rPr>
      </w:pPr>
    </w:p>
    <w:p w:rsidR="00350C19" w:rsidRDefault="0091563F" w:rsidP="0019768F">
      <w:pPr>
        <w:pStyle w:val="ListParagraph"/>
        <w:jc w:val="center"/>
        <w:rPr>
          <w:sz w:val="20"/>
          <w:szCs w:val="20"/>
        </w:rPr>
      </w:pPr>
      <w:r w:rsidRPr="007257EB">
        <w:rPr>
          <w:noProof/>
          <w:sz w:val="20"/>
          <w:szCs w:val="20"/>
          <w:lang w:val="en-GB" w:eastAsia="en-GB"/>
        </w:rPr>
        <w:drawing>
          <wp:inline distT="0" distB="0" distL="0" distR="0" wp14:anchorId="3ADE8058" wp14:editId="04EE86F7">
            <wp:extent cx="3206750" cy="2694305"/>
            <wp:effectExtent l="0" t="0" r="0" b="0"/>
            <wp:docPr id="3"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0" cy="2694305"/>
                    </a:xfrm>
                    <a:prstGeom prst="rect">
                      <a:avLst/>
                    </a:prstGeom>
                    <a:noFill/>
                    <a:ln>
                      <a:noFill/>
                    </a:ln>
                  </pic:spPr>
                </pic:pic>
              </a:graphicData>
            </a:graphic>
          </wp:inline>
        </w:drawing>
      </w:r>
    </w:p>
    <w:p w:rsidR="00350C19" w:rsidRPr="00B759E5" w:rsidRDefault="00350C19" w:rsidP="00350C19">
      <w:pPr>
        <w:jc w:val="center"/>
        <w:rPr>
          <w:b/>
          <w:lang w:eastAsia="zh-CN"/>
        </w:rPr>
      </w:pPr>
      <w:r w:rsidRPr="00B759E5">
        <w:rPr>
          <w:b/>
          <w:lang w:eastAsia="zh-CN"/>
        </w:rPr>
        <w:t xml:space="preserve">Figure </w:t>
      </w:r>
      <w:r w:rsidR="009F6828">
        <w:rPr>
          <w:b/>
          <w:lang w:eastAsia="zh-CN"/>
        </w:rPr>
        <w:t>6</w:t>
      </w:r>
      <w:r w:rsidRPr="00B759E5">
        <w:rPr>
          <w:b/>
          <w:lang w:eastAsia="zh-CN"/>
        </w:rPr>
        <w:t>.</w:t>
      </w:r>
      <w:r w:rsidR="00461BA8">
        <w:rPr>
          <w:b/>
          <w:lang w:eastAsia="zh-CN"/>
        </w:rPr>
        <w:t>3</w:t>
      </w:r>
      <w:r w:rsidRPr="00B759E5">
        <w:rPr>
          <w:rFonts w:hint="eastAsia"/>
          <w:b/>
          <w:lang w:eastAsia="zh-CN"/>
        </w:rPr>
        <w:t>.</w:t>
      </w:r>
      <w:r>
        <w:rPr>
          <w:b/>
          <w:lang w:eastAsia="zh-CN"/>
        </w:rPr>
        <w:t>1</w:t>
      </w:r>
      <w:r w:rsidR="00345FBA">
        <w:rPr>
          <w:b/>
          <w:lang w:eastAsia="zh-CN"/>
        </w:rPr>
        <w:t>-1</w:t>
      </w:r>
      <w:r w:rsidRPr="00B759E5">
        <w:rPr>
          <w:b/>
          <w:lang w:eastAsia="zh-CN"/>
        </w:rPr>
        <w:t xml:space="preserve">: </w:t>
      </w:r>
      <w:r>
        <w:rPr>
          <w:b/>
          <w:lang w:eastAsia="zh-CN"/>
        </w:rPr>
        <w:t xml:space="preserve">Service Subscription App Rule </w:t>
      </w:r>
    </w:p>
    <w:p w:rsidR="00350C19" w:rsidRPr="00873DE4" w:rsidRDefault="00350C19" w:rsidP="00350C19">
      <w:pPr>
        <w:pStyle w:val="ListParagraph"/>
        <w:ind w:left="0"/>
        <w:jc w:val="both"/>
        <w:rPr>
          <w:sz w:val="20"/>
          <w:szCs w:val="20"/>
        </w:rPr>
      </w:pPr>
      <w:bookmarkStart w:id="87" w:name="OLE_LINK17"/>
      <w:bookmarkStart w:id="88" w:name="OLE_LINK18"/>
      <w:bookmarkStart w:id="89" w:name="OLE_LINK19"/>
      <w:bookmarkEnd w:id="84"/>
      <w:bookmarkEnd w:id="85"/>
      <w:bookmarkEnd w:id="86"/>
    </w:p>
    <w:p w:rsidR="00350C19" w:rsidRPr="00873DE4" w:rsidRDefault="00350C19" w:rsidP="00350C19">
      <w:pPr>
        <w:pStyle w:val="ListParagraph"/>
        <w:jc w:val="both"/>
        <w:rPr>
          <w:sz w:val="20"/>
          <w:szCs w:val="20"/>
        </w:rPr>
      </w:pPr>
      <w:r w:rsidRPr="00873DE4">
        <w:rPr>
          <w:sz w:val="20"/>
          <w:szCs w:val="20"/>
        </w:rPr>
        <w:t xml:space="preserve">The rule contained in a &lt;serviceSubscribedAppRule&gt; resource defines a mapping between: </w:t>
      </w:r>
    </w:p>
    <w:p w:rsidR="00350C19" w:rsidRPr="00873DE4" w:rsidRDefault="00350C19" w:rsidP="00350C19">
      <w:pPr>
        <w:pStyle w:val="ListParagraph"/>
        <w:jc w:val="both"/>
        <w:rPr>
          <w:sz w:val="20"/>
          <w:szCs w:val="20"/>
        </w:rPr>
      </w:pPr>
      <w:r w:rsidRPr="00873DE4">
        <w:rPr>
          <w:sz w:val="20"/>
          <w:szCs w:val="20"/>
        </w:rPr>
        <w:t>a) one or more Credential-ID(s); and</w:t>
      </w:r>
    </w:p>
    <w:p w:rsidR="00350C19" w:rsidRPr="00873DE4" w:rsidRDefault="00350C19" w:rsidP="00350C19">
      <w:pPr>
        <w:pStyle w:val="ListParagraph"/>
        <w:jc w:val="both"/>
        <w:rPr>
          <w:sz w:val="20"/>
          <w:szCs w:val="20"/>
        </w:rPr>
      </w:pPr>
      <w:r w:rsidRPr="00873DE4">
        <w:rPr>
          <w:sz w:val="20"/>
          <w:szCs w:val="20"/>
        </w:rPr>
        <w:t>b) combinations of one or more Role-ID(s), one or more App-ID(s) and one or more AE-ID(s) which are allowed to be used for registering AE(s) that issued a registration request via a Security Association established with the credentials associated with the Credential-ID(s)</w:t>
      </w:r>
      <w:r w:rsidR="00345FBA">
        <w:rPr>
          <w:sz w:val="20"/>
          <w:szCs w:val="20"/>
        </w:rPr>
        <w:t>.</w:t>
      </w:r>
    </w:p>
    <w:bookmarkEnd w:id="87"/>
    <w:bookmarkEnd w:id="88"/>
    <w:bookmarkEnd w:id="89"/>
    <w:p w:rsidR="00350C19" w:rsidRPr="00873DE4" w:rsidRDefault="00350C19" w:rsidP="00350C19">
      <w:pPr>
        <w:pStyle w:val="ListParagraph"/>
        <w:jc w:val="both"/>
        <w:rPr>
          <w:sz w:val="20"/>
          <w:szCs w:val="20"/>
        </w:rPr>
      </w:pPr>
    </w:p>
    <w:p w:rsidR="00350C19" w:rsidRPr="00873DE4" w:rsidRDefault="00350C19" w:rsidP="00350C19">
      <w:pPr>
        <w:pStyle w:val="ListParagraph"/>
        <w:jc w:val="both"/>
        <w:rPr>
          <w:sz w:val="20"/>
          <w:szCs w:val="20"/>
        </w:rPr>
      </w:pPr>
      <w:r w:rsidRPr="00873DE4">
        <w:rPr>
          <w:sz w:val="20"/>
          <w:szCs w:val="20"/>
        </w:rPr>
        <w:t xml:space="preserve">Today if the </w:t>
      </w:r>
      <w:r>
        <w:rPr>
          <w:sz w:val="20"/>
          <w:szCs w:val="20"/>
        </w:rPr>
        <w:t xml:space="preserve">Service Provider </w:t>
      </w:r>
      <w:r w:rsidRPr="00873DE4">
        <w:rPr>
          <w:sz w:val="20"/>
          <w:szCs w:val="20"/>
        </w:rPr>
        <w:t>has no prior knowledge of the IoT application (AE-ID/App</w:t>
      </w:r>
      <w:r>
        <w:rPr>
          <w:sz w:val="20"/>
          <w:szCs w:val="20"/>
        </w:rPr>
        <w:t>-</w:t>
      </w:r>
      <w:r w:rsidRPr="00873DE4">
        <w:rPr>
          <w:sz w:val="20"/>
          <w:szCs w:val="20"/>
        </w:rPr>
        <w:t xml:space="preserve">ID) then the IoT application will not authenticate and the administrator would need to manually configure the &lt;serviceSubscribedAppRule&gt;. This presents issues for both scale through mass enrolment and/or enrolment of unknown IoT applications. </w:t>
      </w:r>
    </w:p>
    <w:bookmarkEnd w:id="81"/>
    <w:bookmarkEnd w:id="82"/>
    <w:bookmarkEnd w:id="83"/>
    <w:p w:rsidR="00350C19" w:rsidRPr="00873DE4" w:rsidRDefault="00350C19" w:rsidP="00350C19">
      <w:pPr>
        <w:pStyle w:val="ListParagraph"/>
        <w:jc w:val="both"/>
        <w:rPr>
          <w:sz w:val="20"/>
          <w:szCs w:val="20"/>
        </w:rPr>
      </w:pPr>
    </w:p>
    <w:p w:rsidR="00350C19" w:rsidRPr="00873DE4" w:rsidRDefault="00350C19" w:rsidP="00350C19">
      <w:pPr>
        <w:pStyle w:val="ListParagraph"/>
        <w:jc w:val="both"/>
        <w:rPr>
          <w:sz w:val="20"/>
          <w:szCs w:val="20"/>
        </w:rPr>
      </w:pPr>
      <w:r w:rsidRPr="00873DE4">
        <w:rPr>
          <w:b/>
          <w:sz w:val="20"/>
          <w:szCs w:val="20"/>
        </w:rPr>
        <w:t xml:space="preserve">Using </w:t>
      </w:r>
      <w:r w:rsidR="00345FBA">
        <w:rPr>
          <w:b/>
          <w:sz w:val="20"/>
          <w:szCs w:val="20"/>
        </w:rPr>
        <w:t xml:space="preserve">the </w:t>
      </w:r>
      <w:r w:rsidRPr="00873DE4">
        <w:rPr>
          <w:b/>
          <w:sz w:val="20"/>
          <w:szCs w:val="20"/>
        </w:rPr>
        <w:t>App-ID Registry Function to auto enroll &lt;serviceSubscribedAppRule</w:t>
      </w:r>
      <w:r w:rsidRPr="00873DE4">
        <w:rPr>
          <w:sz w:val="20"/>
          <w:szCs w:val="20"/>
        </w:rPr>
        <w:t xml:space="preserve">&gt; </w:t>
      </w:r>
    </w:p>
    <w:p w:rsidR="00350C19" w:rsidRPr="00873DE4" w:rsidRDefault="00350C19" w:rsidP="00350C19">
      <w:pPr>
        <w:pStyle w:val="ListParagraph"/>
        <w:jc w:val="both"/>
        <w:rPr>
          <w:sz w:val="20"/>
          <w:szCs w:val="20"/>
        </w:rPr>
      </w:pPr>
      <w:r w:rsidRPr="00873DE4">
        <w:rPr>
          <w:sz w:val="20"/>
          <w:szCs w:val="20"/>
        </w:rPr>
        <w:t xml:space="preserve">By connecting with the App-ID </w:t>
      </w:r>
      <w:r>
        <w:rPr>
          <w:sz w:val="20"/>
          <w:szCs w:val="20"/>
        </w:rPr>
        <w:t>R</w:t>
      </w:r>
      <w:r w:rsidRPr="00873DE4">
        <w:rPr>
          <w:sz w:val="20"/>
          <w:szCs w:val="20"/>
        </w:rPr>
        <w:t xml:space="preserve">egistry </w:t>
      </w:r>
      <w:r>
        <w:rPr>
          <w:sz w:val="20"/>
          <w:szCs w:val="20"/>
        </w:rPr>
        <w:t>F</w:t>
      </w:r>
      <w:r w:rsidRPr="00873DE4">
        <w:rPr>
          <w:sz w:val="20"/>
          <w:szCs w:val="20"/>
        </w:rPr>
        <w:t xml:space="preserve">unction, </w:t>
      </w:r>
      <w:r>
        <w:rPr>
          <w:sz w:val="20"/>
          <w:szCs w:val="20"/>
        </w:rPr>
        <w:t xml:space="preserve">the service provider infrastructure </w:t>
      </w:r>
      <w:r w:rsidRPr="00873DE4">
        <w:rPr>
          <w:sz w:val="20"/>
          <w:szCs w:val="20"/>
        </w:rPr>
        <w:t>can query the metadata for a presented IoT application’s (AE-ID/App</w:t>
      </w:r>
      <w:r>
        <w:rPr>
          <w:sz w:val="20"/>
          <w:szCs w:val="20"/>
        </w:rPr>
        <w:t>-</w:t>
      </w:r>
      <w:r w:rsidRPr="00873DE4">
        <w:rPr>
          <w:sz w:val="20"/>
          <w:szCs w:val="20"/>
        </w:rPr>
        <w:t xml:space="preserve">ID) to auto-populate the service subscription. </w:t>
      </w:r>
    </w:p>
    <w:p w:rsidR="00350C19" w:rsidRPr="00873DE4" w:rsidRDefault="00350C19" w:rsidP="00350C19">
      <w:pPr>
        <w:pStyle w:val="ListParagraph"/>
        <w:jc w:val="both"/>
        <w:rPr>
          <w:sz w:val="20"/>
          <w:szCs w:val="20"/>
        </w:rPr>
      </w:pPr>
    </w:p>
    <w:p w:rsidR="00350C19" w:rsidRPr="00873DE4" w:rsidRDefault="00350C19" w:rsidP="00350C19">
      <w:pPr>
        <w:pStyle w:val="ListParagraph"/>
        <w:jc w:val="both"/>
        <w:rPr>
          <w:sz w:val="20"/>
          <w:szCs w:val="20"/>
        </w:rPr>
      </w:pPr>
      <w:r w:rsidRPr="00873DE4">
        <w:rPr>
          <w:sz w:val="20"/>
          <w:szCs w:val="20"/>
        </w:rPr>
        <w:t>Where the AE-ID/App</w:t>
      </w:r>
      <w:r>
        <w:rPr>
          <w:sz w:val="20"/>
          <w:szCs w:val="20"/>
        </w:rPr>
        <w:t>-</w:t>
      </w:r>
      <w:r w:rsidRPr="00873DE4">
        <w:rPr>
          <w:sz w:val="20"/>
          <w:szCs w:val="20"/>
        </w:rPr>
        <w:t xml:space="preserve">ID are unknown to the </w:t>
      </w:r>
      <w:r>
        <w:rPr>
          <w:sz w:val="20"/>
          <w:szCs w:val="20"/>
        </w:rPr>
        <w:t>SP infrastructure</w:t>
      </w:r>
      <w:r w:rsidRPr="00873DE4">
        <w:rPr>
          <w:sz w:val="20"/>
          <w:szCs w:val="20"/>
        </w:rPr>
        <w:t>. Using the App</w:t>
      </w:r>
      <w:r>
        <w:rPr>
          <w:sz w:val="20"/>
          <w:szCs w:val="20"/>
        </w:rPr>
        <w:t>-</w:t>
      </w:r>
      <w:r w:rsidRPr="00873DE4">
        <w:rPr>
          <w:sz w:val="20"/>
          <w:szCs w:val="20"/>
        </w:rPr>
        <w:t xml:space="preserve">ID </w:t>
      </w:r>
      <w:r>
        <w:rPr>
          <w:sz w:val="20"/>
          <w:szCs w:val="20"/>
        </w:rPr>
        <w:t>R</w:t>
      </w:r>
      <w:r w:rsidRPr="00873DE4">
        <w:rPr>
          <w:sz w:val="20"/>
          <w:szCs w:val="20"/>
        </w:rPr>
        <w:t xml:space="preserve">egistry </w:t>
      </w:r>
      <w:r>
        <w:rPr>
          <w:sz w:val="20"/>
          <w:szCs w:val="20"/>
        </w:rPr>
        <w:t>Function</w:t>
      </w:r>
      <w:r w:rsidRPr="00873DE4">
        <w:rPr>
          <w:sz w:val="20"/>
          <w:szCs w:val="20"/>
        </w:rPr>
        <w:t xml:space="preserve"> will enable the &lt;serviceSubscribedAppRule&gt; to be auto-populated from the metadata provided from the App</w:t>
      </w:r>
      <w:r>
        <w:rPr>
          <w:sz w:val="20"/>
          <w:szCs w:val="20"/>
        </w:rPr>
        <w:t>-</w:t>
      </w:r>
      <w:r w:rsidRPr="00873DE4">
        <w:rPr>
          <w:sz w:val="20"/>
          <w:szCs w:val="20"/>
        </w:rPr>
        <w:t xml:space="preserve">ID Registry Function. </w:t>
      </w:r>
    </w:p>
    <w:p w:rsidR="00350C19" w:rsidRDefault="00350C19" w:rsidP="00350C19">
      <w:pPr>
        <w:pStyle w:val="ListParagraph"/>
        <w:jc w:val="both"/>
        <w:rPr>
          <w:sz w:val="20"/>
          <w:szCs w:val="20"/>
        </w:rPr>
      </w:pPr>
    </w:p>
    <w:p w:rsidR="00350C19" w:rsidRPr="00CB5D36" w:rsidRDefault="00B007B6" w:rsidP="00350C19">
      <w:pPr>
        <w:pStyle w:val="Heading2"/>
      </w:pPr>
      <w:bookmarkStart w:id="90" w:name="_Toc494099357"/>
      <w:bookmarkStart w:id="91" w:name="_Toc508958768"/>
      <w:r>
        <w:rPr>
          <w:lang w:val="en-US"/>
        </w:rPr>
        <w:t>6</w:t>
      </w:r>
      <w:r w:rsidR="00350C19" w:rsidRPr="00EA211F">
        <w:rPr>
          <w:rFonts w:hint="eastAsia"/>
        </w:rPr>
        <w:t>.</w:t>
      </w:r>
      <w:r w:rsidR="00350C19">
        <w:t>4</w:t>
      </w:r>
      <w:r w:rsidR="00350C19" w:rsidRPr="00EA211F">
        <w:rPr>
          <w:rFonts w:hint="eastAsia"/>
        </w:rPr>
        <w:tab/>
        <w:t>Use Cas</w:t>
      </w:r>
      <w:r w:rsidR="00350C19">
        <w:rPr>
          <w:rFonts w:hint="eastAsia"/>
        </w:rPr>
        <w:t xml:space="preserve">e </w:t>
      </w:r>
      <w:r w:rsidR="00350C19">
        <w:t xml:space="preserve">4: </w:t>
      </w:r>
      <w:r w:rsidR="00350C19" w:rsidRPr="006905FE">
        <w:t>IoT Data model mapping to oneM2M ontology</w:t>
      </w:r>
      <w:bookmarkEnd w:id="90"/>
      <w:bookmarkEnd w:id="91"/>
      <w:r w:rsidR="00350C19" w:rsidRPr="006905FE">
        <w:t xml:space="preserve">   </w:t>
      </w:r>
    </w:p>
    <w:p w:rsidR="00350C19" w:rsidRDefault="00B007B6" w:rsidP="00350C19">
      <w:pPr>
        <w:pStyle w:val="Heading3"/>
      </w:pPr>
      <w:bookmarkStart w:id="92" w:name="_Toc494099358"/>
      <w:bookmarkStart w:id="93" w:name="_Toc508958769"/>
      <w:r>
        <w:rPr>
          <w:lang w:val="en-US"/>
        </w:rPr>
        <w:t>6</w:t>
      </w:r>
      <w:r w:rsidR="00350C19" w:rsidRPr="00EA211F">
        <w:t>.</w:t>
      </w:r>
      <w:r w:rsidR="00350C19">
        <w:rPr>
          <w:lang w:val="en-US"/>
        </w:rPr>
        <w:t>4</w:t>
      </w:r>
      <w:r w:rsidR="00350C19" w:rsidRPr="00EA211F">
        <w:t>.</w:t>
      </w:r>
      <w:r w:rsidR="00350C19" w:rsidRPr="00EA211F">
        <w:rPr>
          <w:rFonts w:hint="eastAsia"/>
        </w:rPr>
        <w:t>1</w:t>
      </w:r>
      <w:r w:rsidR="00350C19" w:rsidRPr="00EA211F">
        <w:rPr>
          <w:rFonts w:hint="eastAsia"/>
        </w:rPr>
        <w:tab/>
      </w:r>
      <w:r w:rsidR="00350C19" w:rsidRPr="00EA211F">
        <w:t>Description</w:t>
      </w:r>
      <w:bookmarkEnd w:id="92"/>
      <w:bookmarkEnd w:id="93"/>
    </w:p>
    <w:p w:rsidR="00D41BD8" w:rsidRDefault="00D41BD8" w:rsidP="00D41BD8">
      <w:pPr>
        <w:pStyle w:val="ListParagraph"/>
        <w:jc w:val="both"/>
        <w:rPr>
          <w:sz w:val="20"/>
          <w:szCs w:val="20"/>
        </w:rPr>
      </w:pPr>
      <w:r>
        <w:rPr>
          <w:sz w:val="20"/>
          <w:szCs w:val="20"/>
        </w:rPr>
        <w:t xml:space="preserve">IoT applications of the same type and functionality may all have different data models to represent their information with the Service Providers infrastructure. For example a light switch from different manufacturers may present on/off as 1/0 (One/Zero) or true/false, or some other representation. Although oneM2M has defined </w:t>
      </w:r>
      <w:r>
        <w:rPr>
          <w:sz w:val="20"/>
          <w:szCs w:val="20"/>
        </w:rPr>
        <w:lastRenderedPageBreak/>
        <w:t>data models/ontologies for specific IoT application class types, this may not be followed b</w:t>
      </w:r>
      <w:r w:rsidR="00345FBA">
        <w:rPr>
          <w:sz w:val="20"/>
          <w:szCs w:val="20"/>
        </w:rPr>
        <w:t>y</w:t>
      </w:r>
      <w:r>
        <w:rPr>
          <w:sz w:val="20"/>
          <w:szCs w:val="20"/>
        </w:rPr>
        <w:t xml:space="preserve"> the IoT application developer and</w:t>
      </w:r>
      <w:r w:rsidR="00345FBA">
        <w:rPr>
          <w:sz w:val="20"/>
          <w:szCs w:val="20"/>
        </w:rPr>
        <w:t>/</w:t>
      </w:r>
      <w:r>
        <w:rPr>
          <w:sz w:val="20"/>
          <w:szCs w:val="20"/>
        </w:rPr>
        <w:t xml:space="preserve">or could contain proprietary extensions to differentiate itself in the market. </w:t>
      </w:r>
    </w:p>
    <w:p w:rsidR="00D41BD8" w:rsidRDefault="00D41BD8" w:rsidP="00D41BD8">
      <w:pPr>
        <w:pStyle w:val="ListParagraph"/>
        <w:jc w:val="both"/>
        <w:rPr>
          <w:sz w:val="20"/>
          <w:szCs w:val="20"/>
        </w:rPr>
      </w:pPr>
    </w:p>
    <w:p w:rsidR="00D41BD8" w:rsidRDefault="00D41BD8" w:rsidP="00D41BD8">
      <w:pPr>
        <w:pStyle w:val="ListParagraph"/>
        <w:jc w:val="both"/>
        <w:rPr>
          <w:sz w:val="20"/>
          <w:szCs w:val="20"/>
        </w:rPr>
      </w:pPr>
      <w:r>
        <w:rPr>
          <w:sz w:val="20"/>
          <w:szCs w:val="20"/>
        </w:rPr>
        <w:t>More so when the IoT is not natively oneM2M and is connected via an interworking function. The data may not have any representations</w:t>
      </w:r>
      <w:r w:rsidR="00082844">
        <w:rPr>
          <w:sz w:val="20"/>
          <w:szCs w:val="20"/>
        </w:rPr>
        <w:t>,</w:t>
      </w:r>
      <w:r>
        <w:rPr>
          <w:sz w:val="20"/>
          <w:szCs w:val="20"/>
        </w:rPr>
        <w:t xml:space="preserve"> which match the defined oneM2M ontology definitions. </w:t>
      </w:r>
    </w:p>
    <w:p w:rsidR="00D41BD8" w:rsidRDefault="00D41BD8" w:rsidP="00D41BD8">
      <w:pPr>
        <w:pStyle w:val="ListParagraph"/>
        <w:jc w:val="both"/>
        <w:rPr>
          <w:sz w:val="20"/>
          <w:szCs w:val="20"/>
        </w:rPr>
      </w:pPr>
    </w:p>
    <w:p w:rsidR="00D41BD8" w:rsidRDefault="00D41BD8" w:rsidP="00D41BD8">
      <w:pPr>
        <w:pStyle w:val="ListParagraph"/>
        <w:jc w:val="both"/>
        <w:rPr>
          <w:sz w:val="20"/>
          <w:szCs w:val="20"/>
        </w:rPr>
      </w:pPr>
      <w:r>
        <w:rPr>
          <w:sz w:val="20"/>
          <w:szCs w:val="20"/>
        </w:rPr>
        <w:t xml:space="preserve">Although it is possible to do this </w:t>
      </w:r>
      <w:r w:rsidR="00345FBA">
        <w:rPr>
          <w:sz w:val="20"/>
          <w:szCs w:val="20"/>
        </w:rPr>
        <w:t>manually</w:t>
      </w:r>
      <w:r>
        <w:rPr>
          <w:sz w:val="20"/>
          <w:szCs w:val="20"/>
        </w:rPr>
        <w:t xml:space="preserve">, it would require prior knowledge of the connecting IoT application type/model and possibly the software version. </w:t>
      </w:r>
    </w:p>
    <w:p w:rsidR="00D41BD8" w:rsidRDefault="00D41BD8" w:rsidP="00D41BD8">
      <w:pPr>
        <w:pStyle w:val="ListParagraph"/>
        <w:jc w:val="both"/>
        <w:rPr>
          <w:sz w:val="20"/>
          <w:szCs w:val="20"/>
        </w:rPr>
      </w:pPr>
    </w:p>
    <w:p w:rsidR="00D41BD8" w:rsidRDefault="00D41BD8" w:rsidP="00D41BD8">
      <w:pPr>
        <w:pStyle w:val="ListParagraph"/>
        <w:jc w:val="both"/>
        <w:rPr>
          <w:b/>
          <w:sz w:val="20"/>
          <w:szCs w:val="20"/>
        </w:rPr>
      </w:pPr>
      <w:r>
        <w:rPr>
          <w:b/>
          <w:sz w:val="20"/>
          <w:szCs w:val="20"/>
        </w:rPr>
        <w:t>Using</w:t>
      </w:r>
      <w:r w:rsidR="00345FBA">
        <w:rPr>
          <w:b/>
          <w:sz w:val="20"/>
          <w:szCs w:val="20"/>
        </w:rPr>
        <w:t xml:space="preserve"> the</w:t>
      </w:r>
      <w:r>
        <w:rPr>
          <w:b/>
          <w:sz w:val="20"/>
          <w:szCs w:val="20"/>
        </w:rPr>
        <w:t xml:space="preserve"> App-ID Registry Function to automate data model mapping to oneM2M ontologies</w:t>
      </w:r>
    </w:p>
    <w:p w:rsidR="00D41BD8" w:rsidRDefault="00D41BD8" w:rsidP="00D41BD8">
      <w:pPr>
        <w:pStyle w:val="ListParagraph"/>
        <w:jc w:val="both"/>
        <w:rPr>
          <w:sz w:val="20"/>
          <w:szCs w:val="20"/>
        </w:rPr>
      </w:pPr>
    </w:p>
    <w:p w:rsidR="00D41BD8" w:rsidRDefault="00D41BD8" w:rsidP="00D41BD8">
      <w:pPr>
        <w:pStyle w:val="ListParagraph"/>
        <w:jc w:val="both"/>
        <w:rPr>
          <w:sz w:val="20"/>
          <w:szCs w:val="20"/>
        </w:rPr>
      </w:pPr>
      <w:r>
        <w:rPr>
          <w:sz w:val="20"/>
          <w:szCs w:val="20"/>
        </w:rPr>
        <w:t>App-ID metadata provides a description of the specific IoT application data model definition, which describes the mapping to a compatible oneM2M ontology. This will enable a</w:t>
      </w:r>
      <w:r w:rsidR="00345FBA">
        <w:rPr>
          <w:sz w:val="20"/>
          <w:szCs w:val="20"/>
        </w:rPr>
        <w:t>n</w:t>
      </w:r>
      <w:r>
        <w:rPr>
          <w:sz w:val="20"/>
          <w:szCs w:val="20"/>
        </w:rPr>
        <w:t xml:space="preserve"> S</w:t>
      </w:r>
      <w:r w:rsidR="00345FBA">
        <w:rPr>
          <w:sz w:val="20"/>
          <w:szCs w:val="20"/>
        </w:rPr>
        <w:t>P</w:t>
      </w:r>
      <w:r>
        <w:rPr>
          <w:sz w:val="20"/>
          <w:szCs w:val="20"/>
        </w:rPr>
        <w:t xml:space="preserve"> to automate the process for enrolling the IoT application. The SP will be able to manage the data it produces and any interactions to control its functionality. The App-ID metadata can provide the following specific information:</w:t>
      </w:r>
    </w:p>
    <w:p w:rsidR="00D41BD8" w:rsidRDefault="00D41BD8" w:rsidP="00D41BD8">
      <w:pPr>
        <w:pStyle w:val="ListParagraph"/>
        <w:jc w:val="both"/>
        <w:rPr>
          <w:sz w:val="20"/>
          <w:szCs w:val="20"/>
        </w:rPr>
      </w:pPr>
    </w:p>
    <w:p w:rsidR="00D41BD8" w:rsidRDefault="00D41BD8" w:rsidP="0019768F">
      <w:pPr>
        <w:pStyle w:val="ListParagraph"/>
        <w:numPr>
          <w:ilvl w:val="0"/>
          <w:numId w:val="14"/>
        </w:numPr>
        <w:jc w:val="both"/>
        <w:rPr>
          <w:sz w:val="20"/>
          <w:szCs w:val="20"/>
        </w:rPr>
      </w:pPr>
      <w:r>
        <w:rPr>
          <w:b/>
          <w:sz w:val="20"/>
          <w:szCs w:val="20"/>
        </w:rPr>
        <w:t>Data Model:</w:t>
      </w:r>
      <w:r>
        <w:rPr>
          <w:sz w:val="20"/>
          <w:szCs w:val="20"/>
        </w:rPr>
        <w:t xml:space="preserve"> The data definition for the application, what is projected, and the actions that can be performed. The application data model and mapping to oneM2M ontology.</w:t>
      </w:r>
    </w:p>
    <w:p w:rsidR="00D41BD8" w:rsidRDefault="00D41BD8" w:rsidP="00D41BD8">
      <w:pPr>
        <w:pStyle w:val="ListParagraph"/>
        <w:rPr>
          <w:sz w:val="20"/>
          <w:szCs w:val="20"/>
        </w:rPr>
      </w:pPr>
    </w:p>
    <w:p w:rsidR="00D41BD8" w:rsidRDefault="00D41BD8" w:rsidP="0019768F">
      <w:pPr>
        <w:pStyle w:val="ListParagraph"/>
        <w:numPr>
          <w:ilvl w:val="0"/>
          <w:numId w:val="14"/>
        </w:numPr>
        <w:rPr>
          <w:sz w:val="20"/>
          <w:szCs w:val="20"/>
        </w:rPr>
      </w:pPr>
      <w:r>
        <w:rPr>
          <w:b/>
          <w:sz w:val="20"/>
          <w:szCs w:val="20"/>
        </w:rPr>
        <w:t>Data privacy:</w:t>
      </w:r>
      <w:r>
        <w:rPr>
          <w:sz w:val="20"/>
          <w:szCs w:val="20"/>
        </w:rPr>
        <w:t xml:space="preserve"> The data privacy asserted for this App-ID. The generic data privacy model for the application identity. For example, the IoT application is a blood pressure monitor and the data can only be provided to the client’s electronic health record. The data cannot be shared, data mined, or resold by the IoT service provider</w:t>
      </w:r>
      <w:r w:rsidR="00345FBA">
        <w:rPr>
          <w:sz w:val="20"/>
          <w:szCs w:val="20"/>
        </w:rPr>
        <w:t>.</w:t>
      </w:r>
    </w:p>
    <w:p w:rsidR="00D41BD8" w:rsidRDefault="00D41BD8" w:rsidP="00D41BD8">
      <w:pPr>
        <w:pStyle w:val="ListParagraph"/>
        <w:jc w:val="both"/>
        <w:rPr>
          <w:sz w:val="20"/>
          <w:szCs w:val="20"/>
        </w:rPr>
      </w:pPr>
    </w:p>
    <w:p w:rsidR="00D41BD8" w:rsidRDefault="00D41BD8" w:rsidP="00350C19">
      <w:pPr>
        <w:pStyle w:val="ListParagraph"/>
        <w:jc w:val="both"/>
        <w:rPr>
          <w:sz w:val="20"/>
          <w:szCs w:val="20"/>
        </w:rPr>
      </w:pPr>
      <w:r>
        <w:rPr>
          <w:sz w:val="20"/>
          <w:szCs w:val="20"/>
        </w:rPr>
        <w:t>By connecting with the App-ID Registry Function, a</w:t>
      </w:r>
      <w:r w:rsidR="00345FBA">
        <w:rPr>
          <w:sz w:val="20"/>
          <w:szCs w:val="20"/>
        </w:rPr>
        <w:t>n</w:t>
      </w:r>
      <w:r>
        <w:rPr>
          <w:sz w:val="20"/>
          <w:szCs w:val="20"/>
        </w:rPr>
        <w:t xml:space="preserve"> SPs infrastructure can query the metadata for a presented IoT application (AE-ID/App-ID) and retrieve a data model definition to both verify the data being used and to manage the permissible use.</w:t>
      </w:r>
    </w:p>
    <w:p w:rsidR="00350C19" w:rsidRPr="00C85772" w:rsidRDefault="00350C19" w:rsidP="00350C19">
      <w:pPr>
        <w:pStyle w:val="ListParagraph"/>
        <w:jc w:val="both"/>
        <w:rPr>
          <w:sz w:val="20"/>
          <w:szCs w:val="20"/>
        </w:rPr>
      </w:pPr>
    </w:p>
    <w:p w:rsidR="00350C19" w:rsidRPr="00C85772" w:rsidRDefault="00350C19" w:rsidP="00350C19">
      <w:pPr>
        <w:pStyle w:val="ListParagraph"/>
        <w:jc w:val="both"/>
        <w:rPr>
          <w:b/>
          <w:sz w:val="20"/>
          <w:szCs w:val="20"/>
        </w:rPr>
      </w:pPr>
      <w:r w:rsidRPr="00C85772">
        <w:rPr>
          <w:b/>
          <w:sz w:val="20"/>
          <w:szCs w:val="20"/>
        </w:rPr>
        <w:t>The benefits to the eco</w:t>
      </w:r>
      <w:r>
        <w:rPr>
          <w:b/>
          <w:sz w:val="20"/>
          <w:szCs w:val="20"/>
        </w:rPr>
        <w:t>-</w:t>
      </w:r>
      <w:r w:rsidRPr="00C85772">
        <w:rPr>
          <w:b/>
          <w:sz w:val="20"/>
          <w:szCs w:val="20"/>
        </w:rPr>
        <w:t xml:space="preserve">system are: </w:t>
      </w:r>
    </w:p>
    <w:p w:rsidR="00350C19" w:rsidRPr="00C85772" w:rsidRDefault="00350C19" w:rsidP="00350C19">
      <w:pPr>
        <w:pStyle w:val="ListParagraph"/>
        <w:jc w:val="both"/>
        <w:rPr>
          <w:sz w:val="20"/>
          <w:szCs w:val="20"/>
        </w:rPr>
      </w:pPr>
    </w:p>
    <w:p w:rsidR="00350C19" w:rsidRPr="00C85772" w:rsidRDefault="00350C19" w:rsidP="00350C19">
      <w:pPr>
        <w:pStyle w:val="ListParagraph"/>
        <w:ind w:left="1116"/>
        <w:jc w:val="both"/>
        <w:rPr>
          <w:sz w:val="20"/>
          <w:szCs w:val="20"/>
        </w:rPr>
      </w:pPr>
      <w:r w:rsidRPr="00C85772">
        <w:rPr>
          <w:sz w:val="20"/>
          <w:szCs w:val="20"/>
        </w:rPr>
        <w:t xml:space="preserve">– Providing </w:t>
      </w:r>
      <w:r w:rsidR="000C1AD0">
        <w:rPr>
          <w:sz w:val="20"/>
          <w:szCs w:val="20"/>
        </w:rPr>
        <w:t>semantic</w:t>
      </w:r>
      <w:r w:rsidR="000C1AD0" w:rsidRPr="00C85772">
        <w:rPr>
          <w:sz w:val="20"/>
          <w:szCs w:val="20"/>
        </w:rPr>
        <w:t xml:space="preserve"> </w:t>
      </w:r>
      <w:r w:rsidRPr="00C85772">
        <w:rPr>
          <w:sz w:val="20"/>
          <w:szCs w:val="20"/>
        </w:rPr>
        <w:t>interoperability</w:t>
      </w:r>
    </w:p>
    <w:p w:rsidR="00350C19" w:rsidRPr="00C85772" w:rsidRDefault="00350C19" w:rsidP="00350C19">
      <w:pPr>
        <w:pStyle w:val="ListParagraph"/>
        <w:ind w:left="1248"/>
        <w:jc w:val="both"/>
        <w:rPr>
          <w:sz w:val="20"/>
          <w:szCs w:val="20"/>
        </w:rPr>
      </w:pPr>
      <w:r w:rsidRPr="00C85772">
        <w:rPr>
          <w:sz w:val="20"/>
          <w:szCs w:val="20"/>
        </w:rPr>
        <w:t>• Annotate M2M data with information, describing e.g.</w:t>
      </w:r>
    </w:p>
    <w:p w:rsidR="00350C19" w:rsidRPr="00C85772" w:rsidRDefault="00350C19" w:rsidP="00350C19">
      <w:pPr>
        <w:pStyle w:val="ListParagraph"/>
        <w:ind w:left="1532"/>
        <w:jc w:val="both"/>
        <w:rPr>
          <w:sz w:val="20"/>
          <w:szCs w:val="20"/>
        </w:rPr>
      </w:pPr>
      <w:r w:rsidRPr="00C85772">
        <w:rPr>
          <w:sz w:val="20"/>
          <w:szCs w:val="20"/>
        </w:rPr>
        <w:t>– Name of the data (this could contain namespace / ontology).</w:t>
      </w:r>
    </w:p>
    <w:p w:rsidR="00350C19" w:rsidRPr="00C85772" w:rsidRDefault="00350C19" w:rsidP="00350C19">
      <w:pPr>
        <w:pStyle w:val="ListParagraph"/>
        <w:ind w:left="1532"/>
        <w:jc w:val="both"/>
        <w:rPr>
          <w:sz w:val="20"/>
          <w:szCs w:val="20"/>
        </w:rPr>
      </w:pPr>
      <w:r w:rsidRPr="00C85772">
        <w:rPr>
          <w:sz w:val="20"/>
          <w:szCs w:val="20"/>
        </w:rPr>
        <w:t>– Relation to other M2M data.</w:t>
      </w:r>
    </w:p>
    <w:p w:rsidR="00350C19" w:rsidRPr="00C85772" w:rsidRDefault="00350C19" w:rsidP="00350C19">
      <w:pPr>
        <w:pStyle w:val="ListParagraph"/>
        <w:ind w:left="1248"/>
        <w:jc w:val="both"/>
        <w:rPr>
          <w:sz w:val="20"/>
          <w:szCs w:val="20"/>
        </w:rPr>
      </w:pPr>
      <w:r w:rsidRPr="00C85772">
        <w:rPr>
          <w:sz w:val="20"/>
          <w:szCs w:val="20"/>
        </w:rPr>
        <w:t>• Abstraction from specific technologies</w:t>
      </w:r>
    </w:p>
    <w:p w:rsidR="00350C19" w:rsidRPr="00C85772" w:rsidRDefault="00350C19" w:rsidP="00350C19">
      <w:pPr>
        <w:pStyle w:val="ListParagraph"/>
        <w:ind w:left="1116"/>
        <w:jc w:val="both"/>
        <w:rPr>
          <w:sz w:val="20"/>
          <w:szCs w:val="20"/>
        </w:rPr>
      </w:pPr>
      <w:r w:rsidRPr="00C85772">
        <w:rPr>
          <w:sz w:val="20"/>
          <w:szCs w:val="20"/>
        </w:rPr>
        <w:t>– Support of Data Brokering / Analytics / Big Data</w:t>
      </w:r>
    </w:p>
    <w:p w:rsidR="00350C19" w:rsidRPr="00C85772" w:rsidRDefault="00350C19" w:rsidP="00350C19">
      <w:pPr>
        <w:pStyle w:val="ListParagraph"/>
        <w:ind w:left="1248"/>
        <w:jc w:val="both"/>
        <w:rPr>
          <w:sz w:val="20"/>
          <w:szCs w:val="20"/>
        </w:rPr>
      </w:pPr>
      <w:r w:rsidRPr="00C85772">
        <w:rPr>
          <w:sz w:val="20"/>
          <w:szCs w:val="20"/>
        </w:rPr>
        <w:t>• Semantic Discovery</w:t>
      </w:r>
    </w:p>
    <w:p w:rsidR="00350C19" w:rsidRPr="00C85772" w:rsidRDefault="00350C19" w:rsidP="00350C19">
      <w:pPr>
        <w:pStyle w:val="ListParagraph"/>
        <w:ind w:left="1532"/>
        <w:jc w:val="both"/>
        <w:rPr>
          <w:sz w:val="20"/>
          <w:szCs w:val="20"/>
        </w:rPr>
      </w:pPr>
      <w:r w:rsidRPr="00C85772">
        <w:rPr>
          <w:sz w:val="20"/>
          <w:szCs w:val="20"/>
        </w:rPr>
        <w:t>– Can be supplemented with additional context information</w:t>
      </w:r>
    </w:p>
    <w:p w:rsidR="00350C19" w:rsidRPr="00C85772" w:rsidRDefault="00350C19" w:rsidP="00350C19">
      <w:pPr>
        <w:pStyle w:val="ListParagraph"/>
        <w:ind w:left="1248"/>
        <w:jc w:val="both"/>
        <w:rPr>
          <w:sz w:val="20"/>
          <w:szCs w:val="20"/>
        </w:rPr>
      </w:pPr>
      <w:r w:rsidRPr="00C85772">
        <w:rPr>
          <w:sz w:val="20"/>
          <w:szCs w:val="20"/>
        </w:rPr>
        <w:t>• Data brokering (advertising available data / finding relevant data)</w:t>
      </w:r>
    </w:p>
    <w:p w:rsidR="00350C19" w:rsidRPr="00C85772" w:rsidRDefault="00350C19" w:rsidP="00350C19">
      <w:pPr>
        <w:pStyle w:val="ListParagraph"/>
        <w:ind w:left="812"/>
        <w:jc w:val="both"/>
        <w:rPr>
          <w:sz w:val="20"/>
          <w:szCs w:val="20"/>
        </w:rPr>
      </w:pPr>
      <w:r w:rsidRPr="00C85772">
        <w:rPr>
          <w:sz w:val="20"/>
          <w:szCs w:val="20"/>
        </w:rPr>
        <w:t>– Support of Big Data Analytics</w:t>
      </w:r>
      <w:r w:rsidR="00345FBA">
        <w:rPr>
          <w:sz w:val="20"/>
          <w:szCs w:val="20"/>
        </w:rPr>
        <w:t>.</w:t>
      </w:r>
    </w:p>
    <w:p w:rsidR="00350C19" w:rsidRDefault="00350C19" w:rsidP="00350C19">
      <w:pPr>
        <w:pStyle w:val="ListParagraph"/>
        <w:jc w:val="both"/>
      </w:pPr>
    </w:p>
    <w:p w:rsidR="00350C19" w:rsidRPr="00CB5D36" w:rsidRDefault="00B007B6" w:rsidP="00350C19">
      <w:pPr>
        <w:pStyle w:val="Heading2"/>
      </w:pPr>
      <w:bookmarkStart w:id="94" w:name="_Toc494099359"/>
      <w:bookmarkStart w:id="95" w:name="_Toc508958770"/>
      <w:r>
        <w:rPr>
          <w:lang w:val="en-US"/>
        </w:rPr>
        <w:t>6</w:t>
      </w:r>
      <w:r w:rsidR="00350C19" w:rsidRPr="00EA211F">
        <w:rPr>
          <w:rFonts w:hint="eastAsia"/>
        </w:rPr>
        <w:t>.</w:t>
      </w:r>
      <w:r w:rsidR="00350C19">
        <w:t>5</w:t>
      </w:r>
      <w:r w:rsidR="00350C19" w:rsidRPr="00EA211F">
        <w:rPr>
          <w:rFonts w:hint="eastAsia"/>
        </w:rPr>
        <w:tab/>
        <w:t>Use Cas</w:t>
      </w:r>
      <w:r w:rsidR="00350C19">
        <w:rPr>
          <w:rFonts w:hint="eastAsia"/>
        </w:rPr>
        <w:t xml:space="preserve">e </w:t>
      </w:r>
      <w:r w:rsidR="00350C19">
        <w:rPr>
          <w:lang w:val="en-US"/>
        </w:rPr>
        <w:t>5</w:t>
      </w:r>
      <w:r w:rsidR="00350C19">
        <w:t xml:space="preserve">: </w:t>
      </w:r>
      <w:r w:rsidR="00350C19" w:rsidRPr="00231E80">
        <w:t>IoT application Certificate – Trusted Root</w:t>
      </w:r>
      <w:bookmarkEnd w:id="94"/>
      <w:bookmarkEnd w:id="95"/>
      <w:r w:rsidR="00350C19" w:rsidRPr="00231E80">
        <w:t xml:space="preserve">   </w:t>
      </w:r>
    </w:p>
    <w:p w:rsidR="00350C19" w:rsidRDefault="00B007B6" w:rsidP="00350C19">
      <w:pPr>
        <w:pStyle w:val="Heading3"/>
      </w:pPr>
      <w:bookmarkStart w:id="96" w:name="_Toc494099360"/>
      <w:bookmarkStart w:id="97" w:name="_Toc508958771"/>
      <w:r>
        <w:rPr>
          <w:lang w:val="en-US"/>
        </w:rPr>
        <w:t>6</w:t>
      </w:r>
      <w:r w:rsidR="00350C19" w:rsidRPr="00EA211F">
        <w:t>.</w:t>
      </w:r>
      <w:r w:rsidR="00350C19">
        <w:rPr>
          <w:lang w:val="en-US"/>
        </w:rPr>
        <w:t>5</w:t>
      </w:r>
      <w:r w:rsidR="00350C19" w:rsidRPr="00EA211F">
        <w:t>.</w:t>
      </w:r>
      <w:r w:rsidR="00350C19" w:rsidRPr="00EA211F">
        <w:rPr>
          <w:rFonts w:hint="eastAsia"/>
        </w:rPr>
        <w:t>1</w:t>
      </w:r>
      <w:r w:rsidR="00350C19" w:rsidRPr="00EA211F">
        <w:rPr>
          <w:rFonts w:hint="eastAsia"/>
        </w:rPr>
        <w:tab/>
      </w:r>
      <w:r w:rsidR="00350C19" w:rsidRPr="00EA211F">
        <w:t>Description</w:t>
      </w:r>
      <w:bookmarkEnd w:id="96"/>
      <w:bookmarkEnd w:id="97"/>
    </w:p>
    <w:p w:rsidR="00350C19" w:rsidRDefault="00350C19" w:rsidP="00350C19">
      <w:pPr>
        <w:pStyle w:val="ListParagraph"/>
        <w:jc w:val="both"/>
        <w:rPr>
          <w:sz w:val="20"/>
          <w:szCs w:val="20"/>
        </w:rPr>
      </w:pPr>
      <w:r w:rsidRPr="00EB5C97">
        <w:rPr>
          <w:sz w:val="20"/>
          <w:szCs w:val="20"/>
        </w:rPr>
        <w:t xml:space="preserve">A Certification Authority (CA) may issue </w:t>
      </w:r>
      <w:r w:rsidR="00345FBA" w:rsidRPr="00EB5C97">
        <w:rPr>
          <w:sz w:val="20"/>
          <w:szCs w:val="20"/>
        </w:rPr>
        <w:t xml:space="preserve">either </w:t>
      </w:r>
      <w:r w:rsidRPr="00EB5C97">
        <w:rPr>
          <w:sz w:val="20"/>
          <w:szCs w:val="20"/>
        </w:rPr>
        <w:t>CA certificates or end entity certificates.  A Root CA has a self-signed CA certificate and issues CA certificates to subordinate CAs.  Trust in an end entity certificate requires trusting the Root CA</w:t>
      </w:r>
      <w:r>
        <w:rPr>
          <w:sz w:val="20"/>
          <w:szCs w:val="20"/>
        </w:rPr>
        <w:t>.</w:t>
      </w:r>
    </w:p>
    <w:p w:rsidR="00350C19" w:rsidRPr="00195B93" w:rsidRDefault="00350C19" w:rsidP="00350C19">
      <w:pPr>
        <w:pStyle w:val="ListParagraph"/>
        <w:jc w:val="both"/>
        <w:rPr>
          <w:sz w:val="20"/>
          <w:szCs w:val="20"/>
        </w:rPr>
      </w:pPr>
    </w:p>
    <w:p w:rsidR="00350C19" w:rsidRPr="00195B93" w:rsidRDefault="0091563F" w:rsidP="00350C19">
      <w:pPr>
        <w:pStyle w:val="ListParagraph"/>
        <w:jc w:val="center"/>
        <w:rPr>
          <w:sz w:val="20"/>
          <w:szCs w:val="20"/>
        </w:rPr>
      </w:pPr>
      <w:r w:rsidRPr="003823CB">
        <w:rPr>
          <w:noProof/>
          <w:lang w:val="en-GB" w:eastAsia="en-GB"/>
        </w:rPr>
        <w:lastRenderedPageBreak/>
        <w:drawing>
          <wp:inline distT="0" distB="0" distL="0" distR="0" wp14:anchorId="4DBC60C9" wp14:editId="4ED9DB8E">
            <wp:extent cx="2560320" cy="3389630"/>
            <wp:effectExtent l="0" t="0" r="0" b="1270"/>
            <wp:docPr id="4" name="Picture 1" descr="C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0320" cy="3389630"/>
                    </a:xfrm>
                    <a:prstGeom prst="rect">
                      <a:avLst/>
                    </a:prstGeom>
                    <a:noFill/>
                    <a:ln>
                      <a:noFill/>
                    </a:ln>
                  </pic:spPr>
                </pic:pic>
              </a:graphicData>
            </a:graphic>
          </wp:inline>
        </w:drawing>
      </w:r>
    </w:p>
    <w:p w:rsidR="00350C19" w:rsidRDefault="00350C19" w:rsidP="00350C19">
      <w:pPr>
        <w:jc w:val="center"/>
        <w:rPr>
          <w:b/>
          <w:lang w:eastAsia="zh-CN"/>
        </w:rPr>
      </w:pPr>
    </w:p>
    <w:p w:rsidR="00350C19" w:rsidRPr="00B759E5" w:rsidRDefault="00350C19" w:rsidP="00350C19">
      <w:pPr>
        <w:jc w:val="center"/>
        <w:rPr>
          <w:b/>
          <w:lang w:eastAsia="zh-CN"/>
        </w:rPr>
      </w:pPr>
      <w:r w:rsidRPr="00B759E5">
        <w:rPr>
          <w:b/>
          <w:lang w:eastAsia="zh-CN"/>
        </w:rPr>
        <w:t xml:space="preserve">Figure </w:t>
      </w:r>
      <w:r w:rsidR="009F6828">
        <w:rPr>
          <w:b/>
          <w:lang w:eastAsia="zh-CN"/>
        </w:rPr>
        <w:t>6.5.1</w:t>
      </w:r>
      <w:r w:rsidR="00345FBA">
        <w:rPr>
          <w:b/>
          <w:lang w:eastAsia="zh-CN"/>
        </w:rPr>
        <w:t>-1</w:t>
      </w:r>
      <w:r w:rsidRPr="00B759E5">
        <w:rPr>
          <w:b/>
          <w:lang w:eastAsia="zh-CN"/>
        </w:rPr>
        <w:t xml:space="preserve">: </w:t>
      </w:r>
      <w:r>
        <w:rPr>
          <w:b/>
          <w:lang w:eastAsia="zh-CN"/>
        </w:rPr>
        <w:t xml:space="preserve">Certificate </w:t>
      </w:r>
      <w:r w:rsidR="00D41BD8">
        <w:rPr>
          <w:b/>
          <w:lang w:eastAsia="zh-CN"/>
        </w:rPr>
        <w:t>Hierarchy</w:t>
      </w:r>
      <w:r>
        <w:rPr>
          <w:b/>
          <w:lang w:eastAsia="zh-CN"/>
        </w:rPr>
        <w:t xml:space="preserve"> </w:t>
      </w:r>
    </w:p>
    <w:p w:rsidR="00350C19" w:rsidRPr="00195B93" w:rsidRDefault="00350C19" w:rsidP="00350C19">
      <w:pPr>
        <w:pStyle w:val="ListParagraph"/>
        <w:ind w:left="0"/>
        <w:jc w:val="both"/>
        <w:rPr>
          <w:sz w:val="20"/>
          <w:szCs w:val="20"/>
        </w:rPr>
      </w:pPr>
    </w:p>
    <w:p w:rsidR="00350C19" w:rsidRPr="00EB5C97" w:rsidRDefault="00350C19" w:rsidP="00350C19">
      <w:pPr>
        <w:pStyle w:val="ListParagraph"/>
        <w:jc w:val="both"/>
        <w:rPr>
          <w:sz w:val="20"/>
          <w:szCs w:val="20"/>
        </w:rPr>
      </w:pPr>
      <w:r w:rsidRPr="00EB5C97">
        <w:rPr>
          <w:sz w:val="20"/>
          <w:szCs w:val="20"/>
        </w:rPr>
        <w:t>Digital certificates are stored in a certificate store.  Major operating system (OS) vendors, Microsoft</w:t>
      </w:r>
      <w:r w:rsidR="00AC4858">
        <w:rPr>
          <w:sz w:val="20"/>
          <w:szCs w:val="20"/>
        </w:rPr>
        <w:t>™</w:t>
      </w:r>
      <w:r w:rsidRPr="00EB5C97">
        <w:rPr>
          <w:sz w:val="20"/>
          <w:szCs w:val="20"/>
        </w:rPr>
        <w:t xml:space="preserve"> and Apple</w:t>
      </w:r>
      <w:r w:rsidR="00AC4858">
        <w:rPr>
          <w:sz w:val="20"/>
          <w:szCs w:val="20"/>
        </w:rPr>
        <w:t>™</w:t>
      </w:r>
      <w:r w:rsidRPr="00EB5C97">
        <w:rPr>
          <w:sz w:val="20"/>
          <w:szCs w:val="20"/>
        </w:rPr>
        <w:t>, include Root CA certificates in their Trusted Root Certification Authority certificate store that have met their security requirements.  Some applications use the OS certificate stores, while others (e.g. Firefox</w:t>
      </w:r>
      <w:r w:rsidR="00AC4858">
        <w:rPr>
          <w:sz w:val="20"/>
          <w:szCs w:val="20"/>
        </w:rPr>
        <w:t>™</w:t>
      </w:r>
      <w:r w:rsidRPr="00EB5C97">
        <w:rPr>
          <w:sz w:val="20"/>
          <w:szCs w:val="20"/>
        </w:rPr>
        <w:t xml:space="preserve"> and Oracle</w:t>
      </w:r>
      <w:r w:rsidR="00AC4858">
        <w:rPr>
          <w:sz w:val="20"/>
          <w:szCs w:val="20"/>
        </w:rPr>
        <w:t>™</w:t>
      </w:r>
      <w:r w:rsidRPr="00EB5C97">
        <w:rPr>
          <w:sz w:val="20"/>
          <w:szCs w:val="20"/>
        </w:rPr>
        <w:t>) have separate certificate stores.</w:t>
      </w:r>
    </w:p>
    <w:p w:rsidR="00350C19" w:rsidRPr="00EB5C97" w:rsidRDefault="00350C19" w:rsidP="00350C19">
      <w:pPr>
        <w:pStyle w:val="ListParagraph"/>
        <w:jc w:val="both"/>
        <w:rPr>
          <w:sz w:val="20"/>
          <w:szCs w:val="20"/>
        </w:rPr>
      </w:pPr>
    </w:p>
    <w:p w:rsidR="00350C19" w:rsidRPr="00195B93" w:rsidRDefault="00350C19" w:rsidP="00350C19">
      <w:pPr>
        <w:pStyle w:val="ListParagraph"/>
        <w:jc w:val="both"/>
        <w:rPr>
          <w:sz w:val="20"/>
          <w:szCs w:val="20"/>
        </w:rPr>
      </w:pPr>
      <w:r w:rsidRPr="00EB5C97">
        <w:rPr>
          <w:sz w:val="20"/>
          <w:szCs w:val="20"/>
        </w:rPr>
        <w:t xml:space="preserve">Although OS and application vendors have a list of Trust Root CA certificates, additional Root CA certificates may be added to the Trusted Root Certification Authority </w:t>
      </w:r>
      <w:r w:rsidR="00345FBA">
        <w:rPr>
          <w:sz w:val="20"/>
          <w:szCs w:val="20"/>
        </w:rPr>
        <w:t xml:space="preserve">(TRCA?) </w:t>
      </w:r>
      <w:r w:rsidRPr="00EB5C97">
        <w:rPr>
          <w:sz w:val="20"/>
          <w:szCs w:val="20"/>
        </w:rPr>
        <w:t xml:space="preserve">certificate store by Administrators and end users with required security permissions.  If a Root CA is compromised or no longer trusted, security patches </w:t>
      </w:r>
      <w:r w:rsidR="009F6828">
        <w:rPr>
          <w:sz w:val="20"/>
          <w:szCs w:val="20"/>
        </w:rPr>
        <w:t>shall</w:t>
      </w:r>
      <w:r w:rsidR="009F6828" w:rsidRPr="00EB5C97">
        <w:rPr>
          <w:sz w:val="20"/>
          <w:szCs w:val="20"/>
        </w:rPr>
        <w:t xml:space="preserve"> </w:t>
      </w:r>
      <w:r w:rsidRPr="00EB5C97">
        <w:rPr>
          <w:sz w:val="20"/>
          <w:szCs w:val="20"/>
        </w:rPr>
        <w:t xml:space="preserve">be applied </w:t>
      </w:r>
      <w:r w:rsidR="009F6828">
        <w:rPr>
          <w:sz w:val="20"/>
          <w:szCs w:val="20"/>
        </w:rPr>
        <w:t>to</w:t>
      </w:r>
      <w:r w:rsidR="009F6828" w:rsidRPr="00EB5C97">
        <w:rPr>
          <w:sz w:val="20"/>
          <w:szCs w:val="20"/>
        </w:rPr>
        <w:t xml:space="preserve"> </w:t>
      </w:r>
      <w:r w:rsidRPr="00EB5C97">
        <w:rPr>
          <w:sz w:val="20"/>
          <w:szCs w:val="20"/>
        </w:rPr>
        <w:t xml:space="preserve">remove them from the Trusted Root Certification Authority certificate store or they </w:t>
      </w:r>
      <w:r w:rsidR="009F6828">
        <w:rPr>
          <w:sz w:val="20"/>
          <w:szCs w:val="20"/>
        </w:rPr>
        <w:t>shall</w:t>
      </w:r>
      <w:r w:rsidR="009F6828" w:rsidRPr="00EB5C97">
        <w:rPr>
          <w:sz w:val="20"/>
          <w:szCs w:val="20"/>
        </w:rPr>
        <w:t xml:space="preserve"> </w:t>
      </w:r>
      <w:r w:rsidRPr="00EB5C97">
        <w:rPr>
          <w:sz w:val="20"/>
          <w:szCs w:val="20"/>
        </w:rPr>
        <w:t>be removed manually.</w:t>
      </w:r>
    </w:p>
    <w:p w:rsidR="00350C19" w:rsidRDefault="00350C19" w:rsidP="00350C19">
      <w:pPr>
        <w:pStyle w:val="ListParagraph"/>
        <w:jc w:val="both"/>
        <w:rPr>
          <w:sz w:val="20"/>
          <w:szCs w:val="20"/>
        </w:rPr>
      </w:pPr>
    </w:p>
    <w:p w:rsidR="00350C19" w:rsidRPr="00195B93" w:rsidRDefault="00350C19" w:rsidP="00350C19">
      <w:pPr>
        <w:pStyle w:val="ListParagraph"/>
        <w:jc w:val="both"/>
        <w:rPr>
          <w:sz w:val="20"/>
          <w:szCs w:val="20"/>
        </w:rPr>
      </w:pPr>
    </w:p>
    <w:p w:rsidR="00350C19" w:rsidRPr="00EB5C97" w:rsidRDefault="00350C19" w:rsidP="00350C19">
      <w:pPr>
        <w:pStyle w:val="ListParagraph"/>
        <w:jc w:val="both"/>
        <w:rPr>
          <w:b/>
          <w:sz w:val="20"/>
          <w:szCs w:val="20"/>
        </w:rPr>
      </w:pPr>
      <w:r w:rsidRPr="00EB5C97">
        <w:rPr>
          <w:b/>
          <w:sz w:val="20"/>
          <w:szCs w:val="20"/>
        </w:rPr>
        <w:t>Real world Examples for the dangers of accepting a root certificates</w:t>
      </w:r>
    </w:p>
    <w:p w:rsidR="00350C19" w:rsidRPr="00EB5C97" w:rsidRDefault="00350C19" w:rsidP="00350C19">
      <w:pPr>
        <w:pStyle w:val="ListParagraph"/>
        <w:jc w:val="both"/>
        <w:rPr>
          <w:sz w:val="20"/>
          <w:szCs w:val="20"/>
        </w:rPr>
      </w:pPr>
    </w:p>
    <w:p w:rsidR="00350C19" w:rsidRDefault="00350C19" w:rsidP="00350C19">
      <w:pPr>
        <w:pStyle w:val="ListParagraph"/>
        <w:jc w:val="both"/>
        <w:rPr>
          <w:sz w:val="20"/>
          <w:szCs w:val="20"/>
        </w:rPr>
      </w:pPr>
      <w:r w:rsidRPr="00EB5C97">
        <w:rPr>
          <w:sz w:val="20"/>
          <w:szCs w:val="20"/>
        </w:rPr>
        <w:t>A recent Google</w:t>
      </w:r>
      <w:r w:rsidR="00AC4858">
        <w:rPr>
          <w:sz w:val="20"/>
          <w:szCs w:val="20"/>
        </w:rPr>
        <w:t>™</w:t>
      </w:r>
      <w:r w:rsidRPr="00EB5C97">
        <w:rPr>
          <w:sz w:val="20"/>
          <w:szCs w:val="20"/>
        </w:rPr>
        <w:t xml:space="preserve"> warning over fake SSL certificates demonstrates, how</w:t>
      </w:r>
      <w:r w:rsidRPr="00EB5C97">
        <w:rPr>
          <w:color w:val="FF0000"/>
          <w:sz w:val="20"/>
          <w:szCs w:val="20"/>
        </w:rPr>
        <w:t xml:space="preserve"> </w:t>
      </w:r>
      <w:r w:rsidRPr="00EB5C97">
        <w:rPr>
          <w:sz w:val="20"/>
          <w:szCs w:val="20"/>
        </w:rPr>
        <w:t>one ‘rogue’ CA issuing unreliable certificates can cause havoc.  Unfortunately, Certification Authorities can (and have been known to) issue fake certificates.</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r w:rsidRPr="00EB5C97">
        <w:rPr>
          <w:sz w:val="20"/>
          <w:szCs w:val="20"/>
        </w:rPr>
        <w:t>Trusting a malicious root is one of those nuclear-level “game over” scenarios. In fact, Chromium</w:t>
      </w:r>
      <w:r w:rsidR="00AC4858">
        <w:rPr>
          <w:sz w:val="20"/>
          <w:szCs w:val="20"/>
        </w:rPr>
        <w:t>™</w:t>
      </w:r>
      <w:r w:rsidRPr="00EB5C97">
        <w:rPr>
          <w:sz w:val="20"/>
          <w:szCs w:val="20"/>
        </w:rPr>
        <w:t xml:space="preserve"> (the open-source project Google’s Chrome is based on) acknowledges that if an attacker can install a Root CA certificate onto your device, there is nothing the browser can do to protect you.</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r w:rsidRPr="00EB5C97">
        <w:rPr>
          <w:sz w:val="20"/>
          <w:szCs w:val="20"/>
        </w:rPr>
        <w:t>Current versions of Windows</w:t>
      </w:r>
      <w:r w:rsidR="00AC4858">
        <w:rPr>
          <w:sz w:val="20"/>
          <w:szCs w:val="20"/>
        </w:rPr>
        <w:t>™</w:t>
      </w:r>
      <w:r w:rsidRPr="00EB5C97">
        <w:rPr>
          <w:sz w:val="20"/>
          <w:szCs w:val="20"/>
        </w:rPr>
        <w:t xml:space="preserve"> and OSX</w:t>
      </w:r>
      <w:r w:rsidR="00AC4858">
        <w:rPr>
          <w:sz w:val="20"/>
          <w:szCs w:val="20"/>
        </w:rPr>
        <w:t>™</w:t>
      </w:r>
      <w:r w:rsidRPr="00EB5C97">
        <w:rPr>
          <w:sz w:val="20"/>
          <w:szCs w:val="20"/>
        </w:rPr>
        <w:t xml:space="preserve"> browsers provide notifications when a Root CA is not trusted.  Trusting the Root CA requires manual installation of the Root CA certificate. For Windows, </w:t>
      </w:r>
      <w:r>
        <w:rPr>
          <w:sz w:val="20"/>
          <w:szCs w:val="20"/>
        </w:rPr>
        <w:t xml:space="preserve">this </w:t>
      </w:r>
      <w:r w:rsidRPr="00EB5C97">
        <w:rPr>
          <w:sz w:val="20"/>
          <w:szCs w:val="20"/>
        </w:rPr>
        <w:t>takes quite a few steps, including viewing the Root CA certificate in the certificate chain and using the certificate import wizard.</w:t>
      </w:r>
    </w:p>
    <w:p w:rsidR="00350C19" w:rsidRPr="00EB5C97" w:rsidRDefault="00350C19" w:rsidP="00350C19">
      <w:pPr>
        <w:pStyle w:val="ListParagraph"/>
        <w:jc w:val="both"/>
        <w:rPr>
          <w:sz w:val="20"/>
          <w:szCs w:val="20"/>
        </w:rPr>
      </w:pPr>
    </w:p>
    <w:p w:rsidR="00350C19" w:rsidRDefault="00350C19" w:rsidP="00350C19">
      <w:pPr>
        <w:pStyle w:val="ListParagraph"/>
        <w:jc w:val="both"/>
        <w:rPr>
          <w:rFonts w:ascii="Helvetica" w:hAnsi="Helvetica"/>
          <w:color w:val="333333"/>
          <w:spacing w:val="-5"/>
          <w:sz w:val="26"/>
          <w:szCs w:val="26"/>
          <w:lang w:val="en"/>
        </w:rPr>
      </w:pPr>
      <w:r w:rsidRPr="00EB5C97">
        <w:rPr>
          <w:sz w:val="20"/>
          <w:szCs w:val="20"/>
        </w:rPr>
        <w:t xml:space="preserve">On iOS, it is a different story. In Safari, just clicking a button on a webpage can prompt a system dialog to install a custom “profile” which can include Root CA certificates.  An example of a profile that contains Root CA certificates is Comcast’s Xfinity Wifi. While iOS 10.3 and later does not automatically trust the certificate for SSL, earlier versions do trust the certificate.  </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r w:rsidRPr="00EB5C97">
        <w:rPr>
          <w:sz w:val="20"/>
          <w:szCs w:val="20"/>
        </w:rPr>
        <w:t>User added Root CA certificates could be used maliciously. The new certificates could be used in a man-in-the-middle attack. This has always been a known vulnerability, but has not been of major concern because</w:t>
      </w:r>
      <w:r w:rsidR="001F62BB">
        <w:rPr>
          <w:sz w:val="20"/>
          <w:szCs w:val="20"/>
        </w:rPr>
        <w:t>,</w:t>
      </w:r>
      <w:r w:rsidRPr="00EB5C97">
        <w:rPr>
          <w:sz w:val="20"/>
          <w:szCs w:val="20"/>
        </w:rPr>
        <w:t xml:space="preserve"> while feasible, it’s impractical in most attack scenarios.</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b/>
          <w:sz w:val="20"/>
          <w:szCs w:val="20"/>
        </w:rPr>
      </w:pPr>
      <w:r w:rsidRPr="00EB5C97">
        <w:rPr>
          <w:b/>
          <w:sz w:val="20"/>
          <w:szCs w:val="20"/>
        </w:rPr>
        <w:t xml:space="preserve">Managing trust and root certificates. </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r w:rsidRPr="00EB5C97">
        <w:rPr>
          <w:sz w:val="20"/>
          <w:szCs w:val="20"/>
        </w:rPr>
        <w:t>Because of the growing variety of certificates in use today and the growing number of certificate issues, some organizations may want to manage certificate trust and prevent users in the domain from configuring their own set of trusted root certificates. In addition, some organizations may want to identify and distribute specific trusted root CA certificates to enable business scenarios where additional trust relationships are needed.</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r w:rsidRPr="00EB5C97">
        <w:rPr>
          <w:sz w:val="20"/>
          <w:szCs w:val="20"/>
        </w:rPr>
        <w:t xml:space="preserve">Adding a Root CA certificate to the Trusted Root Certification Authority certificate store can be quite labor intensive.  The scale for IoT applications that could connect from a variety of issuing CA’s could be overwhelming for an organization. As indicated previously with the possibility of many IoT application developers using certificates from the same vendors, one </w:t>
      </w:r>
      <w:r>
        <w:rPr>
          <w:sz w:val="20"/>
          <w:szCs w:val="20"/>
        </w:rPr>
        <w:t>r</w:t>
      </w:r>
      <w:r w:rsidRPr="00EB5C97">
        <w:rPr>
          <w:sz w:val="20"/>
          <w:szCs w:val="20"/>
        </w:rPr>
        <w:t xml:space="preserve">oot </w:t>
      </w:r>
      <w:r>
        <w:rPr>
          <w:sz w:val="20"/>
          <w:szCs w:val="20"/>
        </w:rPr>
        <w:t xml:space="preserve">CA </w:t>
      </w:r>
      <w:r w:rsidRPr="00EB5C97">
        <w:rPr>
          <w:sz w:val="20"/>
          <w:szCs w:val="20"/>
        </w:rPr>
        <w:t xml:space="preserve">certificate for all could be dangerous, where as managing intermediate certificates for individual application vendors would be overwhelming. </w:t>
      </w: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sz w:val="20"/>
          <w:szCs w:val="20"/>
        </w:rPr>
      </w:pPr>
    </w:p>
    <w:p w:rsidR="00350C19" w:rsidRPr="00EB5C97" w:rsidRDefault="00350C19" w:rsidP="00350C19">
      <w:pPr>
        <w:pStyle w:val="ListParagraph"/>
        <w:jc w:val="both"/>
        <w:rPr>
          <w:b/>
          <w:sz w:val="20"/>
          <w:szCs w:val="20"/>
        </w:rPr>
      </w:pPr>
      <w:r w:rsidRPr="00EB5C97">
        <w:rPr>
          <w:b/>
          <w:sz w:val="20"/>
          <w:szCs w:val="20"/>
        </w:rPr>
        <w:t xml:space="preserve">Using App-ID Registry Function as a trusted root for the </w:t>
      </w:r>
      <w:r>
        <w:rPr>
          <w:b/>
          <w:sz w:val="20"/>
          <w:szCs w:val="20"/>
        </w:rPr>
        <w:t>Service provider infrastructure</w:t>
      </w:r>
    </w:p>
    <w:p w:rsidR="00350C19" w:rsidRPr="00EB5C97" w:rsidRDefault="00350C19" w:rsidP="00350C19">
      <w:pPr>
        <w:pStyle w:val="ListParagraph"/>
        <w:jc w:val="both"/>
        <w:rPr>
          <w:sz w:val="20"/>
          <w:szCs w:val="20"/>
        </w:rPr>
      </w:pPr>
    </w:p>
    <w:p w:rsidR="00D41BD8" w:rsidRDefault="00D41BD8" w:rsidP="00D41BD8">
      <w:pPr>
        <w:pStyle w:val="ListParagraph"/>
        <w:jc w:val="both"/>
        <w:rPr>
          <w:sz w:val="20"/>
          <w:szCs w:val="20"/>
        </w:rPr>
      </w:pPr>
      <w:r>
        <w:rPr>
          <w:sz w:val="20"/>
          <w:szCs w:val="20"/>
        </w:rPr>
        <w:t>When an App-ID is registered, the metadata registered with the App-ID can contain information regarding the PKI structure, including:</w:t>
      </w:r>
    </w:p>
    <w:p w:rsidR="00D41BD8" w:rsidRDefault="00D41BD8" w:rsidP="00D41BD8">
      <w:pPr>
        <w:pStyle w:val="ListParagraph"/>
        <w:jc w:val="both"/>
        <w:rPr>
          <w:sz w:val="20"/>
          <w:szCs w:val="20"/>
        </w:rPr>
      </w:pPr>
    </w:p>
    <w:p w:rsidR="00D41BD8" w:rsidRDefault="00D41BD8" w:rsidP="0019768F">
      <w:pPr>
        <w:pStyle w:val="ListParagraph"/>
        <w:numPr>
          <w:ilvl w:val="0"/>
          <w:numId w:val="15"/>
        </w:numPr>
        <w:jc w:val="both"/>
        <w:rPr>
          <w:sz w:val="20"/>
          <w:szCs w:val="20"/>
        </w:rPr>
      </w:pPr>
      <w:r>
        <w:rPr>
          <w:sz w:val="20"/>
          <w:szCs w:val="20"/>
        </w:rPr>
        <w:t>Issuing CA</w:t>
      </w:r>
    </w:p>
    <w:p w:rsidR="00D41BD8" w:rsidRDefault="00D41BD8" w:rsidP="0019768F">
      <w:pPr>
        <w:pStyle w:val="ListParagraph"/>
        <w:numPr>
          <w:ilvl w:val="0"/>
          <w:numId w:val="15"/>
        </w:numPr>
        <w:jc w:val="both"/>
        <w:rPr>
          <w:sz w:val="20"/>
          <w:szCs w:val="20"/>
        </w:rPr>
      </w:pPr>
      <w:r>
        <w:rPr>
          <w:sz w:val="20"/>
          <w:szCs w:val="20"/>
        </w:rPr>
        <w:t>Intermediate CA certificate, if used</w:t>
      </w:r>
    </w:p>
    <w:p w:rsidR="00D41BD8" w:rsidRDefault="00D41BD8" w:rsidP="0019768F">
      <w:pPr>
        <w:pStyle w:val="ListParagraph"/>
        <w:numPr>
          <w:ilvl w:val="0"/>
          <w:numId w:val="15"/>
        </w:numPr>
        <w:jc w:val="both"/>
        <w:rPr>
          <w:sz w:val="20"/>
          <w:szCs w:val="20"/>
        </w:rPr>
      </w:pPr>
      <w:r>
        <w:rPr>
          <w:sz w:val="20"/>
          <w:szCs w:val="20"/>
        </w:rPr>
        <w:t>Root certificate and its validity</w:t>
      </w:r>
    </w:p>
    <w:p w:rsidR="00D41BD8" w:rsidRDefault="00D41BD8" w:rsidP="0019768F">
      <w:pPr>
        <w:pStyle w:val="ListParagraph"/>
        <w:numPr>
          <w:ilvl w:val="0"/>
          <w:numId w:val="15"/>
        </w:numPr>
        <w:jc w:val="both"/>
        <w:rPr>
          <w:sz w:val="20"/>
          <w:szCs w:val="20"/>
        </w:rPr>
      </w:pPr>
      <w:r>
        <w:rPr>
          <w:sz w:val="20"/>
          <w:szCs w:val="20"/>
        </w:rPr>
        <w:t xml:space="preserve">Location of the CRL (certificate revocation list ) </w:t>
      </w:r>
    </w:p>
    <w:p w:rsidR="00D41BD8" w:rsidRDefault="00D41BD8" w:rsidP="00D41BD8">
      <w:pPr>
        <w:pStyle w:val="ListParagraph"/>
        <w:jc w:val="both"/>
        <w:rPr>
          <w:sz w:val="20"/>
          <w:szCs w:val="20"/>
        </w:rPr>
      </w:pPr>
    </w:p>
    <w:p w:rsidR="00D41BD8" w:rsidRDefault="00D41BD8" w:rsidP="00D41BD8">
      <w:pPr>
        <w:pStyle w:val="ListParagraph"/>
        <w:jc w:val="both"/>
        <w:rPr>
          <w:sz w:val="20"/>
          <w:szCs w:val="20"/>
        </w:rPr>
      </w:pPr>
      <w:r>
        <w:rPr>
          <w:sz w:val="20"/>
          <w:szCs w:val="20"/>
        </w:rPr>
        <w:t xml:space="preserve">The SP infrastructure can query a connecting App-ID /AE-ID identity from the App-ID </w:t>
      </w:r>
      <w:r w:rsidR="004731F1">
        <w:rPr>
          <w:sz w:val="20"/>
          <w:szCs w:val="20"/>
        </w:rPr>
        <w:t xml:space="preserve">Registry Function </w:t>
      </w:r>
      <w:r>
        <w:rPr>
          <w:sz w:val="20"/>
          <w:szCs w:val="20"/>
        </w:rPr>
        <w:t>to collect the PKI metadata, to verify the authentication procedures of oneM2M ( MAF) .</w:t>
      </w:r>
    </w:p>
    <w:p w:rsidR="00D41BD8" w:rsidRDefault="00D41BD8" w:rsidP="0019768F">
      <w:pPr>
        <w:pStyle w:val="ListParagraph"/>
        <w:numPr>
          <w:ilvl w:val="0"/>
          <w:numId w:val="16"/>
        </w:numPr>
        <w:jc w:val="both"/>
        <w:rPr>
          <w:sz w:val="20"/>
          <w:szCs w:val="20"/>
        </w:rPr>
      </w:pPr>
      <w:r>
        <w:rPr>
          <w:sz w:val="20"/>
          <w:szCs w:val="20"/>
        </w:rPr>
        <w:t xml:space="preserve">The SP infrastructure can verify that the Root CA certificate is valid and can be trusted (to what level) </w:t>
      </w:r>
    </w:p>
    <w:p w:rsidR="00D41BD8" w:rsidRDefault="00D41BD8" w:rsidP="0019768F">
      <w:pPr>
        <w:pStyle w:val="ListParagraph"/>
        <w:numPr>
          <w:ilvl w:val="0"/>
          <w:numId w:val="16"/>
        </w:numPr>
        <w:jc w:val="both"/>
        <w:rPr>
          <w:sz w:val="20"/>
          <w:szCs w:val="20"/>
        </w:rPr>
      </w:pPr>
      <w:r>
        <w:rPr>
          <w:sz w:val="20"/>
          <w:szCs w:val="20"/>
        </w:rPr>
        <w:t xml:space="preserve">That the issuing CA is valid and is still supported by the root CA. </w:t>
      </w:r>
    </w:p>
    <w:p w:rsidR="00D41BD8" w:rsidRDefault="00D41BD8" w:rsidP="0019768F">
      <w:pPr>
        <w:pStyle w:val="ListParagraph"/>
        <w:numPr>
          <w:ilvl w:val="0"/>
          <w:numId w:val="16"/>
        </w:numPr>
        <w:jc w:val="both"/>
        <w:rPr>
          <w:sz w:val="20"/>
          <w:szCs w:val="20"/>
        </w:rPr>
      </w:pPr>
      <w:r>
        <w:rPr>
          <w:sz w:val="20"/>
          <w:szCs w:val="20"/>
        </w:rPr>
        <w:t>If an intermediate certificate is required to authenticate the IoT application certificate.</w:t>
      </w:r>
    </w:p>
    <w:p w:rsidR="00D41BD8" w:rsidRDefault="00D41BD8" w:rsidP="0019768F">
      <w:pPr>
        <w:pStyle w:val="ListParagraph"/>
        <w:numPr>
          <w:ilvl w:val="0"/>
          <w:numId w:val="16"/>
        </w:numPr>
        <w:jc w:val="both"/>
        <w:rPr>
          <w:sz w:val="20"/>
          <w:szCs w:val="20"/>
        </w:rPr>
      </w:pPr>
      <w:r>
        <w:rPr>
          <w:sz w:val="20"/>
          <w:szCs w:val="20"/>
        </w:rPr>
        <w:t xml:space="preserve">Verify with the CRL that the certificate is not revoked. </w:t>
      </w:r>
    </w:p>
    <w:p w:rsidR="00D41BD8" w:rsidRDefault="00D41BD8" w:rsidP="00D41BD8">
      <w:pPr>
        <w:pStyle w:val="ListParagraph"/>
        <w:jc w:val="both"/>
        <w:rPr>
          <w:sz w:val="20"/>
          <w:szCs w:val="20"/>
        </w:rPr>
      </w:pPr>
    </w:p>
    <w:p w:rsidR="00D41BD8" w:rsidRDefault="00D41BD8" w:rsidP="00D41BD8">
      <w:pPr>
        <w:pStyle w:val="ListParagraph"/>
        <w:jc w:val="both"/>
        <w:rPr>
          <w:sz w:val="20"/>
          <w:szCs w:val="20"/>
        </w:rPr>
      </w:pPr>
      <w:r>
        <w:rPr>
          <w:sz w:val="20"/>
          <w:szCs w:val="20"/>
        </w:rPr>
        <w:t>The App-ID Registry Function can act as the root of trust for the oneM2M infrastructure, enabling the SP infrastructure to authenticate registered IoT applications through an automated process.</w:t>
      </w:r>
    </w:p>
    <w:p w:rsidR="00350C19" w:rsidRPr="00195B93" w:rsidRDefault="00350C19" w:rsidP="00350C19">
      <w:pPr>
        <w:pStyle w:val="ListParagraph"/>
        <w:jc w:val="both"/>
        <w:rPr>
          <w:sz w:val="20"/>
          <w:szCs w:val="20"/>
        </w:rPr>
      </w:pPr>
    </w:p>
    <w:p w:rsidR="00F37D49" w:rsidRDefault="00B007B6" w:rsidP="00F37D49">
      <w:pPr>
        <w:pStyle w:val="Heading2"/>
      </w:pPr>
      <w:bookmarkStart w:id="98" w:name="_Toc508958772"/>
      <w:r>
        <w:rPr>
          <w:lang w:val="en-US"/>
        </w:rPr>
        <w:t>6</w:t>
      </w:r>
      <w:r w:rsidR="00F37D49">
        <w:t>.</w:t>
      </w:r>
      <w:r w:rsidR="00F37D49" w:rsidRPr="001806CD">
        <w:rPr>
          <w:lang w:val="en-US"/>
        </w:rPr>
        <w:t>6</w:t>
      </w:r>
      <w:r w:rsidR="00F37D49">
        <w:tab/>
        <w:t xml:space="preserve">Use Case </w:t>
      </w:r>
      <w:r w:rsidR="00F37D49">
        <w:rPr>
          <w:lang w:val="en-US"/>
        </w:rPr>
        <w:t>6</w:t>
      </w:r>
      <w:r w:rsidR="00F37D49">
        <w:t xml:space="preserve">: </w:t>
      </w:r>
      <w:r w:rsidR="00F37D49" w:rsidRPr="001806CD">
        <w:rPr>
          <w:lang w:val="en-US"/>
        </w:rPr>
        <w:t>Revoke App-ID or AE-ID</w:t>
      </w:r>
      <w:bookmarkEnd w:id="98"/>
      <w:r w:rsidR="00F37D49">
        <w:t xml:space="preserve">   </w:t>
      </w:r>
    </w:p>
    <w:p w:rsidR="00F37D49" w:rsidRDefault="00B007B6" w:rsidP="00F37D49">
      <w:pPr>
        <w:pStyle w:val="Heading3"/>
      </w:pPr>
      <w:bookmarkStart w:id="99" w:name="_Toc508958773"/>
      <w:r>
        <w:rPr>
          <w:lang w:val="en-US"/>
        </w:rPr>
        <w:t>6</w:t>
      </w:r>
      <w:r w:rsidR="00F37D49">
        <w:t>.</w:t>
      </w:r>
      <w:r w:rsidR="00F37D49">
        <w:rPr>
          <w:lang w:val="en-US"/>
        </w:rPr>
        <w:t>6</w:t>
      </w:r>
      <w:r w:rsidR="00F37D49">
        <w:t>.1</w:t>
      </w:r>
      <w:r w:rsidR="00F37D49">
        <w:tab/>
        <w:t>Description</w:t>
      </w:r>
      <w:bookmarkEnd w:id="99"/>
    </w:p>
    <w:p w:rsidR="00F37D49" w:rsidRDefault="00F37D49" w:rsidP="00F37D49">
      <w:pPr>
        <w:pStyle w:val="ListParagraph"/>
        <w:ind w:left="0"/>
        <w:jc w:val="both"/>
        <w:rPr>
          <w:sz w:val="20"/>
          <w:szCs w:val="20"/>
        </w:rPr>
      </w:pPr>
      <w:r>
        <w:rPr>
          <w:sz w:val="20"/>
          <w:szCs w:val="20"/>
        </w:rPr>
        <w:t>The App-ID Registry may decide to:</w:t>
      </w:r>
    </w:p>
    <w:p w:rsidR="00F37D49" w:rsidRDefault="00F37D49" w:rsidP="00F37D49">
      <w:pPr>
        <w:pStyle w:val="ListParagraph"/>
        <w:ind w:left="0"/>
        <w:jc w:val="both"/>
        <w:rPr>
          <w:sz w:val="20"/>
          <w:szCs w:val="20"/>
        </w:rPr>
      </w:pPr>
    </w:p>
    <w:p w:rsidR="00F37D49" w:rsidRDefault="00F37D49" w:rsidP="0019768F">
      <w:pPr>
        <w:pStyle w:val="ListParagraph"/>
        <w:numPr>
          <w:ilvl w:val="0"/>
          <w:numId w:val="27"/>
        </w:numPr>
        <w:ind w:left="567"/>
        <w:rPr>
          <w:sz w:val="20"/>
          <w:szCs w:val="20"/>
        </w:rPr>
      </w:pPr>
      <w:r w:rsidRPr="00AE4382">
        <w:rPr>
          <w:b/>
          <w:sz w:val="20"/>
          <w:szCs w:val="20"/>
        </w:rPr>
        <w:t xml:space="preserve">Revoke an App-ID: </w:t>
      </w:r>
      <w:r>
        <w:rPr>
          <w:sz w:val="20"/>
          <w:szCs w:val="20"/>
        </w:rPr>
        <w:t xml:space="preserve">in this case a registered AE that has the revoked App-ID value will be denied a service or deregistered by the registrar CSE at the request of the App-ID </w:t>
      </w:r>
      <w:r w:rsidR="004731F1">
        <w:rPr>
          <w:sz w:val="20"/>
          <w:szCs w:val="20"/>
        </w:rPr>
        <w:t>R</w:t>
      </w:r>
      <w:r>
        <w:rPr>
          <w:sz w:val="20"/>
          <w:szCs w:val="20"/>
        </w:rPr>
        <w:t>egistry. A typical example that motivates revoking an App-ID is: when an application (corresponding to the revoked App-ID) is declared permanently or temporary unauthorized. For example</w:t>
      </w:r>
      <w:r w:rsidR="001F62BB">
        <w:rPr>
          <w:sz w:val="20"/>
          <w:szCs w:val="20"/>
        </w:rPr>
        <w:t>,</w:t>
      </w:r>
      <w:r>
        <w:rPr>
          <w:sz w:val="20"/>
          <w:szCs w:val="20"/>
        </w:rPr>
        <w:t xml:space="preserve"> when a device is detected to be misbehaving (e.g. sending unexpected data), an administrator may decide to put it into quarantine until it is fully checked. Alternatively</w:t>
      </w:r>
      <w:r w:rsidR="001F62BB">
        <w:rPr>
          <w:sz w:val="20"/>
          <w:szCs w:val="20"/>
        </w:rPr>
        <w:t>,</w:t>
      </w:r>
      <w:r>
        <w:rPr>
          <w:sz w:val="20"/>
          <w:szCs w:val="20"/>
        </w:rPr>
        <w:t xml:space="preserve"> the administrator can decide to declare an application software to be permanently invalid through revoking the corresponding App-ID. In this case,  a software upgrade will be triggered and a new version of the software, with a new App-ID value, will be installed in the devices. The revocation of an App-ID means all registered AEs with that App-ID value </w:t>
      </w:r>
      <w:r w:rsidR="00AC4858">
        <w:rPr>
          <w:sz w:val="20"/>
          <w:szCs w:val="20"/>
        </w:rPr>
        <w:t xml:space="preserve">should </w:t>
      </w:r>
      <w:r>
        <w:rPr>
          <w:sz w:val="20"/>
          <w:szCs w:val="20"/>
        </w:rPr>
        <w:t xml:space="preserve">be denied access until further notice by the App-ID </w:t>
      </w:r>
      <w:r w:rsidR="004731F1">
        <w:rPr>
          <w:sz w:val="20"/>
          <w:szCs w:val="20"/>
        </w:rPr>
        <w:t>R</w:t>
      </w:r>
      <w:r>
        <w:rPr>
          <w:sz w:val="20"/>
          <w:szCs w:val="20"/>
        </w:rPr>
        <w:t>egistry.</w:t>
      </w:r>
      <w:r>
        <w:rPr>
          <w:sz w:val="20"/>
          <w:szCs w:val="20"/>
        </w:rPr>
        <w:br/>
      </w:r>
    </w:p>
    <w:p w:rsidR="00F37D49" w:rsidRDefault="00F37D49" w:rsidP="00FB7427">
      <w:pPr>
        <w:pStyle w:val="ListParagraph"/>
        <w:numPr>
          <w:ilvl w:val="0"/>
          <w:numId w:val="27"/>
        </w:numPr>
        <w:ind w:left="567" w:hanging="283"/>
        <w:jc w:val="both"/>
        <w:rPr>
          <w:sz w:val="20"/>
          <w:szCs w:val="20"/>
        </w:rPr>
      </w:pPr>
      <w:r>
        <w:rPr>
          <w:b/>
          <w:sz w:val="20"/>
          <w:szCs w:val="20"/>
        </w:rPr>
        <w:t xml:space="preserve">Revoke an AE-ID: </w:t>
      </w:r>
      <w:r>
        <w:rPr>
          <w:sz w:val="20"/>
          <w:szCs w:val="20"/>
        </w:rPr>
        <w:t xml:space="preserve">in this case only a particular AE-ID will be denied service. The App-ID </w:t>
      </w:r>
      <w:r w:rsidR="004731F1">
        <w:rPr>
          <w:sz w:val="20"/>
          <w:szCs w:val="20"/>
        </w:rPr>
        <w:t>R</w:t>
      </w:r>
      <w:r>
        <w:rPr>
          <w:sz w:val="20"/>
          <w:szCs w:val="20"/>
        </w:rPr>
        <w:t xml:space="preserve">egistry </w:t>
      </w:r>
      <w:r w:rsidRPr="001806CD">
        <w:rPr>
          <w:sz w:val="20"/>
          <w:szCs w:val="20"/>
        </w:rPr>
        <w:t>informs</w:t>
      </w:r>
      <w:r>
        <w:rPr>
          <w:sz w:val="20"/>
          <w:szCs w:val="20"/>
        </w:rPr>
        <w:t xml:space="preserve"> the registrar CSE about the need to declare an AE registration as revoked.</w:t>
      </w:r>
    </w:p>
    <w:p w:rsidR="00350C19" w:rsidRPr="00873DE4" w:rsidRDefault="00350C19" w:rsidP="00350C19">
      <w:pPr>
        <w:rPr>
          <w:lang w:val="x-none"/>
        </w:rPr>
      </w:pPr>
    </w:p>
    <w:p w:rsidR="00350C19" w:rsidRPr="00EA211F" w:rsidRDefault="00B007B6" w:rsidP="0019768F">
      <w:pPr>
        <w:pStyle w:val="Heading2"/>
      </w:pPr>
      <w:bookmarkStart w:id="100" w:name="_Toc494099361"/>
      <w:bookmarkStart w:id="101" w:name="_Toc508958774"/>
      <w:r>
        <w:rPr>
          <w:lang w:val="en-US"/>
        </w:rPr>
        <w:t>6</w:t>
      </w:r>
      <w:r w:rsidR="00350C19" w:rsidRPr="00EA211F">
        <w:t>.</w:t>
      </w:r>
      <w:r w:rsidR="00F37D49">
        <w:rPr>
          <w:lang w:val="en-US"/>
        </w:rPr>
        <w:t>7</w:t>
      </w:r>
      <w:r w:rsidR="00350C19" w:rsidRPr="00EA211F">
        <w:rPr>
          <w:rFonts w:hint="eastAsia"/>
        </w:rPr>
        <w:tab/>
      </w:r>
      <w:r w:rsidR="00350C19" w:rsidRPr="00EA211F">
        <w:t>Actors</w:t>
      </w:r>
      <w:bookmarkEnd w:id="100"/>
      <w:bookmarkEnd w:id="101"/>
    </w:p>
    <w:p w:rsidR="00350C19" w:rsidRPr="00EA211F" w:rsidRDefault="00350C19" w:rsidP="00350C19">
      <w:pPr>
        <w:rPr>
          <w:lang w:eastAsia="zh-CN"/>
        </w:rPr>
      </w:pPr>
      <w:r w:rsidRPr="00EA211F">
        <w:rPr>
          <w:lang w:eastAsia="zh-CN"/>
        </w:rPr>
        <w:t>T</w:t>
      </w:r>
      <w:r w:rsidRPr="00EA211F">
        <w:rPr>
          <w:rFonts w:hint="eastAsia"/>
          <w:lang w:eastAsia="zh-CN"/>
        </w:rPr>
        <w:t>he entities involved in this use case are shown in the Figure</w:t>
      </w:r>
      <w:r>
        <w:rPr>
          <w:lang w:eastAsia="zh-CN"/>
        </w:rPr>
        <w:t xml:space="preserve"> </w:t>
      </w:r>
      <w:r w:rsidR="00AC4858">
        <w:rPr>
          <w:lang w:eastAsia="zh-CN"/>
        </w:rPr>
        <w:t>6</w:t>
      </w:r>
      <w:r>
        <w:rPr>
          <w:lang w:eastAsia="zh-CN"/>
        </w:rPr>
        <w:t>.</w:t>
      </w:r>
      <w:r w:rsidR="00F37D49">
        <w:rPr>
          <w:lang w:eastAsia="zh-CN"/>
        </w:rPr>
        <w:t>9</w:t>
      </w:r>
      <w:r w:rsidRPr="00EA211F">
        <w:rPr>
          <w:lang w:eastAsia="zh-CN"/>
        </w:rPr>
        <w:t>-1</w:t>
      </w:r>
      <w:r w:rsidRPr="00EA211F">
        <w:rPr>
          <w:rFonts w:hint="eastAsia"/>
          <w:lang w:eastAsia="zh-CN"/>
        </w:rPr>
        <w:t xml:space="preserve"> and described as follows:</w:t>
      </w:r>
    </w:p>
    <w:p w:rsidR="00350C19" w:rsidRDefault="00350C19" w:rsidP="00350C19">
      <w:pPr>
        <w:keepNext/>
        <w:keepLines/>
      </w:pPr>
      <w:r>
        <w:rPr>
          <w:b/>
        </w:rPr>
        <w:lastRenderedPageBreak/>
        <w:t>M2M Service I</w:t>
      </w:r>
      <w:r w:rsidRPr="0058006A">
        <w:rPr>
          <w:b/>
        </w:rPr>
        <w:t>nfrastructure</w:t>
      </w:r>
      <w:r w:rsidRPr="000E35A7">
        <w:rPr>
          <w:b/>
        </w:rPr>
        <w:t>:</w:t>
      </w:r>
      <w:r w:rsidRPr="0058006A">
        <w:t xml:space="preserve"> </w:t>
      </w:r>
      <w:r w:rsidRPr="00EA211F">
        <w:rPr>
          <w:lang w:eastAsia="zh-CN"/>
        </w:rPr>
        <w:t xml:space="preserve">It represents a </w:t>
      </w:r>
      <w:r>
        <w:t>S</w:t>
      </w:r>
      <w:r w:rsidR="001F62BB">
        <w:t>P</w:t>
      </w:r>
      <w:r>
        <w:t xml:space="preserve"> </w:t>
      </w:r>
      <w:r w:rsidRPr="00EA211F">
        <w:rPr>
          <w:rFonts w:hint="eastAsia"/>
          <w:lang w:eastAsia="zh-CN"/>
        </w:rPr>
        <w:t>i</w:t>
      </w:r>
      <w:r w:rsidRPr="00EA211F">
        <w:rPr>
          <w:lang w:eastAsia="zh-CN"/>
        </w:rPr>
        <w:t>nfrastructure</w:t>
      </w:r>
      <w:r>
        <w:rPr>
          <w:lang w:eastAsia="zh-CN"/>
        </w:rPr>
        <w:t xml:space="preserve">, including </w:t>
      </w:r>
      <w:r w:rsidR="00F37D49">
        <w:rPr>
          <w:lang w:eastAsia="zh-CN"/>
        </w:rPr>
        <w:t xml:space="preserve">the </w:t>
      </w:r>
      <w:r w:rsidR="00F37D49" w:rsidRPr="00EA211F">
        <w:rPr>
          <w:lang w:eastAsia="zh-CN"/>
        </w:rPr>
        <w:t>physical</w:t>
      </w:r>
      <w:r w:rsidRPr="0058006A">
        <w:t xml:space="preserve"> equipment (e.g. a set of physical servers) that provides management of data and coordination capabilities for the M2M </w:t>
      </w:r>
      <w:r w:rsidR="000C1AD0">
        <w:t>SP</w:t>
      </w:r>
      <w:r w:rsidRPr="0058006A">
        <w:t xml:space="preserve"> and communicates with M2M Devices</w:t>
      </w:r>
      <w:r w:rsidR="001F62BB">
        <w:t>.</w:t>
      </w:r>
    </w:p>
    <w:p w:rsidR="00350C19" w:rsidRDefault="00350C19" w:rsidP="00350C19">
      <w:pPr>
        <w:pStyle w:val="NO"/>
      </w:pPr>
      <w:r w:rsidRPr="00AE49B6">
        <w:t>NOTE:</w:t>
      </w:r>
      <w:r w:rsidRPr="00AE49B6">
        <w:tab/>
        <w:t>An M2M Service Infrastructure may communicate with other M2M Service Infrastructures. An M2M Service Infrastructure contains a CSE. It can also contain M2M applications.</w:t>
      </w:r>
    </w:p>
    <w:p w:rsidR="00350C19" w:rsidRDefault="00350C19" w:rsidP="00350C19">
      <w:r w:rsidRPr="0058006A">
        <w:rPr>
          <w:b/>
        </w:rPr>
        <w:t xml:space="preserve">M2M </w:t>
      </w:r>
      <w:r>
        <w:rPr>
          <w:b/>
        </w:rPr>
        <w:t>S</w:t>
      </w:r>
      <w:r w:rsidRPr="0058006A">
        <w:rPr>
          <w:b/>
        </w:rPr>
        <w:t xml:space="preserve">ervice </w:t>
      </w:r>
      <w:r>
        <w:rPr>
          <w:b/>
        </w:rPr>
        <w:t>P</w:t>
      </w:r>
      <w:r w:rsidRPr="0058006A">
        <w:rPr>
          <w:b/>
        </w:rPr>
        <w:t>rovider</w:t>
      </w:r>
      <w:r w:rsidRPr="000E35A7">
        <w:rPr>
          <w:b/>
        </w:rPr>
        <w:t>:</w:t>
      </w:r>
      <w:r w:rsidRPr="0058006A">
        <w:t xml:space="preserve"> entity (e.g. a company) that provides M2M Common Services to a M2M Application </w:t>
      </w:r>
      <w:r>
        <w:t>Service Provider or to the User</w:t>
      </w:r>
      <w:r w:rsidR="001F62BB">
        <w:t>.</w:t>
      </w:r>
    </w:p>
    <w:p w:rsidR="00350C19" w:rsidRDefault="00350C19" w:rsidP="00350C19">
      <w:pPr>
        <w:rPr>
          <w:lang w:eastAsia="zh-CN"/>
        </w:rPr>
      </w:pPr>
      <w:r w:rsidRPr="00EA211F">
        <w:rPr>
          <w:b/>
          <w:lang w:eastAsia="zh-CN"/>
        </w:rPr>
        <w:t xml:space="preserve">M2M </w:t>
      </w:r>
      <w:r>
        <w:rPr>
          <w:b/>
          <w:lang w:eastAsia="zh-CN"/>
        </w:rPr>
        <w:t>Application</w:t>
      </w:r>
      <w:r w:rsidRPr="00EA211F">
        <w:rPr>
          <w:b/>
          <w:lang w:eastAsia="zh-CN"/>
        </w:rPr>
        <w:t>:</w:t>
      </w:r>
      <w:r w:rsidRPr="00EA211F">
        <w:rPr>
          <w:lang w:eastAsia="zh-CN"/>
        </w:rPr>
        <w:t xml:space="preserve"> It represents a</w:t>
      </w:r>
      <w:r w:rsidR="00F37D49">
        <w:rPr>
          <w:lang w:eastAsia="zh-CN"/>
        </w:rPr>
        <w:t>n</w:t>
      </w:r>
      <w:r w:rsidRPr="00EA211F">
        <w:rPr>
          <w:lang w:eastAsia="zh-CN"/>
        </w:rPr>
        <w:t xml:space="preserve"> </w:t>
      </w:r>
      <w:r>
        <w:rPr>
          <w:lang w:eastAsia="zh-CN"/>
        </w:rPr>
        <w:t>IoT application</w:t>
      </w:r>
      <w:r w:rsidRPr="00EA211F">
        <w:rPr>
          <w:lang w:eastAsia="zh-CN"/>
        </w:rPr>
        <w:t xml:space="preserve"> that is responsible for accumulating data, </w:t>
      </w:r>
      <w:r>
        <w:rPr>
          <w:lang w:eastAsia="zh-CN"/>
        </w:rPr>
        <w:t xml:space="preserve">transferring it to the SP and performing actions instructed by the SP  . </w:t>
      </w:r>
    </w:p>
    <w:p w:rsidR="00350C19" w:rsidRPr="00B759E5" w:rsidRDefault="00350C19" w:rsidP="00721808">
      <w:pPr>
        <w:rPr>
          <w:b/>
          <w:lang w:eastAsia="zh-CN"/>
        </w:rPr>
      </w:pPr>
      <w:r w:rsidRPr="006730C4">
        <w:rPr>
          <w:b/>
        </w:rPr>
        <w:t>M2M App-ID Registration Authority</w:t>
      </w:r>
      <w:r>
        <w:rPr>
          <w:b/>
        </w:rPr>
        <w:t xml:space="preserve"> (ARA)</w:t>
      </w:r>
      <w:r w:rsidRPr="006730C4">
        <w:rPr>
          <w:b/>
        </w:rPr>
        <w:t xml:space="preserve">: </w:t>
      </w:r>
      <w:r w:rsidRPr="006730C4">
        <w:t>legal entity that manages/administers the App-ID database used to issue unique global identifiers consistent with oneM2M specifications</w:t>
      </w:r>
    </w:p>
    <w:p w:rsidR="00350C19" w:rsidRPr="00EA211F" w:rsidRDefault="00B007B6" w:rsidP="0019768F">
      <w:pPr>
        <w:pStyle w:val="Heading2"/>
      </w:pPr>
      <w:bookmarkStart w:id="102" w:name="_Toc494099362"/>
      <w:bookmarkStart w:id="103" w:name="_Toc508958775"/>
      <w:r>
        <w:rPr>
          <w:lang w:val="en-US"/>
        </w:rPr>
        <w:t>6</w:t>
      </w:r>
      <w:r w:rsidR="00350C19" w:rsidRPr="00EA211F">
        <w:t>.</w:t>
      </w:r>
      <w:r w:rsidR="00F37D49">
        <w:rPr>
          <w:lang w:val="en-US"/>
        </w:rPr>
        <w:t>8</w:t>
      </w:r>
      <w:r w:rsidR="00350C19" w:rsidRPr="00EA211F">
        <w:rPr>
          <w:rFonts w:hint="eastAsia"/>
        </w:rPr>
        <w:tab/>
      </w:r>
      <w:r w:rsidR="00350C19" w:rsidRPr="00EA211F">
        <w:t>Pre-conditions</w:t>
      </w:r>
      <w:bookmarkEnd w:id="102"/>
      <w:bookmarkEnd w:id="103"/>
    </w:p>
    <w:p w:rsidR="00350C19" w:rsidRDefault="00350C19" w:rsidP="00350C19">
      <w:pPr>
        <w:pStyle w:val="OneM2M-Normal"/>
        <w:jc w:val="both"/>
        <w:rPr>
          <w:rFonts w:ascii="Times New Roman" w:hAnsi="Times New Roman"/>
          <w:sz w:val="20"/>
          <w:szCs w:val="20"/>
          <w:lang w:eastAsia="zh-CN"/>
        </w:rPr>
      </w:pPr>
      <w:bookmarkStart w:id="104" w:name="OLE_LINK50"/>
      <w:bookmarkStart w:id="105" w:name="OLE_LINK51"/>
      <w:bookmarkStart w:id="106" w:name="OLE_LINK52"/>
      <w:r>
        <w:rPr>
          <w:rFonts w:ascii="Times New Roman" w:hAnsi="Times New Roman"/>
          <w:sz w:val="20"/>
          <w:szCs w:val="20"/>
          <w:lang w:eastAsia="zh-CN"/>
        </w:rPr>
        <w:t>The following is a list of pre-conditions:</w:t>
      </w:r>
    </w:p>
    <w:p w:rsidR="00350C19" w:rsidRDefault="00350C19" w:rsidP="00FB7427">
      <w:pPr>
        <w:pStyle w:val="OneM2M-Normal"/>
        <w:numPr>
          <w:ilvl w:val="0"/>
          <w:numId w:val="13"/>
        </w:numPr>
        <w:tabs>
          <w:tab w:val="clear" w:pos="284"/>
        </w:tabs>
        <w:ind w:left="540" w:hanging="180"/>
        <w:jc w:val="both"/>
        <w:rPr>
          <w:rFonts w:ascii="Times New Roman" w:hAnsi="Times New Roman"/>
          <w:sz w:val="20"/>
          <w:szCs w:val="20"/>
          <w:lang w:eastAsia="zh-CN"/>
        </w:rPr>
      </w:pPr>
      <w:r>
        <w:rPr>
          <w:rFonts w:ascii="Times New Roman" w:hAnsi="Times New Roman"/>
          <w:sz w:val="20"/>
          <w:szCs w:val="20"/>
          <w:lang w:eastAsia="zh-CN"/>
        </w:rPr>
        <w:t xml:space="preserve">The </w:t>
      </w:r>
      <w:r w:rsidRPr="00EA211F">
        <w:rPr>
          <w:rFonts w:ascii="Times New Roman" w:hAnsi="Times New Roman"/>
          <w:sz w:val="20"/>
          <w:szCs w:val="20"/>
          <w:lang w:eastAsia="zh-CN"/>
        </w:rPr>
        <w:t xml:space="preserve">M2M </w:t>
      </w:r>
      <w:r>
        <w:rPr>
          <w:rFonts w:ascii="Times New Roman" w:hAnsi="Times New Roman"/>
          <w:sz w:val="20"/>
          <w:szCs w:val="20"/>
          <w:lang w:eastAsia="zh-CN"/>
        </w:rPr>
        <w:t>application</w:t>
      </w:r>
      <w:r w:rsidRPr="00EA211F">
        <w:rPr>
          <w:rFonts w:ascii="Times New Roman" w:hAnsi="Times New Roman"/>
          <w:sz w:val="20"/>
          <w:szCs w:val="20"/>
          <w:lang w:eastAsia="zh-CN"/>
        </w:rPr>
        <w:t xml:space="preserve"> </w:t>
      </w:r>
      <w:r>
        <w:rPr>
          <w:rFonts w:ascii="Times New Roman" w:hAnsi="Times New Roman"/>
          <w:sz w:val="20"/>
          <w:szCs w:val="20"/>
          <w:lang w:eastAsia="zh-CN"/>
        </w:rPr>
        <w:t xml:space="preserve">is registered in the App-ID </w:t>
      </w:r>
      <w:r w:rsidR="00F37D49">
        <w:rPr>
          <w:rFonts w:ascii="Times New Roman" w:hAnsi="Times New Roman"/>
          <w:sz w:val="20"/>
          <w:szCs w:val="20"/>
          <w:lang w:eastAsia="zh-CN"/>
        </w:rPr>
        <w:t>Registry</w:t>
      </w:r>
      <w:r>
        <w:rPr>
          <w:rFonts w:ascii="Times New Roman" w:hAnsi="Times New Roman"/>
          <w:sz w:val="20"/>
          <w:szCs w:val="20"/>
          <w:lang w:eastAsia="zh-CN"/>
        </w:rPr>
        <w:t xml:space="preserve"> Function and has the metadata profile for its characteristics. </w:t>
      </w:r>
    </w:p>
    <w:bookmarkEnd w:id="104"/>
    <w:bookmarkEnd w:id="105"/>
    <w:bookmarkEnd w:id="106"/>
    <w:p w:rsidR="00350C19" w:rsidRDefault="00350C19" w:rsidP="00FB7427">
      <w:pPr>
        <w:pStyle w:val="OneM2M-Normal"/>
        <w:numPr>
          <w:ilvl w:val="0"/>
          <w:numId w:val="13"/>
        </w:numPr>
        <w:tabs>
          <w:tab w:val="clear" w:pos="284"/>
        </w:tabs>
        <w:jc w:val="both"/>
        <w:rPr>
          <w:rFonts w:ascii="Times New Roman" w:hAnsi="Times New Roman"/>
          <w:sz w:val="20"/>
          <w:szCs w:val="20"/>
          <w:lang w:eastAsia="zh-CN"/>
        </w:rPr>
      </w:pPr>
      <w:r w:rsidRPr="00EA211F">
        <w:rPr>
          <w:rFonts w:ascii="Times New Roman" w:hAnsi="Times New Roman"/>
          <w:sz w:val="20"/>
          <w:szCs w:val="20"/>
          <w:lang w:eastAsia="zh-CN"/>
        </w:rPr>
        <w:t xml:space="preserve">The </w:t>
      </w:r>
      <w:r w:rsidRPr="00683BB4">
        <w:rPr>
          <w:rFonts w:ascii="Times New Roman" w:hAnsi="Times New Roman"/>
          <w:sz w:val="20"/>
          <w:szCs w:val="20"/>
          <w:lang w:eastAsia="zh-CN"/>
        </w:rPr>
        <w:t>M2M Service Infrastructure</w:t>
      </w:r>
      <w:r w:rsidRPr="00EA211F">
        <w:rPr>
          <w:rFonts w:ascii="Times New Roman" w:hAnsi="Times New Roman"/>
          <w:sz w:val="20"/>
          <w:szCs w:val="20"/>
          <w:lang w:eastAsia="zh-CN"/>
        </w:rPr>
        <w:t xml:space="preserve"> </w:t>
      </w:r>
      <w:r>
        <w:rPr>
          <w:rFonts w:ascii="Times New Roman" w:hAnsi="Times New Roman"/>
          <w:sz w:val="20"/>
          <w:szCs w:val="20"/>
          <w:lang w:eastAsia="zh-CN"/>
        </w:rPr>
        <w:t xml:space="preserve">is able to connect with the App-ID Registry Function to query the metadata for the M2M application identity. </w:t>
      </w:r>
    </w:p>
    <w:p w:rsidR="00350C19" w:rsidRDefault="00350C19" w:rsidP="00FB7427">
      <w:pPr>
        <w:pStyle w:val="OneM2M-Normal"/>
        <w:numPr>
          <w:ilvl w:val="0"/>
          <w:numId w:val="13"/>
        </w:numPr>
        <w:tabs>
          <w:tab w:val="clear" w:pos="284"/>
        </w:tabs>
        <w:ind w:left="540" w:hanging="180"/>
        <w:jc w:val="both"/>
        <w:rPr>
          <w:rFonts w:ascii="Times New Roman" w:hAnsi="Times New Roman"/>
          <w:sz w:val="20"/>
          <w:szCs w:val="20"/>
          <w:lang w:eastAsia="zh-CN"/>
        </w:rPr>
      </w:pPr>
      <w:bookmarkStart w:id="107" w:name="OLE_LINK86"/>
      <w:bookmarkStart w:id="108" w:name="OLE_LINK87"/>
      <w:bookmarkStart w:id="109" w:name="OLE_LINK88"/>
      <w:r>
        <w:rPr>
          <w:rFonts w:ascii="Times New Roman" w:hAnsi="Times New Roman"/>
          <w:sz w:val="20"/>
          <w:szCs w:val="20"/>
          <w:lang w:eastAsia="zh-CN"/>
        </w:rPr>
        <w:t>The App-ID Registry Function has metadata corresponding to the M2M application identity.</w:t>
      </w:r>
    </w:p>
    <w:bookmarkEnd w:id="107"/>
    <w:bookmarkEnd w:id="108"/>
    <w:bookmarkEnd w:id="109"/>
    <w:p w:rsidR="00350C19" w:rsidRDefault="00350C19" w:rsidP="00FB7427">
      <w:pPr>
        <w:pStyle w:val="OneM2M-Normal"/>
        <w:numPr>
          <w:ilvl w:val="0"/>
          <w:numId w:val="13"/>
        </w:numPr>
        <w:tabs>
          <w:tab w:val="clear" w:pos="284"/>
        </w:tabs>
        <w:ind w:left="540" w:hanging="180"/>
        <w:jc w:val="both"/>
        <w:rPr>
          <w:rFonts w:ascii="Times New Roman" w:hAnsi="Times New Roman"/>
          <w:sz w:val="20"/>
          <w:szCs w:val="20"/>
          <w:lang w:eastAsia="zh-CN"/>
        </w:rPr>
      </w:pPr>
      <w:r>
        <w:rPr>
          <w:rFonts w:ascii="Times New Roman" w:hAnsi="Times New Roman"/>
          <w:sz w:val="20"/>
          <w:szCs w:val="20"/>
          <w:lang w:eastAsia="zh-CN"/>
        </w:rPr>
        <w:t xml:space="preserve">The </w:t>
      </w:r>
      <w:r w:rsidRPr="00683BB4">
        <w:rPr>
          <w:rFonts w:ascii="Times New Roman" w:hAnsi="Times New Roman"/>
          <w:sz w:val="20"/>
          <w:szCs w:val="20"/>
          <w:lang w:eastAsia="zh-CN"/>
        </w:rPr>
        <w:t>M2M Service Infrastructure</w:t>
      </w:r>
      <w:r>
        <w:rPr>
          <w:rFonts w:ascii="Times New Roman" w:hAnsi="Times New Roman"/>
          <w:sz w:val="20"/>
          <w:szCs w:val="20"/>
          <w:lang w:eastAsia="zh-CN"/>
        </w:rPr>
        <w:t xml:space="preserve"> is able to act upon the metadata returned from the App-ID Registry Function to process the M2M application</w:t>
      </w:r>
      <w:r w:rsidR="001F62BB">
        <w:rPr>
          <w:rFonts w:ascii="Times New Roman" w:hAnsi="Times New Roman"/>
          <w:sz w:val="20"/>
          <w:szCs w:val="20"/>
          <w:lang w:eastAsia="zh-CN"/>
        </w:rPr>
        <w:t>.</w:t>
      </w:r>
    </w:p>
    <w:p w:rsidR="00F37D49" w:rsidRPr="00837E60" w:rsidRDefault="00F37D49" w:rsidP="00FB7427">
      <w:pPr>
        <w:pStyle w:val="OneM2M-Normal"/>
        <w:numPr>
          <w:ilvl w:val="0"/>
          <w:numId w:val="13"/>
        </w:numPr>
        <w:tabs>
          <w:tab w:val="clear" w:pos="284"/>
        </w:tabs>
        <w:ind w:left="540" w:hanging="180"/>
        <w:jc w:val="both"/>
        <w:rPr>
          <w:rFonts w:ascii="Times New Roman" w:hAnsi="Times New Roman"/>
          <w:sz w:val="20"/>
          <w:szCs w:val="20"/>
          <w:lang w:eastAsia="zh-CN"/>
        </w:rPr>
      </w:pPr>
      <w:r w:rsidRPr="00837E60">
        <w:rPr>
          <w:rFonts w:ascii="Times New Roman" w:hAnsi="Times New Roman"/>
          <w:sz w:val="20"/>
          <w:szCs w:val="20"/>
          <w:lang w:eastAsia="zh-CN"/>
        </w:rPr>
        <w:t>The registration of an App</w:t>
      </w:r>
      <w:r>
        <w:rPr>
          <w:rFonts w:ascii="Times New Roman" w:hAnsi="Times New Roman"/>
          <w:sz w:val="20"/>
          <w:szCs w:val="20"/>
          <w:lang w:eastAsia="zh-CN"/>
        </w:rPr>
        <w:t>-</w:t>
      </w:r>
      <w:r w:rsidRPr="00837E60">
        <w:rPr>
          <w:rFonts w:ascii="Times New Roman" w:hAnsi="Times New Roman"/>
          <w:sz w:val="20"/>
          <w:szCs w:val="20"/>
          <w:lang w:eastAsia="zh-CN"/>
        </w:rPr>
        <w:t>ID identity</w:t>
      </w:r>
      <w:r>
        <w:rPr>
          <w:rFonts w:ascii="Times New Roman" w:hAnsi="Times New Roman"/>
          <w:sz w:val="20"/>
          <w:szCs w:val="20"/>
          <w:lang w:eastAsia="zh-CN"/>
        </w:rPr>
        <w:t xml:space="preserve"> with the M2M Service infrastructure </w:t>
      </w:r>
      <w:r w:rsidRPr="00837E60">
        <w:rPr>
          <w:rFonts w:ascii="Times New Roman" w:hAnsi="Times New Roman"/>
          <w:sz w:val="20"/>
          <w:szCs w:val="20"/>
          <w:lang w:eastAsia="zh-CN"/>
        </w:rPr>
        <w:t>based on the following list of pre-conditions:</w:t>
      </w:r>
    </w:p>
    <w:p w:rsidR="00F37D49" w:rsidRDefault="00F37D49" w:rsidP="00FB7427">
      <w:pPr>
        <w:pStyle w:val="OneM2M-Normal"/>
        <w:numPr>
          <w:ilvl w:val="1"/>
          <w:numId w:val="13"/>
        </w:numPr>
        <w:tabs>
          <w:tab w:val="clear" w:pos="284"/>
          <w:tab w:val="left" w:pos="720"/>
        </w:tabs>
        <w:jc w:val="both"/>
        <w:rPr>
          <w:rFonts w:ascii="Times New Roman" w:hAnsi="Times New Roman"/>
          <w:sz w:val="20"/>
          <w:szCs w:val="20"/>
          <w:lang w:eastAsia="zh-CN"/>
        </w:rPr>
      </w:pPr>
      <w:r>
        <w:rPr>
          <w:rFonts w:ascii="Times New Roman" w:hAnsi="Times New Roman"/>
          <w:sz w:val="20"/>
          <w:szCs w:val="20"/>
          <w:lang w:eastAsia="zh-CN"/>
        </w:rPr>
        <w:t xml:space="preserve">Variant 1: The App-ID </w:t>
      </w:r>
      <w:r w:rsidR="004731F1">
        <w:rPr>
          <w:rFonts w:ascii="Times New Roman" w:hAnsi="Times New Roman"/>
          <w:sz w:val="20"/>
          <w:szCs w:val="20"/>
          <w:lang w:eastAsia="zh-CN"/>
        </w:rPr>
        <w:t>R</w:t>
      </w:r>
      <w:r>
        <w:rPr>
          <w:rFonts w:ascii="Times New Roman" w:hAnsi="Times New Roman"/>
          <w:sz w:val="20"/>
          <w:szCs w:val="20"/>
          <w:lang w:eastAsia="zh-CN"/>
        </w:rPr>
        <w:t>egistry allowed registration of AEs (eventually more than one) which provided the necessary credentials to register with a specific App-ID value</w:t>
      </w:r>
    </w:p>
    <w:p w:rsidR="00F37D49" w:rsidRPr="00C24F59" w:rsidRDefault="00F37D49" w:rsidP="00FB7427">
      <w:pPr>
        <w:pStyle w:val="OneM2M-Normal"/>
        <w:numPr>
          <w:ilvl w:val="1"/>
          <w:numId w:val="13"/>
        </w:numPr>
        <w:tabs>
          <w:tab w:val="clear" w:pos="284"/>
          <w:tab w:val="left" w:pos="720"/>
        </w:tabs>
        <w:jc w:val="both"/>
        <w:rPr>
          <w:rFonts w:ascii="Times New Roman" w:hAnsi="Times New Roman"/>
          <w:sz w:val="20"/>
          <w:szCs w:val="20"/>
          <w:lang w:eastAsia="zh-CN"/>
        </w:rPr>
      </w:pPr>
      <w:r>
        <w:rPr>
          <w:rFonts w:ascii="Times New Roman" w:hAnsi="Times New Roman"/>
          <w:sz w:val="20"/>
          <w:szCs w:val="20"/>
          <w:lang w:eastAsia="zh-CN"/>
        </w:rPr>
        <w:t xml:space="preserve">Variant 2: The App-ID </w:t>
      </w:r>
      <w:r w:rsidR="004731F1">
        <w:rPr>
          <w:rFonts w:ascii="Times New Roman" w:hAnsi="Times New Roman"/>
          <w:sz w:val="20"/>
          <w:szCs w:val="20"/>
          <w:lang w:eastAsia="zh-CN"/>
        </w:rPr>
        <w:t>R</w:t>
      </w:r>
      <w:r>
        <w:rPr>
          <w:rFonts w:ascii="Times New Roman" w:hAnsi="Times New Roman"/>
          <w:sz w:val="20"/>
          <w:szCs w:val="20"/>
          <w:lang w:eastAsia="zh-CN"/>
        </w:rPr>
        <w:t>egistry allowed registration of an AE instance which provided the necessary credentials to register with a specific App-ID value and a specific AE-ID value</w:t>
      </w:r>
      <w:r w:rsidR="001F62BB">
        <w:rPr>
          <w:rFonts w:ascii="Times New Roman" w:hAnsi="Times New Roman"/>
          <w:sz w:val="20"/>
          <w:szCs w:val="20"/>
          <w:lang w:eastAsia="zh-CN"/>
        </w:rPr>
        <w:t>..</w:t>
      </w:r>
    </w:p>
    <w:p w:rsidR="00350C19" w:rsidRDefault="00350C19" w:rsidP="00350C19">
      <w:pPr>
        <w:pStyle w:val="OneM2M-Normal"/>
        <w:jc w:val="both"/>
        <w:rPr>
          <w:rFonts w:ascii="Times New Roman" w:hAnsi="Times New Roman"/>
          <w:sz w:val="20"/>
          <w:szCs w:val="20"/>
          <w:lang w:eastAsia="zh-CN"/>
        </w:rPr>
      </w:pPr>
    </w:p>
    <w:p w:rsidR="00350C19" w:rsidRPr="00EA211F" w:rsidRDefault="00B007B6" w:rsidP="0019768F">
      <w:pPr>
        <w:pStyle w:val="Heading2"/>
      </w:pPr>
      <w:bookmarkStart w:id="110" w:name="_Toc494099363"/>
      <w:bookmarkStart w:id="111" w:name="_Toc508958776"/>
      <w:r>
        <w:rPr>
          <w:lang w:val="en-US"/>
        </w:rPr>
        <w:t>6</w:t>
      </w:r>
      <w:r w:rsidR="00350C19" w:rsidRPr="00EA211F">
        <w:t>.</w:t>
      </w:r>
      <w:r w:rsidR="00F37D49">
        <w:rPr>
          <w:lang w:val="en-US"/>
        </w:rPr>
        <w:t>9</w:t>
      </w:r>
      <w:r w:rsidR="00350C19" w:rsidRPr="00EA211F">
        <w:rPr>
          <w:rFonts w:hint="eastAsia"/>
        </w:rPr>
        <w:tab/>
      </w:r>
      <w:r w:rsidR="00350C19" w:rsidRPr="00EA211F">
        <w:t>Normal Flow</w:t>
      </w:r>
      <w:bookmarkEnd w:id="110"/>
      <w:bookmarkEnd w:id="111"/>
    </w:p>
    <w:p w:rsidR="00D41BD8" w:rsidRDefault="00D41BD8" w:rsidP="00D41BD8">
      <w:pPr>
        <w:rPr>
          <w:lang w:eastAsia="zh-CN"/>
        </w:rPr>
      </w:pPr>
      <w:r>
        <w:rPr>
          <w:lang w:eastAsia="zh-CN"/>
        </w:rPr>
        <w:t xml:space="preserve">Procedure to verify M2M application identity with App-ID Registry Function is: </w:t>
      </w:r>
    </w:p>
    <w:p w:rsidR="00D41BD8" w:rsidRDefault="00D41BD8" w:rsidP="0019768F">
      <w:pPr>
        <w:numPr>
          <w:ilvl w:val="0"/>
          <w:numId w:val="17"/>
        </w:numPr>
        <w:ind w:left="864" w:hanging="432"/>
        <w:textAlignment w:val="auto"/>
        <w:rPr>
          <w:lang w:eastAsia="zh-CN"/>
        </w:rPr>
      </w:pPr>
      <w:r>
        <w:rPr>
          <w:lang w:eastAsia="zh-CN"/>
        </w:rPr>
        <w:t xml:space="preserve">The M2M application presents identity information to the M2M Service Infrastructure. </w:t>
      </w:r>
    </w:p>
    <w:p w:rsidR="00D41BD8" w:rsidRDefault="00D41BD8" w:rsidP="0019768F">
      <w:pPr>
        <w:numPr>
          <w:ilvl w:val="0"/>
          <w:numId w:val="17"/>
        </w:numPr>
        <w:ind w:left="864" w:hanging="432"/>
        <w:textAlignment w:val="auto"/>
        <w:rPr>
          <w:lang w:eastAsia="zh-CN"/>
        </w:rPr>
      </w:pPr>
      <w:r>
        <w:rPr>
          <w:lang w:eastAsia="zh-CN"/>
        </w:rPr>
        <w:t xml:space="preserve">The M2M Service Infrastructure, if configured to verify the M2M application identity, will query the presented M2M applications App-ID and/or AE-ID to check if registered with the App-ID </w:t>
      </w:r>
      <w:r w:rsidR="00F37D49">
        <w:rPr>
          <w:lang w:eastAsia="zh-CN"/>
        </w:rPr>
        <w:t>Registry</w:t>
      </w:r>
      <w:r>
        <w:rPr>
          <w:lang w:eastAsia="zh-CN"/>
        </w:rPr>
        <w:t xml:space="preserve"> Function.</w:t>
      </w:r>
    </w:p>
    <w:p w:rsidR="00D41BD8" w:rsidRDefault="00D41BD8" w:rsidP="0019768F">
      <w:pPr>
        <w:pStyle w:val="ListParagraph"/>
        <w:numPr>
          <w:ilvl w:val="0"/>
          <w:numId w:val="17"/>
        </w:numPr>
        <w:overflowPunct w:val="0"/>
        <w:autoSpaceDE w:val="0"/>
        <w:autoSpaceDN w:val="0"/>
        <w:adjustRightInd w:val="0"/>
        <w:spacing w:after="180"/>
        <w:textAlignment w:val="baseline"/>
        <w:rPr>
          <w:sz w:val="20"/>
          <w:szCs w:val="20"/>
          <w:lang w:eastAsia="zh-CN"/>
        </w:rPr>
      </w:pPr>
      <w:r>
        <w:rPr>
          <w:sz w:val="20"/>
          <w:szCs w:val="20"/>
          <w:lang w:eastAsia="zh-CN"/>
        </w:rPr>
        <w:t xml:space="preserve">If the M2M application identity is registered with the App-ID Registry Function, the registry will supply the metadata to the SP. </w:t>
      </w:r>
    </w:p>
    <w:p w:rsidR="00D41BD8" w:rsidRDefault="00D41BD8" w:rsidP="00D41BD8">
      <w:pPr>
        <w:pStyle w:val="ListParagraph"/>
        <w:rPr>
          <w:sz w:val="20"/>
          <w:szCs w:val="20"/>
          <w:lang w:eastAsia="zh-CN"/>
        </w:rPr>
      </w:pPr>
    </w:p>
    <w:p w:rsidR="00D41BD8" w:rsidRDefault="00D41BD8" w:rsidP="0019768F">
      <w:pPr>
        <w:pStyle w:val="ListParagraph"/>
        <w:numPr>
          <w:ilvl w:val="0"/>
          <w:numId w:val="17"/>
        </w:numPr>
        <w:rPr>
          <w:sz w:val="20"/>
          <w:szCs w:val="20"/>
          <w:lang w:eastAsia="zh-CN"/>
        </w:rPr>
      </w:pPr>
      <w:r>
        <w:rPr>
          <w:sz w:val="20"/>
          <w:szCs w:val="20"/>
          <w:lang w:eastAsia="zh-CN"/>
        </w:rPr>
        <w:t xml:space="preserve">The M2M Service infrastructure reacts based on the metadata to process the associated M2M application according to the M2M service provider preferences, for example: </w:t>
      </w:r>
    </w:p>
    <w:p w:rsidR="00D41BD8" w:rsidRDefault="00D41BD8" w:rsidP="0019768F">
      <w:pPr>
        <w:pStyle w:val="ListParagraph"/>
        <w:numPr>
          <w:ilvl w:val="0"/>
          <w:numId w:val="18"/>
        </w:numPr>
        <w:rPr>
          <w:sz w:val="20"/>
          <w:szCs w:val="20"/>
          <w:lang w:eastAsia="zh-CN"/>
        </w:rPr>
      </w:pPr>
      <w:r>
        <w:rPr>
          <w:sz w:val="20"/>
          <w:szCs w:val="20"/>
          <w:lang w:eastAsia="zh-CN"/>
        </w:rPr>
        <w:t>Allow</w:t>
      </w:r>
      <w:r w:rsidR="001F62BB">
        <w:rPr>
          <w:sz w:val="20"/>
          <w:szCs w:val="20"/>
          <w:lang w:eastAsia="zh-CN"/>
        </w:rPr>
        <w:t>.</w:t>
      </w:r>
    </w:p>
    <w:p w:rsidR="00D41BD8" w:rsidRDefault="00D41BD8" w:rsidP="0019768F">
      <w:pPr>
        <w:pStyle w:val="ListParagraph"/>
        <w:numPr>
          <w:ilvl w:val="0"/>
          <w:numId w:val="18"/>
        </w:numPr>
        <w:rPr>
          <w:sz w:val="20"/>
          <w:szCs w:val="20"/>
          <w:lang w:eastAsia="zh-CN"/>
        </w:rPr>
      </w:pPr>
      <w:r>
        <w:rPr>
          <w:sz w:val="20"/>
          <w:szCs w:val="20"/>
          <w:lang w:eastAsia="zh-CN"/>
        </w:rPr>
        <w:t>Disallow</w:t>
      </w:r>
      <w:r w:rsidR="001F62BB">
        <w:rPr>
          <w:sz w:val="20"/>
          <w:szCs w:val="20"/>
          <w:lang w:eastAsia="zh-CN"/>
        </w:rPr>
        <w:t>.</w:t>
      </w:r>
    </w:p>
    <w:p w:rsidR="00D41BD8" w:rsidRDefault="00D41BD8" w:rsidP="0019768F">
      <w:pPr>
        <w:pStyle w:val="ListParagraph"/>
        <w:numPr>
          <w:ilvl w:val="0"/>
          <w:numId w:val="18"/>
        </w:numPr>
        <w:rPr>
          <w:sz w:val="20"/>
          <w:szCs w:val="20"/>
          <w:lang w:eastAsia="zh-CN"/>
        </w:rPr>
      </w:pPr>
      <w:r>
        <w:rPr>
          <w:sz w:val="20"/>
          <w:szCs w:val="20"/>
          <w:lang w:eastAsia="zh-CN"/>
        </w:rPr>
        <w:t>Allow with restrictions</w:t>
      </w:r>
      <w:r w:rsidR="001F62BB">
        <w:rPr>
          <w:sz w:val="20"/>
          <w:szCs w:val="20"/>
          <w:lang w:eastAsia="zh-CN"/>
        </w:rPr>
        <w:t>.</w:t>
      </w:r>
    </w:p>
    <w:p w:rsidR="00D41BD8" w:rsidRDefault="00D41BD8" w:rsidP="0019768F">
      <w:pPr>
        <w:pStyle w:val="ListParagraph"/>
        <w:numPr>
          <w:ilvl w:val="0"/>
          <w:numId w:val="18"/>
        </w:numPr>
        <w:rPr>
          <w:sz w:val="20"/>
          <w:szCs w:val="20"/>
          <w:lang w:eastAsia="zh-CN"/>
        </w:rPr>
      </w:pPr>
      <w:r>
        <w:rPr>
          <w:sz w:val="20"/>
          <w:szCs w:val="20"/>
          <w:lang w:eastAsia="zh-CN"/>
        </w:rPr>
        <w:t>Trigger app registration</w:t>
      </w:r>
      <w:r w:rsidR="001F62BB">
        <w:rPr>
          <w:sz w:val="20"/>
          <w:szCs w:val="20"/>
          <w:lang w:eastAsia="zh-CN"/>
        </w:rPr>
        <w:t>.</w:t>
      </w:r>
    </w:p>
    <w:p w:rsidR="00D41BD8" w:rsidRDefault="00D41BD8" w:rsidP="0019768F">
      <w:pPr>
        <w:pStyle w:val="ListParagraph"/>
        <w:numPr>
          <w:ilvl w:val="0"/>
          <w:numId w:val="18"/>
        </w:numPr>
        <w:rPr>
          <w:sz w:val="20"/>
          <w:szCs w:val="20"/>
          <w:lang w:eastAsia="zh-CN"/>
        </w:rPr>
      </w:pPr>
      <w:r>
        <w:rPr>
          <w:sz w:val="20"/>
          <w:szCs w:val="20"/>
          <w:lang w:eastAsia="zh-CN"/>
        </w:rPr>
        <w:t>Trigger app digital certificate verification</w:t>
      </w:r>
      <w:r w:rsidR="001F62BB">
        <w:rPr>
          <w:sz w:val="20"/>
          <w:szCs w:val="20"/>
          <w:lang w:eastAsia="zh-CN"/>
        </w:rPr>
        <w:t>.</w:t>
      </w:r>
      <w:r>
        <w:rPr>
          <w:sz w:val="20"/>
          <w:szCs w:val="20"/>
          <w:lang w:eastAsia="zh-CN"/>
        </w:rPr>
        <w:t xml:space="preserve">  </w:t>
      </w:r>
    </w:p>
    <w:p w:rsidR="00D41BD8" w:rsidRDefault="00D41BD8" w:rsidP="0019768F">
      <w:pPr>
        <w:pStyle w:val="ListParagraph"/>
        <w:numPr>
          <w:ilvl w:val="0"/>
          <w:numId w:val="18"/>
        </w:numPr>
        <w:rPr>
          <w:sz w:val="20"/>
          <w:szCs w:val="20"/>
          <w:lang w:eastAsia="zh-CN"/>
        </w:rPr>
      </w:pPr>
      <w:r>
        <w:rPr>
          <w:sz w:val="20"/>
          <w:szCs w:val="20"/>
          <w:lang w:eastAsia="zh-CN"/>
        </w:rPr>
        <w:t>Trigger comparison of a user’s privacy preferences and an applications privacy policies and new consent</w:t>
      </w:r>
      <w:r w:rsidR="001F62BB">
        <w:rPr>
          <w:sz w:val="20"/>
          <w:szCs w:val="20"/>
          <w:lang w:eastAsia="zh-CN"/>
        </w:rPr>
        <w:t>.</w:t>
      </w:r>
      <w:r>
        <w:rPr>
          <w:sz w:val="20"/>
          <w:szCs w:val="20"/>
          <w:lang w:eastAsia="zh-CN"/>
        </w:rPr>
        <w:t xml:space="preserve">   </w:t>
      </w:r>
    </w:p>
    <w:p w:rsidR="00D41BD8" w:rsidRDefault="00D41BD8" w:rsidP="0019768F">
      <w:pPr>
        <w:pStyle w:val="ListParagraph"/>
        <w:numPr>
          <w:ilvl w:val="0"/>
          <w:numId w:val="18"/>
        </w:numPr>
        <w:rPr>
          <w:sz w:val="20"/>
          <w:szCs w:val="20"/>
          <w:lang w:eastAsia="zh-CN"/>
        </w:rPr>
      </w:pPr>
      <w:r>
        <w:rPr>
          <w:sz w:val="20"/>
          <w:szCs w:val="20"/>
          <w:lang w:eastAsia="zh-CN"/>
        </w:rPr>
        <w:t xml:space="preserve">etc. </w:t>
      </w:r>
    </w:p>
    <w:p w:rsidR="00350C19" w:rsidRDefault="00350C19" w:rsidP="00350C19">
      <w:pPr>
        <w:ind w:left="864"/>
        <w:rPr>
          <w:lang w:eastAsia="zh-CN"/>
        </w:rPr>
      </w:pPr>
      <w:r>
        <w:rPr>
          <w:lang w:eastAsia="zh-CN"/>
        </w:rPr>
        <w:t xml:space="preserve"> </w:t>
      </w:r>
    </w:p>
    <w:p w:rsidR="00350C19" w:rsidRDefault="0091563F" w:rsidP="00350C19">
      <w:pPr>
        <w:rPr>
          <w:lang w:eastAsia="zh-CN"/>
        </w:rPr>
      </w:pPr>
      <w:r w:rsidRPr="006905FE">
        <w:rPr>
          <w:noProof/>
          <w:lang w:eastAsia="en-GB"/>
        </w:rPr>
        <w:lastRenderedPageBreak/>
        <w:drawing>
          <wp:inline distT="0" distB="0" distL="0" distR="0" wp14:anchorId="16C8BCF1" wp14:editId="2E0521AC">
            <wp:extent cx="5279390" cy="312737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9390" cy="3127375"/>
                    </a:xfrm>
                    <a:prstGeom prst="rect">
                      <a:avLst/>
                    </a:prstGeom>
                    <a:noFill/>
                    <a:ln>
                      <a:noFill/>
                    </a:ln>
                  </pic:spPr>
                </pic:pic>
              </a:graphicData>
            </a:graphic>
          </wp:inline>
        </w:drawing>
      </w:r>
    </w:p>
    <w:p w:rsidR="00350C19" w:rsidRDefault="00350C19" w:rsidP="00350C19">
      <w:pPr>
        <w:jc w:val="center"/>
        <w:rPr>
          <w:b/>
          <w:lang w:eastAsia="zh-CN"/>
        </w:rPr>
      </w:pPr>
      <w:r w:rsidRPr="00B759E5">
        <w:rPr>
          <w:b/>
          <w:lang w:eastAsia="zh-CN"/>
        </w:rPr>
        <w:t xml:space="preserve">Figure </w:t>
      </w:r>
      <w:r w:rsidR="009F6828">
        <w:rPr>
          <w:b/>
          <w:lang w:eastAsia="zh-CN"/>
        </w:rPr>
        <w:t>6</w:t>
      </w:r>
      <w:r w:rsidRPr="00B759E5">
        <w:rPr>
          <w:b/>
          <w:lang w:eastAsia="zh-CN"/>
        </w:rPr>
        <w:t>.</w:t>
      </w:r>
      <w:r w:rsidR="00F37D49">
        <w:rPr>
          <w:b/>
          <w:lang w:eastAsia="zh-CN"/>
        </w:rPr>
        <w:t>9</w:t>
      </w:r>
      <w:r w:rsidR="001F62BB">
        <w:rPr>
          <w:b/>
          <w:lang w:eastAsia="zh-CN"/>
        </w:rPr>
        <w:t>-1</w:t>
      </w:r>
      <w:r w:rsidRPr="00B759E5">
        <w:rPr>
          <w:b/>
          <w:lang w:eastAsia="zh-CN"/>
        </w:rPr>
        <w:t xml:space="preserve">: </w:t>
      </w:r>
      <w:r>
        <w:rPr>
          <w:b/>
          <w:lang w:eastAsia="zh-CN"/>
        </w:rPr>
        <w:t xml:space="preserve">Flow for query of App-ID and / or AE-ID metadata </w:t>
      </w:r>
    </w:p>
    <w:bookmarkEnd w:id="58"/>
    <w:p w:rsidR="00F37D49" w:rsidRDefault="00F37D49" w:rsidP="00350C19">
      <w:pPr>
        <w:jc w:val="center"/>
        <w:rPr>
          <w:b/>
          <w:lang w:eastAsia="zh-CN"/>
        </w:rPr>
      </w:pPr>
    </w:p>
    <w:p w:rsidR="00C86764" w:rsidRDefault="00C86764" w:rsidP="00350C19">
      <w:pPr>
        <w:jc w:val="center"/>
        <w:rPr>
          <w:b/>
          <w:lang w:eastAsia="zh-CN"/>
        </w:rPr>
      </w:pPr>
    </w:p>
    <w:p w:rsidR="00C86764" w:rsidRDefault="00C86764" w:rsidP="00350C19">
      <w:pPr>
        <w:jc w:val="center"/>
        <w:rPr>
          <w:b/>
          <w:lang w:eastAsia="zh-CN"/>
        </w:rPr>
      </w:pPr>
    </w:p>
    <w:p w:rsidR="00C86764" w:rsidRDefault="00C86764" w:rsidP="00721808">
      <w:pPr>
        <w:rPr>
          <w:b/>
          <w:lang w:eastAsia="zh-CN"/>
        </w:rPr>
      </w:pPr>
    </w:p>
    <w:p w:rsidR="00C86764" w:rsidRDefault="00B007B6" w:rsidP="00837E60">
      <w:pPr>
        <w:pStyle w:val="Heading2"/>
        <w:rPr>
          <w:b/>
          <w:lang w:eastAsia="zh-CN"/>
        </w:rPr>
      </w:pPr>
      <w:bookmarkStart w:id="112" w:name="_Toc508958777"/>
      <w:r>
        <w:rPr>
          <w:lang w:val="en-US"/>
        </w:rPr>
        <w:t>6</w:t>
      </w:r>
      <w:r w:rsidR="00C86764" w:rsidRPr="0019768F">
        <w:rPr>
          <w:lang w:val="en-US"/>
        </w:rPr>
        <w:t>.</w:t>
      </w:r>
      <w:r w:rsidR="00C86764">
        <w:rPr>
          <w:lang w:val="en-US"/>
        </w:rPr>
        <w:t xml:space="preserve">10 </w:t>
      </w:r>
      <w:r w:rsidR="00C86764">
        <w:rPr>
          <w:lang w:val="en-US"/>
        </w:rPr>
        <w:tab/>
      </w:r>
      <w:r w:rsidR="00C86764">
        <w:t>Revocation</w:t>
      </w:r>
      <w:r w:rsidR="00C86764">
        <w:rPr>
          <w:lang w:val="en-US"/>
        </w:rPr>
        <w:t xml:space="preserve"> - </w:t>
      </w:r>
      <w:r w:rsidR="00C86764" w:rsidRPr="00EA211F">
        <w:t>Normal Flow</w:t>
      </w:r>
      <w:bookmarkEnd w:id="112"/>
    </w:p>
    <w:p w:rsidR="00F37D49" w:rsidRDefault="00F37D49" w:rsidP="00F37D49">
      <w:pPr>
        <w:rPr>
          <w:lang w:eastAsia="zh-CN"/>
        </w:rPr>
      </w:pPr>
      <w:r>
        <w:rPr>
          <w:lang w:eastAsia="zh-CN"/>
        </w:rPr>
        <w:t>Procedure to revoke App-ID</w:t>
      </w:r>
      <w:r w:rsidR="001F62BB">
        <w:rPr>
          <w:lang w:eastAsia="zh-CN"/>
        </w:rPr>
        <w:t>:</w:t>
      </w:r>
    </w:p>
    <w:p w:rsidR="00F37D49" w:rsidRDefault="00F37D49" w:rsidP="00FB7427">
      <w:pPr>
        <w:numPr>
          <w:ilvl w:val="0"/>
          <w:numId w:val="28"/>
        </w:numPr>
        <w:textAlignment w:val="auto"/>
        <w:rPr>
          <w:lang w:eastAsia="zh-CN"/>
        </w:rPr>
      </w:pPr>
      <w:r>
        <w:rPr>
          <w:lang w:eastAsia="zh-CN"/>
        </w:rPr>
        <w:t xml:space="preserve">One or more AEs register to CSEs of M2M service infrastructure. App-ID </w:t>
      </w:r>
      <w:r w:rsidR="004731F1">
        <w:rPr>
          <w:lang w:eastAsia="zh-CN"/>
        </w:rPr>
        <w:t>R</w:t>
      </w:r>
      <w:r>
        <w:rPr>
          <w:lang w:eastAsia="zh-CN"/>
        </w:rPr>
        <w:t>egistry provides necessary authorisations as part of returned metadata</w:t>
      </w:r>
      <w:r w:rsidR="001F62BB">
        <w:rPr>
          <w:lang w:eastAsia="zh-CN"/>
        </w:rPr>
        <w:t>.</w:t>
      </w:r>
    </w:p>
    <w:p w:rsidR="00F37D49" w:rsidRDefault="00F37D49" w:rsidP="00721808">
      <w:pPr>
        <w:numPr>
          <w:ilvl w:val="0"/>
          <w:numId w:val="28"/>
        </w:numPr>
        <w:textAlignment w:val="auto"/>
        <w:rPr>
          <w:lang w:eastAsia="zh-CN"/>
        </w:rPr>
      </w:pPr>
      <w:r>
        <w:rPr>
          <w:lang w:eastAsia="zh-CN"/>
        </w:rPr>
        <w:t>A specific event triggers a decision by the App-ID Registry to revoke an App-ID value, therefore suspending access to all AEs sharing that App-ID</w:t>
      </w:r>
      <w:r w:rsidR="001F62BB">
        <w:rPr>
          <w:lang w:eastAsia="zh-CN"/>
        </w:rPr>
        <w:t>.</w:t>
      </w:r>
    </w:p>
    <w:p w:rsidR="00F37D49" w:rsidRDefault="00F37D49" w:rsidP="00FB7427">
      <w:pPr>
        <w:pStyle w:val="ListParagraph"/>
        <w:numPr>
          <w:ilvl w:val="0"/>
          <w:numId w:val="28"/>
        </w:numPr>
        <w:rPr>
          <w:sz w:val="20"/>
          <w:szCs w:val="20"/>
          <w:lang w:eastAsia="zh-CN"/>
        </w:rPr>
      </w:pPr>
      <w:r>
        <w:rPr>
          <w:sz w:val="20"/>
          <w:szCs w:val="20"/>
          <w:lang w:eastAsia="zh-CN"/>
        </w:rPr>
        <w:t xml:space="preserve">App-ID </w:t>
      </w:r>
      <w:r w:rsidR="004731F1">
        <w:rPr>
          <w:sz w:val="20"/>
          <w:szCs w:val="20"/>
          <w:lang w:eastAsia="zh-CN"/>
        </w:rPr>
        <w:t>R</w:t>
      </w:r>
      <w:r>
        <w:rPr>
          <w:sz w:val="20"/>
          <w:szCs w:val="20"/>
          <w:lang w:eastAsia="zh-CN"/>
        </w:rPr>
        <w:t>egistry informs M2M Service infrastructure about the decision to Revoke and App-ID</w:t>
      </w:r>
      <w:r w:rsidR="001F62BB">
        <w:rPr>
          <w:sz w:val="20"/>
          <w:szCs w:val="20"/>
          <w:lang w:eastAsia="zh-CN"/>
        </w:rPr>
        <w:t>.</w:t>
      </w:r>
    </w:p>
    <w:p w:rsidR="00F37D49" w:rsidRDefault="00F37D49" w:rsidP="00F37D49">
      <w:pPr>
        <w:pStyle w:val="ListParagraph"/>
        <w:ind w:left="0"/>
        <w:rPr>
          <w:sz w:val="20"/>
          <w:szCs w:val="20"/>
          <w:lang w:eastAsia="zh-CN"/>
        </w:rPr>
      </w:pPr>
    </w:p>
    <w:p w:rsidR="00F37D49" w:rsidRDefault="00F37D49" w:rsidP="00FB7427">
      <w:pPr>
        <w:pStyle w:val="ListParagraph"/>
        <w:numPr>
          <w:ilvl w:val="0"/>
          <w:numId w:val="28"/>
        </w:numPr>
        <w:rPr>
          <w:sz w:val="20"/>
          <w:szCs w:val="20"/>
          <w:lang w:eastAsia="zh-CN"/>
        </w:rPr>
      </w:pPr>
      <w:r>
        <w:rPr>
          <w:sz w:val="20"/>
          <w:szCs w:val="20"/>
          <w:lang w:eastAsia="zh-CN"/>
        </w:rPr>
        <w:t>M2M Service infrastructure may declare all AEs with the revoked App-ID value as suspended</w:t>
      </w:r>
      <w:r w:rsidR="001F62BB">
        <w:rPr>
          <w:sz w:val="20"/>
          <w:szCs w:val="20"/>
          <w:lang w:eastAsia="zh-CN"/>
        </w:rPr>
        <w:t>.</w:t>
      </w:r>
    </w:p>
    <w:p w:rsidR="00F37D49" w:rsidRDefault="00F37D49" w:rsidP="00F37D49">
      <w:pPr>
        <w:pStyle w:val="ListParagraph"/>
        <w:rPr>
          <w:sz w:val="20"/>
          <w:szCs w:val="20"/>
          <w:lang w:eastAsia="zh-CN"/>
        </w:rPr>
      </w:pPr>
    </w:p>
    <w:p w:rsidR="00F37D49" w:rsidRDefault="00F37D49" w:rsidP="00FB7427">
      <w:pPr>
        <w:pStyle w:val="ListParagraph"/>
        <w:numPr>
          <w:ilvl w:val="0"/>
          <w:numId w:val="28"/>
        </w:numPr>
        <w:rPr>
          <w:sz w:val="20"/>
          <w:szCs w:val="20"/>
          <w:lang w:eastAsia="zh-CN"/>
        </w:rPr>
      </w:pPr>
      <w:r>
        <w:rPr>
          <w:sz w:val="20"/>
          <w:szCs w:val="20"/>
          <w:lang w:eastAsia="zh-CN"/>
        </w:rPr>
        <w:t>All requests from AEs with the revoked App-ID are denied service</w:t>
      </w:r>
      <w:r w:rsidR="001F62BB">
        <w:rPr>
          <w:sz w:val="20"/>
          <w:szCs w:val="20"/>
          <w:lang w:eastAsia="zh-CN"/>
        </w:rPr>
        <w:t>.</w:t>
      </w:r>
    </w:p>
    <w:p w:rsidR="00F37D49" w:rsidRDefault="00F37D49" w:rsidP="00350C19">
      <w:pPr>
        <w:jc w:val="center"/>
        <w:rPr>
          <w:b/>
          <w:lang w:eastAsia="zh-CN"/>
        </w:rPr>
      </w:pPr>
    </w:p>
    <w:p w:rsidR="00F37D49" w:rsidRDefault="00F37D49" w:rsidP="00F37D49">
      <w:pPr>
        <w:pStyle w:val="ListParagraph"/>
        <w:ind w:left="0"/>
        <w:rPr>
          <w:sz w:val="20"/>
          <w:szCs w:val="20"/>
          <w:lang w:eastAsia="zh-CN"/>
        </w:rPr>
      </w:pPr>
    </w:p>
    <w:p w:rsidR="00F37D49" w:rsidRDefault="00F37D49" w:rsidP="00F37D49">
      <w:pPr>
        <w:ind w:left="864"/>
        <w:rPr>
          <w:lang w:eastAsia="zh-CN"/>
        </w:rPr>
      </w:pPr>
    </w:p>
    <w:p w:rsidR="00F37D49" w:rsidRDefault="0091563F" w:rsidP="00F37D49">
      <w:pPr>
        <w:rPr>
          <w:lang w:eastAsia="zh-CN"/>
        </w:rPr>
      </w:pPr>
      <w:r w:rsidRPr="007C5BF9">
        <w:rPr>
          <w:noProof/>
          <w:lang w:eastAsia="en-GB"/>
        </w:rPr>
        <w:lastRenderedPageBreak/>
        <w:drawing>
          <wp:inline distT="0" distB="0" distL="0" distR="0" wp14:anchorId="15E99F33" wp14:editId="3E8D2797">
            <wp:extent cx="5474335" cy="3444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4335" cy="3444240"/>
                    </a:xfrm>
                    <a:prstGeom prst="rect">
                      <a:avLst/>
                    </a:prstGeom>
                    <a:noFill/>
                    <a:ln>
                      <a:noFill/>
                    </a:ln>
                  </pic:spPr>
                </pic:pic>
              </a:graphicData>
            </a:graphic>
          </wp:inline>
        </w:drawing>
      </w:r>
    </w:p>
    <w:p w:rsidR="00F37D49" w:rsidRDefault="00F37D49" w:rsidP="00F37D49">
      <w:pPr>
        <w:jc w:val="center"/>
        <w:rPr>
          <w:b/>
          <w:lang w:eastAsia="zh-CN"/>
        </w:rPr>
      </w:pPr>
      <w:r>
        <w:rPr>
          <w:b/>
          <w:lang w:eastAsia="zh-CN"/>
        </w:rPr>
        <w:t xml:space="preserve">Figure </w:t>
      </w:r>
      <w:r w:rsidR="009F6828">
        <w:rPr>
          <w:b/>
          <w:lang w:eastAsia="zh-CN"/>
        </w:rPr>
        <w:t>6</w:t>
      </w:r>
      <w:r>
        <w:rPr>
          <w:b/>
          <w:lang w:eastAsia="zh-CN"/>
        </w:rPr>
        <w:t>.</w:t>
      </w:r>
      <w:r w:rsidR="00C86764">
        <w:rPr>
          <w:b/>
          <w:lang w:eastAsia="zh-CN"/>
        </w:rPr>
        <w:t>10</w:t>
      </w:r>
      <w:r w:rsidR="009F6828">
        <w:rPr>
          <w:b/>
          <w:lang w:eastAsia="zh-CN"/>
        </w:rPr>
        <w:t>-1</w:t>
      </w:r>
      <w:r>
        <w:rPr>
          <w:b/>
          <w:lang w:eastAsia="zh-CN"/>
        </w:rPr>
        <w:t xml:space="preserve">: Flow for revocation of App-ID </w:t>
      </w:r>
    </w:p>
    <w:p w:rsidR="00F37D49" w:rsidRDefault="00F37D49" w:rsidP="00F37D49">
      <w:pPr>
        <w:jc w:val="center"/>
        <w:rPr>
          <w:b/>
          <w:lang w:eastAsia="zh-CN"/>
        </w:rPr>
      </w:pPr>
    </w:p>
    <w:p w:rsidR="00F37D49" w:rsidRDefault="00F37D49" w:rsidP="00F37D49">
      <w:pPr>
        <w:rPr>
          <w:lang w:eastAsia="zh-CN"/>
        </w:rPr>
      </w:pPr>
      <w:r>
        <w:rPr>
          <w:lang w:eastAsia="zh-CN"/>
        </w:rPr>
        <w:t>Procedure to revoke AE-ID</w:t>
      </w:r>
    </w:p>
    <w:p w:rsidR="00F37D49" w:rsidRDefault="00F37D49" w:rsidP="00FB7427">
      <w:pPr>
        <w:numPr>
          <w:ilvl w:val="0"/>
          <w:numId w:val="29"/>
        </w:numPr>
        <w:textAlignment w:val="auto"/>
        <w:rPr>
          <w:lang w:eastAsia="zh-CN"/>
        </w:rPr>
      </w:pPr>
      <w:r>
        <w:rPr>
          <w:lang w:eastAsia="zh-CN"/>
        </w:rPr>
        <w:t xml:space="preserve">An AE register to CSEs of M2M service infrastructure. App-ID </w:t>
      </w:r>
      <w:r w:rsidR="004731F1">
        <w:rPr>
          <w:lang w:eastAsia="zh-CN"/>
        </w:rPr>
        <w:t>R</w:t>
      </w:r>
      <w:r>
        <w:rPr>
          <w:lang w:eastAsia="zh-CN"/>
        </w:rPr>
        <w:t>egistry provides necessary authorisations as part of returned metadata</w:t>
      </w:r>
      <w:r w:rsidR="001F62BB">
        <w:rPr>
          <w:lang w:eastAsia="zh-CN"/>
        </w:rPr>
        <w:t>.</w:t>
      </w:r>
    </w:p>
    <w:p w:rsidR="00F37D49" w:rsidRDefault="00F37D49" w:rsidP="00FB7427">
      <w:pPr>
        <w:numPr>
          <w:ilvl w:val="0"/>
          <w:numId w:val="29"/>
        </w:numPr>
        <w:ind w:left="864" w:hanging="432"/>
        <w:textAlignment w:val="auto"/>
        <w:rPr>
          <w:lang w:eastAsia="zh-CN"/>
        </w:rPr>
      </w:pPr>
      <w:r>
        <w:rPr>
          <w:lang w:eastAsia="zh-CN"/>
        </w:rPr>
        <w:t xml:space="preserve">A specific event triggers a decision by the App-ID Registry to revoke AE-ID, therefore suspending access to AE </w:t>
      </w:r>
    </w:p>
    <w:p w:rsidR="00F37D49" w:rsidRDefault="00F37D49" w:rsidP="00FB7427">
      <w:pPr>
        <w:pStyle w:val="ListParagraph"/>
        <w:numPr>
          <w:ilvl w:val="0"/>
          <w:numId w:val="29"/>
        </w:numPr>
        <w:rPr>
          <w:sz w:val="20"/>
          <w:szCs w:val="20"/>
          <w:lang w:eastAsia="zh-CN"/>
        </w:rPr>
      </w:pPr>
      <w:r>
        <w:rPr>
          <w:sz w:val="20"/>
          <w:szCs w:val="20"/>
          <w:lang w:eastAsia="zh-CN"/>
        </w:rPr>
        <w:t xml:space="preserve">App-ID </w:t>
      </w:r>
      <w:r w:rsidR="004731F1">
        <w:rPr>
          <w:sz w:val="20"/>
          <w:szCs w:val="20"/>
          <w:lang w:eastAsia="zh-CN"/>
        </w:rPr>
        <w:t>R</w:t>
      </w:r>
      <w:r>
        <w:rPr>
          <w:sz w:val="20"/>
          <w:szCs w:val="20"/>
          <w:lang w:eastAsia="zh-CN"/>
        </w:rPr>
        <w:t>egistry informs M2M Service infrastructure about the decision to Revoke an AE-ID</w:t>
      </w:r>
      <w:r w:rsidR="001F62BB">
        <w:rPr>
          <w:sz w:val="20"/>
          <w:szCs w:val="20"/>
          <w:lang w:eastAsia="zh-CN"/>
        </w:rPr>
        <w:t>.</w:t>
      </w:r>
    </w:p>
    <w:p w:rsidR="00F37D49" w:rsidRDefault="00F37D49" w:rsidP="00F37D49">
      <w:pPr>
        <w:pStyle w:val="ListParagraph"/>
        <w:rPr>
          <w:sz w:val="20"/>
          <w:szCs w:val="20"/>
          <w:lang w:eastAsia="zh-CN"/>
        </w:rPr>
      </w:pPr>
    </w:p>
    <w:p w:rsidR="00F37D49" w:rsidRDefault="00F37D49" w:rsidP="00FB7427">
      <w:pPr>
        <w:pStyle w:val="ListParagraph"/>
        <w:numPr>
          <w:ilvl w:val="0"/>
          <w:numId w:val="29"/>
        </w:numPr>
        <w:rPr>
          <w:sz w:val="20"/>
          <w:szCs w:val="20"/>
          <w:lang w:eastAsia="zh-CN"/>
        </w:rPr>
      </w:pPr>
      <w:r>
        <w:rPr>
          <w:sz w:val="20"/>
          <w:szCs w:val="20"/>
          <w:lang w:eastAsia="zh-CN"/>
        </w:rPr>
        <w:t>M2M Service infrastructure may declare an AE registration with the revoked AE-ID value as suspended</w:t>
      </w:r>
      <w:r w:rsidR="001F62BB">
        <w:rPr>
          <w:sz w:val="20"/>
          <w:szCs w:val="20"/>
          <w:lang w:eastAsia="zh-CN"/>
        </w:rPr>
        <w:t>.</w:t>
      </w:r>
    </w:p>
    <w:p w:rsidR="00F37D49" w:rsidRDefault="00F37D49" w:rsidP="00F37D49">
      <w:pPr>
        <w:pStyle w:val="ListParagraph"/>
        <w:rPr>
          <w:sz w:val="20"/>
          <w:szCs w:val="20"/>
          <w:lang w:eastAsia="zh-CN"/>
        </w:rPr>
      </w:pPr>
    </w:p>
    <w:p w:rsidR="00F37D49" w:rsidRDefault="00F37D49" w:rsidP="00FB7427">
      <w:pPr>
        <w:pStyle w:val="ListParagraph"/>
        <w:numPr>
          <w:ilvl w:val="0"/>
          <w:numId w:val="29"/>
        </w:numPr>
        <w:rPr>
          <w:sz w:val="20"/>
          <w:szCs w:val="20"/>
          <w:lang w:eastAsia="zh-CN"/>
        </w:rPr>
      </w:pPr>
      <w:r>
        <w:rPr>
          <w:sz w:val="20"/>
          <w:szCs w:val="20"/>
          <w:lang w:eastAsia="zh-CN"/>
        </w:rPr>
        <w:t>All requests from AE with the revoked AE-ID are denied service</w:t>
      </w:r>
      <w:r w:rsidR="001F62BB">
        <w:rPr>
          <w:sz w:val="20"/>
          <w:szCs w:val="20"/>
          <w:lang w:eastAsia="zh-CN"/>
        </w:rPr>
        <w:t>.</w:t>
      </w:r>
      <w:r>
        <w:rPr>
          <w:sz w:val="20"/>
          <w:szCs w:val="20"/>
          <w:lang w:eastAsia="zh-CN"/>
        </w:rPr>
        <w:t xml:space="preserve"> </w:t>
      </w:r>
    </w:p>
    <w:p w:rsidR="00F37D49" w:rsidRDefault="00F37D49" w:rsidP="00F37D49">
      <w:pPr>
        <w:pStyle w:val="ListParagraph"/>
        <w:ind w:left="0"/>
        <w:rPr>
          <w:sz w:val="20"/>
          <w:szCs w:val="20"/>
          <w:lang w:eastAsia="zh-CN"/>
        </w:rPr>
      </w:pPr>
    </w:p>
    <w:p w:rsidR="00F37D49" w:rsidRDefault="00F37D49" w:rsidP="00F37D49">
      <w:pPr>
        <w:ind w:left="864"/>
        <w:rPr>
          <w:lang w:eastAsia="zh-CN"/>
        </w:rPr>
      </w:pPr>
    </w:p>
    <w:p w:rsidR="00F37D49" w:rsidRDefault="00F37D49" w:rsidP="00F37D49">
      <w:pPr>
        <w:ind w:left="864"/>
        <w:rPr>
          <w:lang w:eastAsia="zh-CN"/>
        </w:rPr>
      </w:pPr>
    </w:p>
    <w:p w:rsidR="00F37D49" w:rsidRDefault="00F37D49" w:rsidP="00F37D49">
      <w:pPr>
        <w:ind w:left="864"/>
        <w:rPr>
          <w:lang w:eastAsia="zh-CN"/>
        </w:rPr>
      </w:pPr>
    </w:p>
    <w:p w:rsidR="00F37D49" w:rsidRDefault="00F37D49" w:rsidP="00F37D49">
      <w:pPr>
        <w:ind w:left="864"/>
        <w:rPr>
          <w:lang w:eastAsia="zh-CN"/>
        </w:rPr>
      </w:pPr>
    </w:p>
    <w:p w:rsidR="00F37D49" w:rsidRDefault="00F37D49" w:rsidP="00F37D49">
      <w:pPr>
        <w:ind w:left="864"/>
        <w:rPr>
          <w:lang w:eastAsia="zh-CN"/>
        </w:rPr>
      </w:pPr>
    </w:p>
    <w:p w:rsidR="00F37D49" w:rsidRDefault="00F37D49" w:rsidP="00F37D49">
      <w:pPr>
        <w:rPr>
          <w:lang w:eastAsia="zh-CN"/>
        </w:rPr>
      </w:pPr>
    </w:p>
    <w:p w:rsidR="00F37D49" w:rsidRDefault="0091563F" w:rsidP="00F37D49">
      <w:pPr>
        <w:rPr>
          <w:lang w:eastAsia="zh-CN"/>
        </w:rPr>
      </w:pPr>
      <w:r>
        <w:rPr>
          <w:noProof/>
          <w:lang w:eastAsia="en-GB"/>
        </w:rPr>
        <w:lastRenderedPageBreak/>
        <w:drawing>
          <wp:inline distT="0" distB="0" distL="0" distR="0" wp14:anchorId="4834B14F" wp14:editId="2882FB4B">
            <wp:extent cx="5471160" cy="34544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160" cy="3454400"/>
                    </a:xfrm>
                    <a:prstGeom prst="rect">
                      <a:avLst/>
                    </a:prstGeom>
                    <a:noFill/>
                  </pic:spPr>
                </pic:pic>
              </a:graphicData>
            </a:graphic>
          </wp:inline>
        </w:drawing>
      </w:r>
    </w:p>
    <w:p w:rsidR="00F37D49" w:rsidRDefault="00F37D49" w:rsidP="00F37D49">
      <w:pPr>
        <w:jc w:val="center"/>
        <w:rPr>
          <w:b/>
          <w:lang w:eastAsia="zh-CN"/>
        </w:rPr>
      </w:pPr>
      <w:r>
        <w:rPr>
          <w:b/>
          <w:lang w:eastAsia="zh-CN"/>
        </w:rPr>
        <w:t xml:space="preserve">Figure </w:t>
      </w:r>
      <w:r w:rsidR="009F6828">
        <w:rPr>
          <w:b/>
          <w:lang w:eastAsia="zh-CN"/>
        </w:rPr>
        <w:t>6</w:t>
      </w:r>
      <w:r>
        <w:rPr>
          <w:b/>
          <w:lang w:eastAsia="zh-CN"/>
        </w:rPr>
        <w:t>.</w:t>
      </w:r>
      <w:r w:rsidR="00C86764">
        <w:rPr>
          <w:b/>
          <w:lang w:eastAsia="zh-CN"/>
        </w:rPr>
        <w:t>10</w:t>
      </w:r>
      <w:r>
        <w:rPr>
          <w:b/>
          <w:lang w:eastAsia="zh-CN"/>
        </w:rPr>
        <w:t>-</w:t>
      </w:r>
      <w:r w:rsidR="00C86764">
        <w:rPr>
          <w:b/>
          <w:lang w:eastAsia="zh-CN"/>
        </w:rPr>
        <w:t>2</w:t>
      </w:r>
      <w:r>
        <w:rPr>
          <w:b/>
          <w:lang w:eastAsia="zh-CN"/>
        </w:rPr>
        <w:t xml:space="preserve">: Flow for revocation of App-ID </w:t>
      </w:r>
    </w:p>
    <w:p w:rsidR="00F37D49" w:rsidRPr="00E33B01" w:rsidRDefault="00F37D49" w:rsidP="00350C19">
      <w:pPr>
        <w:jc w:val="center"/>
        <w:rPr>
          <w:b/>
          <w:lang w:eastAsia="zh-CN"/>
        </w:rPr>
      </w:pPr>
    </w:p>
    <w:p w:rsidR="00CB5D36" w:rsidRDefault="00B007B6" w:rsidP="0019768F">
      <w:pPr>
        <w:pStyle w:val="Heading2"/>
      </w:pPr>
      <w:bookmarkStart w:id="113" w:name="_Toc508958778"/>
      <w:bookmarkStart w:id="114" w:name="_Toc431220781"/>
      <w:bookmarkStart w:id="115" w:name="_Toc451960188"/>
      <w:bookmarkEnd w:id="59"/>
      <w:bookmarkEnd w:id="60"/>
      <w:r>
        <w:rPr>
          <w:lang w:val="en-US"/>
        </w:rPr>
        <w:t>6</w:t>
      </w:r>
      <w:r w:rsidR="00CB5D36" w:rsidRPr="00EA211F">
        <w:t>.1</w:t>
      </w:r>
      <w:r w:rsidR="00C86764">
        <w:rPr>
          <w:lang w:val="en-US"/>
        </w:rPr>
        <w:t>1</w:t>
      </w:r>
      <w:r w:rsidR="00C86764">
        <w:tab/>
      </w:r>
      <w:r w:rsidR="00CB5D36" w:rsidRPr="00EA211F">
        <w:t>Potential requirements</w:t>
      </w:r>
      <w:bookmarkEnd w:id="113"/>
    </w:p>
    <w:p w:rsidR="00350C19" w:rsidRPr="00A35EF9" w:rsidRDefault="00350C19" w:rsidP="0019768F">
      <w:pPr>
        <w:numPr>
          <w:ilvl w:val="0"/>
          <w:numId w:val="10"/>
        </w:numPr>
        <w:ind w:left="864" w:hanging="432"/>
        <w:jc w:val="both"/>
        <w:rPr>
          <w:lang w:eastAsia="zh-CN"/>
        </w:rPr>
      </w:pPr>
      <w:bookmarkStart w:id="116" w:name="OLE_LINK89"/>
      <w:bookmarkStart w:id="117" w:name="OLE_LINK90"/>
      <w:bookmarkStart w:id="118" w:name="OLE_LINK91"/>
      <w:r>
        <w:rPr>
          <w:lang w:val="en-US" w:eastAsia="zh-CN"/>
        </w:rPr>
        <w:t xml:space="preserve">The M2M application shall be able to present the identity information with the </w:t>
      </w:r>
      <w:r w:rsidRPr="00683BB4">
        <w:rPr>
          <w:lang w:eastAsia="zh-CN"/>
        </w:rPr>
        <w:t>M2M Service infrastructure</w:t>
      </w:r>
      <w:r>
        <w:rPr>
          <w:lang w:val="en-US" w:eastAsia="zh-CN"/>
        </w:rPr>
        <w:t xml:space="preserve"> to determine the App-ID and or AE-</w:t>
      </w:r>
      <w:r w:rsidR="00C86764">
        <w:rPr>
          <w:lang w:val="en-US" w:eastAsia="zh-CN"/>
        </w:rPr>
        <w:t xml:space="preserve">ID. </w:t>
      </w:r>
    </w:p>
    <w:p w:rsidR="00350C19" w:rsidRDefault="00350C19" w:rsidP="0019768F">
      <w:pPr>
        <w:numPr>
          <w:ilvl w:val="0"/>
          <w:numId w:val="10"/>
        </w:numPr>
        <w:ind w:left="864" w:hanging="432"/>
        <w:jc w:val="both"/>
        <w:rPr>
          <w:lang w:eastAsia="zh-CN"/>
        </w:rPr>
      </w:pPr>
      <w:bookmarkStart w:id="119" w:name="OLE_LINK92"/>
      <w:bookmarkStart w:id="120" w:name="OLE_LINK93"/>
      <w:bookmarkStart w:id="121" w:name="OLE_LINK94"/>
      <w:bookmarkEnd w:id="116"/>
      <w:bookmarkEnd w:id="117"/>
      <w:bookmarkEnd w:id="118"/>
      <w:r>
        <w:rPr>
          <w:lang w:eastAsia="zh-CN"/>
        </w:rPr>
        <w:t xml:space="preserve">The </w:t>
      </w:r>
      <w:r w:rsidRPr="00683BB4">
        <w:rPr>
          <w:lang w:eastAsia="zh-CN"/>
        </w:rPr>
        <w:t>M2M Service infrastructure</w:t>
      </w:r>
      <w:r>
        <w:rPr>
          <w:lang w:val="en-US" w:eastAsia="zh-CN"/>
        </w:rPr>
        <w:t xml:space="preserve"> </w:t>
      </w:r>
      <w:r w:rsidRPr="00EA211F">
        <w:rPr>
          <w:rFonts w:hint="eastAsia"/>
          <w:lang w:eastAsia="zh-CN"/>
        </w:rPr>
        <w:t xml:space="preserve">shall be able to </w:t>
      </w:r>
      <w:r>
        <w:rPr>
          <w:lang w:eastAsia="zh-CN"/>
        </w:rPr>
        <w:t xml:space="preserve">check the App-ID / AE-ID validity with the App-ID Registry Function. </w:t>
      </w:r>
    </w:p>
    <w:bookmarkEnd w:id="119"/>
    <w:bookmarkEnd w:id="120"/>
    <w:bookmarkEnd w:id="121"/>
    <w:p w:rsidR="00350C19" w:rsidRPr="001C38E1" w:rsidRDefault="00350C19" w:rsidP="0019768F">
      <w:pPr>
        <w:numPr>
          <w:ilvl w:val="0"/>
          <w:numId w:val="10"/>
        </w:numPr>
        <w:ind w:left="864" w:hanging="432"/>
        <w:jc w:val="both"/>
        <w:rPr>
          <w:lang w:eastAsia="zh-CN"/>
        </w:rPr>
      </w:pPr>
      <w:r>
        <w:rPr>
          <w:lang w:val="en-US" w:eastAsia="zh-CN"/>
        </w:rPr>
        <w:t>The App-ID Registry Function shall allow registration of App-ID together with metadata.</w:t>
      </w:r>
    </w:p>
    <w:p w:rsidR="00350C19" w:rsidRPr="00BD754F" w:rsidRDefault="00350C19" w:rsidP="0019768F">
      <w:pPr>
        <w:numPr>
          <w:ilvl w:val="0"/>
          <w:numId w:val="10"/>
        </w:numPr>
        <w:ind w:left="864" w:hanging="432"/>
        <w:jc w:val="both"/>
        <w:rPr>
          <w:lang w:eastAsia="zh-CN"/>
        </w:rPr>
      </w:pPr>
      <w:r>
        <w:rPr>
          <w:lang w:val="en-US" w:eastAsia="zh-CN"/>
        </w:rPr>
        <w:t>The App-ID Registry Function shall support a metadata profile to characterize the M2M application</w:t>
      </w:r>
      <w:r w:rsidR="001F62BB">
        <w:rPr>
          <w:lang w:val="en-US" w:eastAsia="zh-CN"/>
        </w:rPr>
        <w:t>.</w:t>
      </w:r>
      <w:r>
        <w:rPr>
          <w:lang w:val="en-US" w:eastAsia="zh-CN"/>
        </w:rPr>
        <w:t xml:space="preserve"> </w:t>
      </w:r>
    </w:p>
    <w:p w:rsidR="00350C19" w:rsidRPr="00EA211F" w:rsidRDefault="00350C19" w:rsidP="0019768F">
      <w:pPr>
        <w:numPr>
          <w:ilvl w:val="0"/>
          <w:numId w:val="10"/>
        </w:numPr>
        <w:ind w:left="864" w:hanging="432"/>
        <w:jc w:val="both"/>
        <w:rPr>
          <w:lang w:eastAsia="zh-CN"/>
        </w:rPr>
      </w:pPr>
      <w:r>
        <w:rPr>
          <w:lang w:eastAsia="zh-CN"/>
        </w:rPr>
        <w:t xml:space="preserve">The App-ID Registry Function shall provide a </w:t>
      </w:r>
      <w:r w:rsidRPr="00683BB4">
        <w:rPr>
          <w:lang w:eastAsia="zh-CN"/>
        </w:rPr>
        <w:t>M2M Service infrastructure</w:t>
      </w:r>
      <w:r>
        <w:rPr>
          <w:lang w:eastAsia="zh-CN"/>
        </w:rPr>
        <w:t xml:space="preserve"> with the metadata for a registered App-ID. </w:t>
      </w:r>
    </w:p>
    <w:p w:rsidR="00350C19" w:rsidRDefault="00350C19" w:rsidP="0019768F">
      <w:pPr>
        <w:numPr>
          <w:ilvl w:val="0"/>
          <w:numId w:val="10"/>
        </w:numPr>
        <w:ind w:left="864" w:hanging="432"/>
        <w:jc w:val="both"/>
        <w:rPr>
          <w:lang w:eastAsia="zh-CN"/>
        </w:rPr>
      </w:pPr>
      <w:r>
        <w:rPr>
          <w:lang w:eastAsia="zh-CN"/>
        </w:rPr>
        <w:t xml:space="preserve">The M2M service infrastructure shall be able to process the connected M2M application according to the provided metadata.   </w:t>
      </w:r>
    </w:p>
    <w:p w:rsidR="00ED3001" w:rsidRPr="00837E60" w:rsidRDefault="00ED3001" w:rsidP="00FB7427">
      <w:pPr>
        <w:numPr>
          <w:ilvl w:val="0"/>
          <w:numId w:val="10"/>
        </w:numPr>
        <w:ind w:left="864" w:hanging="432"/>
        <w:jc w:val="both"/>
        <w:rPr>
          <w:lang w:val="en-US" w:eastAsia="zh-CN"/>
        </w:rPr>
      </w:pPr>
      <w:r>
        <w:rPr>
          <w:lang w:val="en-US" w:eastAsia="zh-CN"/>
        </w:rPr>
        <w:t xml:space="preserve">App-ID Registry shall keep track of registrar CSEs for all </w:t>
      </w:r>
      <w:r w:rsidR="004731F1">
        <w:rPr>
          <w:lang w:val="en-US" w:eastAsia="zh-CN"/>
        </w:rPr>
        <w:t>registered</w:t>
      </w:r>
      <w:r>
        <w:rPr>
          <w:lang w:val="en-US" w:eastAsia="zh-CN"/>
        </w:rPr>
        <w:t xml:space="preserve"> AEs (when App-ID </w:t>
      </w:r>
      <w:r w:rsidR="004731F1">
        <w:rPr>
          <w:lang w:val="en-US" w:eastAsia="zh-CN"/>
        </w:rPr>
        <w:t>R</w:t>
      </w:r>
      <w:r>
        <w:rPr>
          <w:lang w:val="en-US" w:eastAsia="zh-CN"/>
        </w:rPr>
        <w:t>egistry is used)</w:t>
      </w:r>
      <w:r w:rsidR="001F62BB">
        <w:rPr>
          <w:lang w:val="en-US" w:eastAsia="zh-CN"/>
        </w:rPr>
        <w:t>.</w:t>
      </w:r>
    </w:p>
    <w:p w:rsidR="00ED3001" w:rsidRPr="00837E60" w:rsidRDefault="00ED3001" w:rsidP="00FB7427">
      <w:pPr>
        <w:numPr>
          <w:ilvl w:val="0"/>
          <w:numId w:val="10"/>
        </w:numPr>
        <w:ind w:left="864" w:hanging="432"/>
        <w:jc w:val="both"/>
        <w:rPr>
          <w:lang w:val="en-US" w:eastAsia="zh-CN"/>
        </w:rPr>
      </w:pPr>
      <w:r>
        <w:rPr>
          <w:lang w:val="en-US" w:eastAsia="zh-CN"/>
        </w:rPr>
        <w:t xml:space="preserve">When requested by management action, the App-ID </w:t>
      </w:r>
      <w:r w:rsidR="004731F1">
        <w:rPr>
          <w:lang w:val="en-US" w:eastAsia="zh-CN"/>
        </w:rPr>
        <w:t>R</w:t>
      </w:r>
      <w:r>
        <w:rPr>
          <w:lang w:val="en-US" w:eastAsia="zh-CN"/>
        </w:rPr>
        <w:t>egistry shall request the revocation of App-ID or AE-ID.</w:t>
      </w:r>
    </w:p>
    <w:p w:rsidR="00ED3001" w:rsidRPr="00837E60" w:rsidRDefault="00ED3001" w:rsidP="00FB7427">
      <w:pPr>
        <w:numPr>
          <w:ilvl w:val="0"/>
          <w:numId w:val="10"/>
        </w:numPr>
        <w:ind w:left="864" w:hanging="432"/>
        <w:jc w:val="both"/>
        <w:rPr>
          <w:lang w:val="en-US" w:eastAsia="zh-CN"/>
        </w:rPr>
      </w:pPr>
      <w:r>
        <w:rPr>
          <w:lang w:val="en-US" w:eastAsia="zh-CN"/>
        </w:rPr>
        <w:t>A registrar CSE shall be capable of temporary or permanently suspend access to AEs with a revoked App-ID value</w:t>
      </w:r>
      <w:r w:rsidR="001F62BB">
        <w:rPr>
          <w:lang w:val="en-US" w:eastAsia="zh-CN"/>
        </w:rPr>
        <w:t>.</w:t>
      </w:r>
    </w:p>
    <w:p w:rsidR="00ED3001" w:rsidRPr="00837E60" w:rsidRDefault="00ED3001" w:rsidP="00FB7427">
      <w:pPr>
        <w:numPr>
          <w:ilvl w:val="0"/>
          <w:numId w:val="10"/>
        </w:numPr>
        <w:ind w:left="864" w:hanging="432"/>
        <w:jc w:val="both"/>
        <w:rPr>
          <w:lang w:val="en-US" w:eastAsia="zh-CN"/>
        </w:rPr>
      </w:pPr>
      <w:r>
        <w:rPr>
          <w:lang w:val="en-US" w:eastAsia="zh-CN"/>
        </w:rPr>
        <w:t>A registrar CSE shall be capable of temporary or permanently suspend access to an AE with a revoked AE-ID</w:t>
      </w:r>
      <w:r w:rsidR="001F62BB">
        <w:rPr>
          <w:lang w:val="en-US" w:eastAsia="zh-CN"/>
        </w:rPr>
        <w:t>.</w:t>
      </w:r>
    </w:p>
    <w:bookmarkEnd w:id="114"/>
    <w:bookmarkEnd w:id="115"/>
    <w:p w:rsidR="00BF4E4A" w:rsidRPr="00EA211F" w:rsidRDefault="00BF4E4A" w:rsidP="004A3476">
      <w:pPr>
        <w:rPr>
          <w:lang w:val="de-DE" w:eastAsia="zh-CN"/>
        </w:rPr>
      </w:pPr>
    </w:p>
    <w:p w:rsidR="00AD424C" w:rsidRPr="00837E60" w:rsidRDefault="00AD424C" w:rsidP="00837E60">
      <w:pPr>
        <w:pStyle w:val="Heading1"/>
      </w:pPr>
      <w:bookmarkStart w:id="122" w:name="_Toc451960231"/>
      <w:bookmarkStart w:id="123" w:name="_Toc431220818"/>
      <w:r>
        <w:br w:type="page"/>
      </w:r>
      <w:bookmarkStart w:id="124" w:name="_Toc492019252"/>
      <w:bookmarkStart w:id="125" w:name="_Toc508958779"/>
      <w:r w:rsidR="00B007B6">
        <w:lastRenderedPageBreak/>
        <w:t>7</w:t>
      </w:r>
      <w:r w:rsidRPr="00837E60">
        <w:t xml:space="preserve"> </w:t>
      </w:r>
      <w:r>
        <w:t xml:space="preserve">  </w:t>
      </w:r>
      <w:r w:rsidRPr="00837E60">
        <w:rPr>
          <w:rFonts w:hint="eastAsia"/>
        </w:rPr>
        <w:t xml:space="preserve">Candidate </w:t>
      </w:r>
      <w:r w:rsidRPr="00837E60">
        <w:t>Architecture</w:t>
      </w:r>
      <w:bookmarkEnd w:id="124"/>
      <w:bookmarkEnd w:id="125"/>
      <w:r w:rsidR="00BF4E4A" w:rsidRPr="00837E60">
        <w:tab/>
      </w:r>
    </w:p>
    <w:p w:rsidR="00BF4E4A" w:rsidRPr="00EA211F" w:rsidRDefault="00B007B6" w:rsidP="00837E60">
      <w:pPr>
        <w:pStyle w:val="Heading2"/>
      </w:pPr>
      <w:bookmarkStart w:id="126" w:name="_Toc508958780"/>
      <w:bookmarkStart w:id="127" w:name="_Toc492019253"/>
      <w:r>
        <w:rPr>
          <w:lang w:val="en-US"/>
        </w:rPr>
        <w:t>7</w:t>
      </w:r>
      <w:r w:rsidR="00AD424C">
        <w:t>.1</w:t>
      </w:r>
      <w:r w:rsidR="00C86764">
        <w:tab/>
      </w:r>
      <w:r w:rsidR="00BF4E4A" w:rsidRPr="00EA211F">
        <w:rPr>
          <w:rFonts w:hint="eastAsia"/>
          <w:lang w:eastAsia="zh-CN"/>
        </w:rPr>
        <w:t xml:space="preserve">Candidate </w:t>
      </w:r>
      <w:r w:rsidR="00BF4E4A" w:rsidRPr="00EA211F">
        <w:t>Architecture</w:t>
      </w:r>
      <w:bookmarkEnd w:id="122"/>
      <w:r w:rsidR="00BF4E4A" w:rsidRPr="00EA211F">
        <w:t xml:space="preserve"> </w:t>
      </w:r>
      <w:bookmarkEnd w:id="123"/>
      <w:r w:rsidR="00AD424C" w:rsidRPr="00AD424C">
        <w:t>for App-ID Registry Function</w:t>
      </w:r>
      <w:bookmarkEnd w:id="126"/>
    </w:p>
    <w:p w:rsidR="00AD424C" w:rsidRDefault="00AD424C" w:rsidP="00AD424C">
      <w:pPr>
        <w:rPr>
          <w:lang w:eastAsia="zh-CN"/>
        </w:rPr>
      </w:pPr>
      <w:bookmarkStart w:id="128" w:name="_Toc431220819"/>
      <w:bookmarkStart w:id="129" w:name="_Toc451960232"/>
      <w:r>
        <w:rPr>
          <w:lang w:eastAsia="zh-CN"/>
        </w:rPr>
        <w:t>The Candidate Architecture for the App-ID Registry Function to provide Metadata with the M2M Service infrastructure is as follows:</w:t>
      </w:r>
    </w:p>
    <w:p w:rsidR="00AD424C" w:rsidRPr="00456141" w:rsidRDefault="00AD424C" w:rsidP="00AD424C">
      <w:pPr>
        <w:rPr>
          <w:lang w:val="en-US" w:eastAsia="zh-CN"/>
        </w:rPr>
      </w:pPr>
      <w:r w:rsidRPr="00456141">
        <w:rPr>
          <w:b/>
          <w:bCs/>
          <w:lang w:val="en-US" w:eastAsia="zh-CN"/>
        </w:rPr>
        <w:t xml:space="preserve">OPTION #1 </w:t>
      </w:r>
      <w:r w:rsidRPr="00456141">
        <w:rPr>
          <w:lang w:val="en-US" w:eastAsia="zh-CN"/>
        </w:rPr>
        <w:t xml:space="preserve">– </w:t>
      </w:r>
      <w:r w:rsidRPr="00456141">
        <w:rPr>
          <w:b/>
          <w:bCs/>
          <w:lang w:eastAsia="zh-CN"/>
        </w:rPr>
        <w:t>Standalone App</w:t>
      </w:r>
      <w:r>
        <w:rPr>
          <w:b/>
          <w:bCs/>
          <w:lang w:eastAsia="zh-CN"/>
        </w:rPr>
        <w:t>-</w:t>
      </w:r>
      <w:r w:rsidRPr="00456141">
        <w:rPr>
          <w:b/>
          <w:bCs/>
          <w:lang w:eastAsia="zh-CN"/>
        </w:rPr>
        <w:t xml:space="preserve">ID Registry </w:t>
      </w:r>
      <w:r w:rsidR="004731F1">
        <w:rPr>
          <w:b/>
          <w:bCs/>
          <w:lang w:eastAsia="zh-CN"/>
        </w:rPr>
        <w:t>F</w:t>
      </w:r>
      <w:r w:rsidRPr="00456141">
        <w:rPr>
          <w:b/>
          <w:bCs/>
          <w:lang w:eastAsia="zh-CN"/>
        </w:rPr>
        <w:t>unction (ARF)</w:t>
      </w:r>
    </w:p>
    <w:p w:rsidR="00AD424C" w:rsidRPr="00456141" w:rsidRDefault="00AD424C" w:rsidP="00FB7427">
      <w:pPr>
        <w:numPr>
          <w:ilvl w:val="0"/>
          <w:numId w:val="19"/>
        </w:numPr>
        <w:rPr>
          <w:lang w:val="en-US" w:eastAsia="zh-CN"/>
        </w:rPr>
      </w:pPr>
      <w:r w:rsidRPr="00456141">
        <w:rPr>
          <w:lang w:val="en-US" w:eastAsia="zh-CN"/>
        </w:rPr>
        <w:t>The App</w:t>
      </w:r>
      <w:r>
        <w:rPr>
          <w:lang w:val="en-US" w:eastAsia="zh-CN"/>
        </w:rPr>
        <w:t>-</w:t>
      </w:r>
      <w:r w:rsidRPr="00456141">
        <w:rPr>
          <w:lang w:val="en-US" w:eastAsia="zh-CN"/>
        </w:rPr>
        <w:t xml:space="preserve">ID Registry </w:t>
      </w:r>
      <w:r w:rsidR="004731F1">
        <w:rPr>
          <w:lang w:val="en-US" w:eastAsia="zh-CN"/>
        </w:rPr>
        <w:t>F</w:t>
      </w:r>
      <w:r w:rsidRPr="00456141">
        <w:rPr>
          <w:lang w:val="en-US" w:eastAsia="zh-CN"/>
        </w:rPr>
        <w:t xml:space="preserve">unction is defined as </w:t>
      </w:r>
      <w:r>
        <w:rPr>
          <w:lang w:val="en-US" w:eastAsia="zh-CN"/>
        </w:rPr>
        <w:t>a new entity of</w:t>
      </w:r>
      <w:r w:rsidRPr="00456141">
        <w:rPr>
          <w:lang w:val="en-US" w:eastAsia="zh-CN"/>
        </w:rPr>
        <w:t xml:space="preserve"> the oneM2M architecture.</w:t>
      </w:r>
    </w:p>
    <w:p w:rsidR="00AD424C" w:rsidRPr="00456141" w:rsidRDefault="00AD424C" w:rsidP="00FB7427">
      <w:pPr>
        <w:numPr>
          <w:ilvl w:val="0"/>
          <w:numId w:val="19"/>
        </w:numPr>
        <w:rPr>
          <w:lang w:val="en-US" w:eastAsia="zh-CN"/>
        </w:rPr>
      </w:pPr>
      <w:r w:rsidRPr="00456141">
        <w:rPr>
          <w:lang w:val="en-US" w:eastAsia="zh-CN"/>
        </w:rPr>
        <w:t>Defining a new interface for the CSE to query the App-ID Metadata.</w:t>
      </w:r>
    </w:p>
    <w:p w:rsidR="00AD424C" w:rsidRPr="00456141" w:rsidRDefault="00AD424C" w:rsidP="00AD424C">
      <w:pPr>
        <w:rPr>
          <w:lang w:val="en-US" w:eastAsia="zh-CN"/>
        </w:rPr>
      </w:pPr>
      <w:r w:rsidRPr="00456141">
        <w:rPr>
          <w:b/>
          <w:bCs/>
          <w:lang w:val="en-US" w:eastAsia="zh-CN"/>
        </w:rPr>
        <w:t xml:space="preserve">OPTION #2 </w:t>
      </w:r>
      <w:r>
        <w:rPr>
          <w:lang w:val="en-US" w:eastAsia="zh-CN"/>
        </w:rPr>
        <w:t xml:space="preserve">– </w:t>
      </w:r>
      <w:r w:rsidRPr="00456141">
        <w:rPr>
          <w:b/>
          <w:bCs/>
          <w:lang w:val="en-US" w:eastAsia="zh-CN"/>
        </w:rPr>
        <w:t>App</w:t>
      </w:r>
      <w:r>
        <w:rPr>
          <w:b/>
          <w:bCs/>
          <w:lang w:val="en-US" w:eastAsia="zh-CN"/>
        </w:rPr>
        <w:t>-</w:t>
      </w:r>
      <w:r w:rsidRPr="00456141">
        <w:rPr>
          <w:b/>
          <w:bCs/>
          <w:lang w:val="en-US" w:eastAsia="zh-CN"/>
        </w:rPr>
        <w:t xml:space="preserve">ID Registry is part of existing oneM2M </w:t>
      </w:r>
      <w:r>
        <w:rPr>
          <w:b/>
          <w:bCs/>
          <w:lang w:val="en-US" w:eastAsia="zh-CN"/>
        </w:rPr>
        <w:t>MEF interface specification</w:t>
      </w:r>
    </w:p>
    <w:p w:rsidR="00AD424C" w:rsidRPr="00456141" w:rsidRDefault="00AD424C" w:rsidP="00FB7427">
      <w:pPr>
        <w:numPr>
          <w:ilvl w:val="0"/>
          <w:numId w:val="20"/>
        </w:numPr>
        <w:rPr>
          <w:lang w:val="en-US" w:eastAsia="zh-CN"/>
        </w:rPr>
      </w:pPr>
      <w:r w:rsidRPr="00456141">
        <w:rPr>
          <w:lang w:eastAsia="zh-CN"/>
        </w:rPr>
        <w:t>App</w:t>
      </w:r>
      <w:r>
        <w:rPr>
          <w:lang w:eastAsia="zh-CN"/>
        </w:rPr>
        <w:t>-</w:t>
      </w:r>
      <w:r w:rsidRPr="00456141">
        <w:rPr>
          <w:lang w:eastAsia="zh-CN"/>
        </w:rPr>
        <w:t xml:space="preserve">ID Registry </w:t>
      </w:r>
      <w:r w:rsidR="004731F1">
        <w:rPr>
          <w:lang w:eastAsia="zh-CN"/>
        </w:rPr>
        <w:t>F</w:t>
      </w:r>
      <w:r w:rsidRPr="00456141">
        <w:rPr>
          <w:lang w:eastAsia="zh-CN"/>
        </w:rPr>
        <w:t>unction that is part of an existing oneM2M architectural entity MEF.</w:t>
      </w:r>
    </w:p>
    <w:p w:rsidR="00AD424C" w:rsidRPr="00456141" w:rsidRDefault="00AD424C" w:rsidP="00FB7427">
      <w:pPr>
        <w:numPr>
          <w:ilvl w:val="0"/>
          <w:numId w:val="20"/>
        </w:numPr>
        <w:rPr>
          <w:lang w:val="en-US" w:eastAsia="zh-CN"/>
        </w:rPr>
      </w:pPr>
      <w:r w:rsidRPr="00456141">
        <w:rPr>
          <w:lang w:eastAsia="zh-CN"/>
        </w:rPr>
        <w:t>Update the current MEF interface to enable query of the App</w:t>
      </w:r>
      <w:r>
        <w:rPr>
          <w:lang w:eastAsia="zh-CN"/>
        </w:rPr>
        <w:t>-</w:t>
      </w:r>
      <w:r w:rsidRPr="00456141">
        <w:rPr>
          <w:lang w:eastAsia="zh-CN"/>
        </w:rPr>
        <w:t xml:space="preserve">ID Registry Function </w:t>
      </w:r>
      <w:r w:rsidRPr="00456141">
        <w:rPr>
          <w:lang w:val="en-US" w:eastAsia="zh-CN"/>
        </w:rPr>
        <w:t>Metadata.</w:t>
      </w:r>
    </w:p>
    <w:p w:rsidR="00AD424C" w:rsidRPr="00456141" w:rsidRDefault="00B007B6" w:rsidP="00837E60">
      <w:pPr>
        <w:pStyle w:val="Heading3"/>
      </w:pPr>
      <w:bookmarkStart w:id="130" w:name="_Toc508958781"/>
      <w:r>
        <w:rPr>
          <w:lang w:val="en-US"/>
        </w:rPr>
        <w:t>7</w:t>
      </w:r>
      <w:r w:rsidR="00AD424C" w:rsidRPr="00456141">
        <w:t>.1</w:t>
      </w:r>
      <w:r w:rsidR="00AD424C">
        <w:rPr>
          <w:lang w:val="en-US"/>
        </w:rPr>
        <w:t>.1</w:t>
      </w:r>
      <w:r w:rsidR="00AD424C" w:rsidRPr="00456141">
        <w:tab/>
        <w:t>OPTION #1 – Standalone App</w:t>
      </w:r>
      <w:r w:rsidR="00AD424C">
        <w:rPr>
          <w:lang w:val="en-US"/>
        </w:rPr>
        <w:t>-</w:t>
      </w:r>
      <w:r w:rsidR="00AD424C" w:rsidRPr="00456141">
        <w:t>ID Registry function (ARF)</w:t>
      </w:r>
      <w:bookmarkEnd w:id="130"/>
    </w:p>
    <w:p w:rsidR="00AD424C" w:rsidRDefault="00AD424C" w:rsidP="00AD424C">
      <w:pPr>
        <w:rPr>
          <w:lang w:eastAsia="zh-CN"/>
        </w:rPr>
      </w:pPr>
      <w:r>
        <w:rPr>
          <w:lang w:eastAsia="zh-CN"/>
        </w:rPr>
        <w:t>For the architecture of a standalone App-ID Registry Function</w:t>
      </w:r>
      <w:r w:rsidR="001F62BB">
        <w:rPr>
          <w:lang w:eastAsia="zh-CN"/>
        </w:rPr>
        <w:t xml:space="preserve"> (ARF)</w:t>
      </w:r>
      <w:r>
        <w:rPr>
          <w:lang w:eastAsia="zh-CN"/>
        </w:rPr>
        <w:t>, a new entity</w:t>
      </w:r>
      <w:r w:rsidR="001F62BB">
        <w:rPr>
          <w:lang w:eastAsia="zh-CN"/>
        </w:rPr>
        <w:t xml:space="preserve"> </w:t>
      </w:r>
      <w:r>
        <w:rPr>
          <w:lang w:eastAsia="zh-CN"/>
        </w:rPr>
        <w:t xml:space="preserve">and interface is defined as ‘Marf’. </w:t>
      </w:r>
    </w:p>
    <w:p w:rsidR="00AD424C" w:rsidRDefault="0091563F" w:rsidP="00AD424C">
      <w:pPr>
        <w:jc w:val="center"/>
        <w:rPr>
          <w:lang w:eastAsia="zh-CN"/>
        </w:rPr>
      </w:pPr>
      <w:r>
        <w:rPr>
          <w:noProof/>
          <w:lang w:eastAsia="en-GB"/>
        </w:rPr>
        <w:drawing>
          <wp:inline distT="0" distB="0" distL="0" distR="0" wp14:anchorId="43EF2CAF" wp14:editId="49921781">
            <wp:extent cx="4384675" cy="3274060"/>
            <wp:effectExtent l="0" t="0" r="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4675" cy="3274060"/>
                    </a:xfrm>
                    <a:prstGeom prst="rect">
                      <a:avLst/>
                    </a:prstGeom>
                    <a:noFill/>
                  </pic:spPr>
                </pic:pic>
              </a:graphicData>
            </a:graphic>
          </wp:inline>
        </w:drawing>
      </w:r>
    </w:p>
    <w:p w:rsidR="00AD424C" w:rsidRPr="00837E60" w:rsidRDefault="008401A5" w:rsidP="00AD424C">
      <w:pPr>
        <w:jc w:val="center"/>
        <w:rPr>
          <w:b/>
          <w:lang w:eastAsia="zh-CN"/>
        </w:rPr>
      </w:pPr>
      <w:r w:rsidRPr="00837E60">
        <w:rPr>
          <w:b/>
          <w:lang w:eastAsia="zh-CN"/>
        </w:rPr>
        <w:t xml:space="preserve">Figure </w:t>
      </w:r>
      <w:r w:rsidR="009F6828">
        <w:rPr>
          <w:b/>
          <w:lang w:eastAsia="zh-CN"/>
        </w:rPr>
        <w:t>7</w:t>
      </w:r>
      <w:r w:rsidRPr="00837E60">
        <w:rPr>
          <w:b/>
          <w:lang w:eastAsia="zh-CN"/>
        </w:rPr>
        <w:t>.1.1</w:t>
      </w:r>
      <w:r w:rsidR="001F62BB">
        <w:rPr>
          <w:b/>
          <w:lang w:eastAsia="zh-CN"/>
        </w:rPr>
        <w:t>-1</w:t>
      </w:r>
      <w:r w:rsidR="00AD424C" w:rsidRPr="00837E60">
        <w:rPr>
          <w:b/>
          <w:lang w:eastAsia="zh-CN"/>
        </w:rPr>
        <w:t>:  App-ID Registry Function new entity and interface</w:t>
      </w:r>
    </w:p>
    <w:p w:rsidR="00AD424C" w:rsidRDefault="00AD424C" w:rsidP="00AD424C">
      <w:pPr>
        <w:jc w:val="center"/>
        <w:rPr>
          <w:lang w:eastAsia="zh-CN"/>
        </w:rPr>
      </w:pPr>
    </w:p>
    <w:p w:rsidR="008401A5" w:rsidRDefault="008401A5" w:rsidP="00AD424C">
      <w:pPr>
        <w:jc w:val="center"/>
        <w:rPr>
          <w:lang w:eastAsia="zh-CN"/>
        </w:rPr>
      </w:pPr>
    </w:p>
    <w:p w:rsidR="008401A5" w:rsidRDefault="008401A5" w:rsidP="00AD424C">
      <w:pPr>
        <w:jc w:val="center"/>
        <w:rPr>
          <w:lang w:eastAsia="zh-CN"/>
        </w:rPr>
      </w:pPr>
    </w:p>
    <w:p w:rsidR="00AD424C" w:rsidRDefault="00B007B6" w:rsidP="00837E60">
      <w:pPr>
        <w:pStyle w:val="Heading3"/>
      </w:pPr>
      <w:bookmarkStart w:id="131" w:name="_Toc508958782"/>
      <w:r>
        <w:rPr>
          <w:lang w:val="en-US"/>
        </w:rPr>
        <w:t>7</w:t>
      </w:r>
      <w:r w:rsidR="00AD424C">
        <w:t>.</w:t>
      </w:r>
      <w:r w:rsidR="00AD424C">
        <w:rPr>
          <w:lang w:val="en-US"/>
        </w:rPr>
        <w:t>1.</w:t>
      </w:r>
      <w:r w:rsidR="00AD424C">
        <w:t>2</w:t>
      </w:r>
      <w:r w:rsidR="00AD424C">
        <w:tab/>
      </w:r>
      <w:r w:rsidR="00AD424C" w:rsidRPr="00210914">
        <w:t>OPTION #2 –  App</w:t>
      </w:r>
      <w:r w:rsidR="00AD424C">
        <w:rPr>
          <w:lang w:val="en-US"/>
        </w:rPr>
        <w:t>-</w:t>
      </w:r>
      <w:r w:rsidR="00AD424C" w:rsidRPr="00210914">
        <w:t xml:space="preserve">ID Registry </w:t>
      </w:r>
      <w:r w:rsidR="00AD424C">
        <w:rPr>
          <w:lang w:val="en-US"/>
        </w:rPr>
        <w:t xml:space="preserve">Function within </w:t>
      </w:r>
      <w:r w:rsidR="00AD424C" w:rsidRPr="00210914">
        <w:t>MEF</w:t>
      </w:r>
      <w:bookmarkEnd w:id="131"/>
    </w:p>
    <w:p w:rsidR="00AD424C" w:rsidRDefault="00AD424C" w:rsidP="00AD424C">
      <w:pPr>
        <w:rPr>
          <w:lang w:eastAsia="zh-CN"/>
        </w:rPr>
      </w:pPr>
      <w:r>
        <w:rPr>
          <w:lang w:eastAsia="zh-CN"/>
        </w:rPr>
        <w:t>For the App-ID Registry Function to be part of the existing oneM2M architecture, it is proposed that the ARF is an extended function of the MEF. The existing MEF entity and interface Mmef is extended and called Mmef’ (Mmef prime).</w:t>
      </w:r>
    </w:p>
    <w:p w:rsidR="00AD424C" w:rsidRDefault="00AD424C" w:rsidP="00AD424C">
      <w:pPr>
        <w:tabs>
          <w:tab w:val="left" w:pos="284"/>
        </w:tabs>
        <w:overflowPunct/>
        <w:autoSpaceDE/>
        <w:adjustRightInd/>
        <w:spacing w:before="120" w:after="0"/>
        <w:ind w:left="420"/>
        <w:rPr>
          <w:lang w:eastAsia="zh-CN"/>
        </w:rPr>
      </w:pPr>
    </w:p>
    <w:p w:rsidR="00AD424C" w:rsidRDefault="00AD424C" w:rsidP="00AD424C">
      <w:pPr>
        <w:pStyle w:val="NO"/>
        <w:keepNext/>
        <w:spacing w:before="120"/>
        <w:ind w:left="1134" w:hanging="1134"/>
        <w:outlineLvl w:val="2"/>
        <w:rPr>
          <w:rFonts w:eastAsia="Calibri"/>
        </w:rPr>
      </w:pPr>
    </w:p>
    <w:p w:rsidR="00AD424C" w:rsidRDefault="0091563F" w:rsidP="00AD424C">
      <w:pPr>
        <w:pStyle w:val="NO"/>
        <w:keepNext/>
        <w:spacing w:before="120"/>
        <w:ind w:left="1134" w:hanging="1134"/>
        <w:outlineLvl w:val="2"/>
        <w:rPr>
          <w:rFonts w:eastAsia="Calibri"/>
        </w:rPr>
      </w:pPr>
      <w:bookmarkStart w:id="132" w:name="OLE_LINK26"/>
      <w:bookmarkStart w:id="133" w:name="OLE_LINK27"/>
      <w:r>
        <w:rPr>
          <w:rFonts w:eastAsia="Calibri"/>
          <w:noProof/>
          <w:lang w:val="en-GB" w:eastAsia="en-GB"/>
        </w:rPr>
        <w:drawing>
          <wp:inline distT="0" distB="0" distL="0" distR="0" wp14:anchorId="049C9937" wp14:editId="06AE954C">
            <wp:extent cx="4704080" cy="353060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4080" cy="3530600"/>
                    </a:xfrm>
                    <a:prstGeom prst="rect">
                      <a:avLst/>
                    </a:prstGeom>
                    <a:noFill/>
                  </pic:spPr>
                </pic:pic>
              </a:graphicData>
            </a:graphic>
          </wp:inline>
        </w:drawing>
      </w:r>
      <w:bookmarkEnd w:id="132"/>
      <w:bookmarkEnd w:id="133"/>
    </w:p>
    <w:p w:rsidR="00AD424C" w:rsidRPr="00837E60" w:rsidRDefault="008401A5" w:rsidP="00AD424C">
      <w:pPr>
        <w:jc w:val="center"/>
        <w:rPr>
          <w:b/>
          <w:lang w:eastAsia="zh-CN"/>
        </w:rPr>
      </w:pPr>
      <w:r w:rsidRPr="00837E60">
        <w:rPr>
          <w:b/>
        </w:rPr>
        <w:t xml:space="preserve">Figure </w:t>
      </w:r>
      <w:r w:rsidR="009F6828">
        <w:rPr>
          <w:b/>
        </w:rPr>
        <w:t>7</w:t>
      </w:r>
      <w:r w:rsidRPr="00837E60">
        <w:rPr>
          <w:b/>
        </w:rPr>
        <w:t>.1.2</w:t>
      </w:r>
      <w:r w:rsidR="001F62BB">
        <w:rPr>
          <w:b/>
        </w:rPr>
        <w:t>-1</w:t>
      </w:r>
      <w:r w:rsidR="00AD424C" w:rsidRPr="00837E60">
        <w:rPr>
          <w:b/>
          <w:lang w:eastAsia="zh-CN"/>
        </w:rPr>
        <w:t>:  App-ID Registry Function as part of the MEF entity and interface</w:t>
      </w:r>
    </w:p>
    <w:p w:rsidR="00C86764" w:rsidRPr="0019768F" w:rsidRDefault="00B007B6" w:rsidP="00837E60">
      <w:pPr>
        <w:pStyle w:val="Heading2"/>
      </w:pPr>
      <w:bookmarkStart w:id="134" w:name="_Toc508958783"/>
      <w:bookmarkStart w:id="135" w:name="_Toc431220820"/>
      <w:bookmarkStart w:id="136" w:name="_Toc451960233"/>
      <w:bookmarkEnd w:id="128"/>
      <w:bookmarkEnd w:id="129"/>
      <w:r>
        <w:rPr>
          <w:lang w:val="en-US" w:eastAsia="zh-CN"/>
        </w:rPr>
        <w:t>7</w:t>
      </w:r>
      <w:r w:rsidR="00C86764">
        <w:rPr>
          <w:lang w:val="en-US" w:eastAsia="zh-CN"/>
        </w:rPr>
        <w:t xml:space="preserve">.2 </w:t>
      </w:r>
      <w:r w:rsidR="00C86764">
        <w:rPr>
          <w:lang w:val="en-US" w:eastAsia="zh-CN"/>
        </w:rPr>
        <w:tab/>
      </w:r>
      <w:r w:rsidR="00C86764" w:rsidRPr="00EA211F">
        <w:rPr>
          <w:rFonts w:hint="eastAsia"/>
          <w:lang w:eastAsia="zh-CN"/>
        </w:rPr>
        <w:t>Architecture</w:t>
      </w:r>
      <w:r w:rsidR="00C86764" w:rsidRPr="00EA211F">
        <w:t xml:space="preserve"> </w:t>
      </w:r>
      <w:r w:rsidR="00C86764" w:rsidRPr="00EA211F">
        <w:rPr>
          <w:rFonts w:hint="eastAsia"/>
          <w:lang w:eastAsia="zh-CN"/>
        </w:rPr>
        <w:t xml:space="preserve">Proposal </w:t>
      </w:r>
      <w:r w:rsidR="00C86764" w:rsidRPr="0019768F">
        <w:t xml:space="preserve">For </w:t>
      </w:r>
      <w:bookmarkEnd w:id="127"/>
      <w:r w:rsidR="00C86764" w:rsidRPr="00624C8E">
        <w:rPr>
          <w:lang w:eastAsia="zh-CN"/>
        </w:rPr>
        <w:t>Registration Enrolment using the App-ID Metadata</w:t>
      </w:r>
      <w:bookmarkEnd w:id="134"/>
    </w:p>
    <w:p w:rsidR="00AD424C" w:rsidRPr="00EA211F" w:rsidRDefault="00B007B6" w:rsidP="00AD424C">
      <w:pPr>
        <w:pStyle w:val="Heading3"/>
        <w:rPr>
          <w:lang w:eastAsia="zh-CN"/>
        </w:rPr>
      </w:pPr>
      <w:bookmarkStart w:id="137" w:name="_Toc508958784"/>
      <w:r>
        <w:rPr>
          <w:lang w:val="en-US" w:eastAsia="zh-CN"/>
        </w:rPr>
        <w:t>7</w:t>
      </w:r>
      <w:r w:rsidR="00AD424C" w:rsidRPr="00EA211F">
        <w:rPr>
          <w:lang w:eastAsia="zh-CN"/>
        </w:rPr>
        <w:t>.</w:t>
      </w:r>
      <w:r w:rsidR="00AD424C">
        <w:rPr>
          <w:lang w:val="en-US" w:eastAsia="zh-CN"/>
        </w:rPr>
        <w:t>2</w:t>
      </w:r>
      <w:r w:rsidR="00AD424C">
        <w:rPr>
          <w:rFonts w:hint="eastAsia"/>
          <w:lang w:eastAsia="zh-CN"/>
        </w:rPr>
        <w:t>.1</w:t>
      </w:r>
      <w:r w:rsidR="00AD424C" w:rsidRPr="00EA211F">
        <w:rPr>
          <w:rFonts w:hint="eastAsia"/>
          <w:lang w:eastAsia="zh-CN"/>
        </w:rPr>
        <w:tab/>
      </w:r>
      <w:r w:rsidR="00AD424C">
        <w:rPr>
          <w:lang w:val="en-GB" w:eastAsia="zh-CN"/>
        </w:rPr>
        <w:t xml:space="preserve">Functionality </w:t>
      </w:r>
      <w:r w:rsidR="00AD424C" w:rsidRPr="00EA211F">
        <w:t>Requirements</w:t>
      </w:r>
      <w:bookmarkEnd w:id="137"/>
    </w:p>
    <w:p w:rsidR="00AD424C" w:rsidRDefault="00AD424C" w:rsidP="0019768F">
      <w:pPr>
        <w:jc w:val="both"/>
        <w:rPr>
          <w:lang w:val="en-US"/>
        </w:rPr>
      </w:pPr>
      <w:r w:rsidRPr="00EA211F">
        <w:rPr>
          <w:lang w:val="en-US"/>
        </w:rPr>
        <w:t xml:space="preserve">The following is a list of basic requirements </w:t>
      </w:r>
      <w:r w:rsidRPr="00EA211F">
        <w:rPr>
          <w:rFonts w:hint="eastAsia"/>
          <w:lang w:val="en-US" w:eastAsia="zh-CN"/>
        </w:rPr>
        <w:t xml:space="preserve">to be considered in </w:t>
      </w:r>
      <w:r w:rsidRPr="00EA211F">
        <w:rPr>
          <w:lang w:val="en-US"/>
        </w:rPr>
        <w:t>design and analysis of</w:t>
      </w:r>
      <w:r w:rsidRPr="00EA211F">
        <w:rPr>
          <w:rFonts w:hint="eastAsia"/>
          <w:lang w:val="en-US" w:eastAsia="zh-CN"/>
        </w:rPr>
        <w:t xml:space="preserve"> </w:t>
      </w:r>
      <w:r w:rsidRPr="00624C8E">
        <w:rPr>
          <w:lang w:eastAsia="zh-CN"/>
        </w:rPr>
        <w:t>Registration Enrolment using the App-ID Metadata</w:t>
      </w:r>
      <w:r w:rsidRPr="00EA211F">
        <w:rPr>
          <w:rFonts w:hint="eastAsia"/>
          <w:lang w:val="en-US" w:eastAsia="zh-CN"/>
        </w:rPr>
        <w:t xml:space="preserve"> solutions</w:t>
      </w:r>
      <w:r w:rsidRPr="00EA211F">
        <w:rPr>
          <w:lang w:val="en-US"/>
        </w:rPr>
        <w:t>:</w:t>
      </w:r>
    </w:p>
    <w:p w:rsidR="00AD424C" w:rsidRPr="006E5BF9" w:rsidRDefault="00AD424C" w:rsidP="00FB7427">
      <w:pPr>
        <w:pStyle w:val="ListParagraph"/>
        <w:numPr>
          <w:ilvl w:val="0"/>
          <w:numId w:val="22"/>
        </w:numPr>
        <w:jc w:val="both"/>
        <w:rPr>
          <w:sz w:val="20"/>
          <w:szCs w:val="20"/>
          <w:lang w:val="en-GB" w:eastAsia="zh-CN"/>
        </w:rPr>
      </w:pPr>
      <w:r w:rsidRPr="006E5BF9">
        <w:rPr>
          <w:sz w:val="20"/>
          <w:szCs w:val="20"/>
          <w:lang w:val="en-GB" w:eastAsia="zh-CN"/>
        </w:rPr>
        <w:t xml:space="preserve">Allow a Registree AE to enrol </w:t>
      </w:r>
      <w:r>
        <w:rPr>
          <w:sz w:val="20"/>
          <w:szCs w:val="20"/>
          <w:lang w:val="en-GB" w:eastAsia="zh-CN"/>
        </w:rPr>
        <w:t>and be provisioned with a</w:t>
      </w:r>
      <w:r w:rsidRPr="006E5BF9">
        <w:rPr>
          <w:sz w:val="20"/>
          <w:szCs w:val="20"/>
          <w:lang w:val="en-GB" w:eastAsia="zh-CN"/>
        </w:rPr>
        <w:t xml:space="preserve"> unique App-ID from an App-ID Registry</w:t>
      </w:r>
    </w:p>
    <w:p w:rsidR="00AD424C" w:rsidRPr="006E5BF9" w:rsidRDefault="00AD424C" w:rsidP="00FB7427">
      <w:pPr>
        <w:pStyle w:val="ListParagraph"/>
        <w:numPr>
          <w:ilvl w:val="0"/>
          <w:numId w:val="22"/>
        </w:numPr>
        <w:jc w:val="both"/>
        <w:rPr>
          <w:sz w:val="20"/>
          <w:szCs w:val="20"/>
          <w:lang w:val="en-GB" w:eastAsia="zh-CN"/>
        </w:rPr>
      </w:pPr>
      <w:r w:rsidRPr="006E5BF9">
        <w:rPr>
          <w:sz w:val="20"/>
          <w:szCs w:val="20"/>
          <w:lang w:val="en-GB" w:eastAsia="zh-CN"/>
        </w:rPr>
        <w:t>Allow a Registrar CSE to perform a</w:t>
      </w:r>
      <w:r>
        <w:rPr>
          <w:sz w:val="20"/>
          <w:szCs w:val="20"/>
          <w:lang w:val="en-GB" w:eastAsia="zh-CN"/>
        </w:rPr>
        <w:t>n</w:t>
      </w:r>
      <w:r w:rsidRPr="006E5BF9">
        <w:rPr>
          <w:sz w:val="20"/>
          <w:szCs w:val="20"/>
          <w:lang w:val="en-GB" w:eastAsia="zh-CN"/>
        </w:rPr>
        <w:t xml:space="preserve"> </w:t>
      </w:r>
      <w:r>
        <w:rPr>
          <w:sz w:val="20"/>
          <w:szCs w:val="20"/>
          <w:lang w:val="en-GB" w:eastAsia="zh-CN"/>
        </w:rPr>
        <w:t xml:space="preserve">App-ID Registry </w:t>
      </w:r>
      <w:r w:rsidRPr="006E5BF9">
        <w:rPr>
          <w:sz w:val="20"/>
          <w:szCs w:val="20"/>
          <w:lang w:val="en-GB" w:eastAsia="zh-CN"/>
        </w:rPr>
        <w:t xml:space="preserve">lookup to check whether </w:t>
      </w:r>
      <w:r>
        <w:rPr>
          <w:sz w:val="20"/>
          <w:szCs w:val="20"/>
          <w:lang w:val="en-GB" w:eastAsia="zh-CN"/>
        </w:rPr>
        <w:t>an</w:t>
      </w:r>
      <w:r w:rsidRPr="006E5BF9">
        <w:rPr>
          <w:sz w:val="20"/>
          <w:szCs w:val="20"/>
          <w:lang w:val="en-GB" w:eastAsia="zh-CN"/>
        </w:rPr>
        <w:t xml:space="preserve"> App-ID </w:t>
      </w:r>
      <w:r>
        <w:rPr>
          <w:sz w:val="20"/>
          <w:szCs w:val="20"/>
          <w:lang w:val="en-GB" w:eastAsia="zh-CN"/>
        </w:rPr>
        <w:t>it receives within a</w:t>
      </w:r>
      <w:r w:rsidRPr="006E5BF9">
        <w:rPr>
          <w:sz w:val="20"/>
          <w:szCs w:val="20"/>
          <w:lang w:val="en-GB" w:eastAsia="zh-CN"/>
        </w:rPr>
        <w:t xml:space="preserve"> registration request is valid and </w:t>
      </w:r>
      <w:r>
        <w:rPr>
          <w:sz w:val="20"/>
          <w:szCs w:val="20"/>
          <w:lang w:val="en-GB" w:eastAsia="zh-CN"/>
        </w:rPr>
        <w:t xml:space="preserve">has been </w:t>
      </w:r>
      <w:r w:rsidRPr="006E5BF9">
        <w:rPr>
          <w:sz w:val="20"/>
          <w:szCs w:val="20"/>
          <w:lang w:val="en-GB" w:eastAsia="zh-CN"/>
        </w:rPr>
        <w:t>assigned to the Registr</w:t>
      </w:r>
      <w:r w:rsidR="004731F1">
        <w:rPr>
          <w:sz w:val="20"/>
          <w:szCs w:val="20"/>
          <w:lang w:val="en-GB" w:eastAsia="zh-CN"/>
        </w:rPr>
        <w:t>y</w:t>
      </w:r>
      <w:r w:rsidRPr="006E5BF9">
        <w:rPr>
          <w:sz w:val="20"/>
          <w:szCs w:val="20"/>
          <w:lang w:val="en-GB" w:eastAsia="zh-CN"/>
        </w:rPr>
        <w:t>.</w:t>
      </w:r>
    </w:p>
    <w:p w:rsidR="00AD424C" w:rsidRPr="00F41C54" w:rsidRDefault="00B007B6" w:rsidP="00837E60">
      <w:pPr>
        <w:pStyle w:val="Heading3"/>
        <w:rPr>
          <w:lang w:val="en-US"/>
        </w:rPr>
      </w:pPr>
      <w:bookmarkStart w:id="138" w:name="_Toc508958785"/>
      <w:r w:rsidRPr="0012753F">
        <w:rPr>
          <w:lang w:val="en-US"/>
        </w:rPr>
        <w:t>7</w:t>
      </w:r>
      <w:r w:rsidR="00AD424C" w:rsidRPr="0012753F">
        <w:t>.</w:t>
      </w:r>
      <w:r w:rsidR="00AD424C" w:rsidRPr="0012753F">
        <w:rPr>
          <w:lang w:val="en-US"/>
        </w:rPr>
        <w:t>2.2</w:t>
      </w:r>
      <w:r w:rsidR="00AD424C" w:rsidRPr="0012753F">
        <w:tab/>
        <w:t xml:space="preserve">Architecture </w:t>
      </w:r>
      <w:r w:rsidR="00AD424C" w:rsidRPr="00635A41">
        <w:rPr>
          <w:lang w:val="en-US"/>
        </w:rPr>
        <w:t>Option #1</w:t>
      </w:r>
      <w:bookmarkEnd w:id="138"/>
    </w:p>
    <w:p w:rsidR="00860CD3" w:rsidRDefault="00860CD3" w:rsidP="0019768F">
      <w:pPr>
        <w:jc w:val="both"/>
        <w:rPr>
          <w:lang w:eastAsia="zh-CN"/>
        </w:rPr>
      </w:pPr>
      <w:r>
        <w:rPr>
          <w:lang w:eastAsia="zh-CN"/>
        </w:rPr>
        <w:t>7.2.2.0</w:t>
      </w:r>
      <w:r>
        <w:rPr>
          <w:lang w:eastAsia="zh-CN"/>
        </w:rPr>
        <w:tab/>
      </w:r>
      <w:r>
        <w:rPr>
          <w:lang w:eastAsia="zh-CN"/>
        </w:rPr>
        <w:tab/>
      </w:r>
      <w:r>
        <w:rPr>
          <w:lang w:eastAsia="zh-CN"/>
        </w:rPr>
        <w:tab/>
        <w:t>Introduction</w:t>
      </w:r>
    </w:p>
    <w:p w:rsidR="00AD424C" w:rsidRDefault="00AD424C" w:rsidP="0019768F">
      <w:pPr>
        <w:jc w:val="both"/>
        <w:rPr>
          <w:lang w:eastAsia="zh-CN"/>
        </w:rPr>
      </w:pPr>
      <w:r>
        <w:rPr>
          <w:lang w:eastAsia="zh-CN"/>
        </w:rPr>
        <w:t>A</w:t>
      </w:r>
      <w:r>
        <w:rPr>
          <w:rFonts w:hint="eastAsia"/>
          <w:lang w:eastAsia="zh-CN"/>
        </w:rPr>
        <w:t xml:space="preserve"> candidate a</w:t>
      </w:r>
      <w:r w:rsidRPr="00EA211F">
        <w:rPr>
          <w:rFonts w:hint="eastAsia"/>
          <w:lang w:eastAsia="zh-CN"/>
        </w:rPr>
        <w:t xml:space="preserve">rchitecture </w:t>
      </w:r>
      <w:r>
        <w:rPr>
          <w:lang w:eastAsia="zh-CN"/>
        </w:rPr>
        <w:t>is shown below in Figure 6.</w:t>
      </w:r>
      <w:r w:rsidR="00246343">
        <w:rPr>
          <w:lang w:eastAsia="zh-CN"/>
        </w:rPr>
        <w:t>2</w:t>
      </w:r>
      <w:r>
        <w:rPr>
          <w:lang w:eastAsia="zh-CN"/>
        </w:rPr>
        <w:t>.</w:t>
      </w:r>
      <w:r w:rsidR="00246343">
        <w:rPr>
          <w:lang w:eastAsia="zh-CN"/>
        </w:rPr>
        <w:t>2</w:t>
      </w:r>
      <w:r>
        <w:rPr>
          <w:lang w:eastAsia="zh-CN"/>
        </w:rPr>
        <w:t>-1.  In this architecture, an independent App-ID Registry Function (ARF) and an ARF Client are defined.  The ARF Client can be hosted by Registree and Registrar nodes.  A Registree node can use it’s ARF Client to enrol to an ARF and be provisioned with App-ID(s) for the AE(s) the node hosts. A CSE hosted on a Registrar node can use it’s ARF Client to perform a lookup to the ARF to check whether a Registr</w:t>
      </w:r>
      <w:r w:rsidR="004731F1">
        <w:rPr>
          <w:lang w:eastAsia="zh-CN"/>
        </w:rPr>
        <w:t>y</w:t>
      </w:r>
      <w:r>
        <w:rPr>
          <w:lang w:eastAsia="zh-CN"/>
        </w:rPr>
        <w:t xml:space="preserve"> AE’s App-ID is valid and in turn whether the Registrar CSE should grant or deny the Registree AE’s registration request.  Using this lookup capability and the information returned by the ARF, the Registrar CSE can initiate the dynamic and remote provisioning of AE service subscription information (i.e. &lt;serviceSubscribedAppRule&gt; resources). </w:t>
      </w:r>
    </w:p>
    <w:p w:rsidR="00AD424C" w:rsidRDefault="00AD424C" w:rsidP="00AD424C">
      <w:r>
        <w:object w:dxaOrig="12600" w:dyaOrig="11400" w14:anchorId="72A22E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435.6pt" o:ole="">
            <v:imagedata r:id="rId19" o:title=""/>
          </v:shape>
          <o:OLEObject Type="Embed" ProgID="Visio.Drawing.15" ShapeID="_x0000_i1025" DrawAspect="Content" ObjectID="_1583755206" r:id="rId20"/>
        </w:object>
      </w:r>
    </w:p>
    <w:p w:rsidR="00AD424C" w:rsidRPr="00837E60" w:rsidRDefault="00AD424C" w:rsidP="00837E60">
      <w:pPr>
        <w:jc w:val="center"/>
        <w:rPr>
          <w:b/>
        </w:rPr>
      </w:pPr>
      <w:r w:rsidRPr="00837E60">
        <w:rPr>
          <w:b/>
        </w:rPr>
        <w:t xml:space="preserve">Figure </w:t>
      </w:r>
      <w:r w:rsidR="009F6828">
        <w:rPr>
          <w:b/>
        </w:rPr>
        <w:t>7</w:t>
      </w:r>
      <w:r w:rsidRPr="00837E60">
        <w:rPr>
          <w:b/>
        </w:rPr>
        <w:t>.</w:t>
      </w:r>
      <w:r w:rsidR="00246343" w:rsidRPr="00837E60">
        <w:rPr>
          <w:b/>
        </w:rPr>
        <w:t>2</w:t>
      </w:r>
      <w:r w:rsidRPr="00837E60">
        <w:rPr>
          <w:b/>
        </w:rPr>
        <w:t>.</w:t>
      </w:r>
      <w:r w:rsidR="00246343" w:rsidRPr="00837E60">
        <w:rPr>
          <w:b/>
        </w:rPr>
        <w:t>2</w:t>
      </w:r>
      <w:r w:rsidR="001F62BB">
        <w:rPr>
          <w:b/>
        </w:rPr>
        <w:t>-1</w:t>
      </w:r>
      <w:r w:rsidRPr="00837E60">
        <w:rPr>
          <w:b/>
        </w:rPr>
        <w:t xml:space="preserve">: Standalone App-ID Registry Function </w:t>
      </w:r>
    </w:p>
    <w:p w:rsidR="00AD424C" w:rsidRDefault="00AD424C" w:rsidP="00AD424C"/>
    <w:p w:rsidR="00AD424C" w:rsidRPr="005A3421" w:rsidRDefault="00AD424C" w:rsidP="00837E60">
      <w:pPr>
        <w:jc w:val="both"/>
      </w:pPr>
      <w:r>
        <w:rPr>
          <w:b/>
        </w:rPr>
        <w:t xml:space="preserve">Step </w:t>
      </w:r>
      <w:r w:rsidRPr="005A3421">
        <w:rPr>
          <w:b/>
        </w:rPr>
        <w:t>1:</w:t>
      </w:r>
      <w:r w:rsidRPr="005A3421">
        <w:t xml:space="preserve"> </w:t>
      </w:r>
      <w:r>
        <w:t>ADN/ASN/MN’s MEF Client enrols to MEF as defined in TS-0003 and TS-0032 (e.g. &lt;mefClientReg&gt; and &lt;symmKeyReg&gt; resources are created).</w:t>
      </w:r>
    </w:p>
    <w:p w:rsidR="00AD424C" w:rsidRDefault="00AD424C" w:rsidP="00837E60">
      <w:pPr>
        <w:keepNext/>
        <w:keepLines/>
        <w:jc w:val="both"/>
        <w:rPr>
          <w:lang w:eastAsia="ko-KR"/>
        </w:rPr>
      </w:pPr>
      <w:r>
        <w:rPr>
          <w:b/>
        </w:rPr>
        <w:t xml:space="preserve">Step </w:t>
      </w:r>
      <w:r w:rsidRPr="005A3421">
        <w:rPr>
          <w:b/>
        </w:rPr>
        <w:t>2:</w:t>
      </w:r>
      <w:r w:rsidRPr="005A3421">
        <w:t xml:space="preserve"> </w:t>
      </w:r>
      <w:r>
        <w:t>ADN/ASN/MN’s App-ID Registry Function (ARF) Client enrols to ARF such that ADN is provisioned with an App-ID</w:t>
      </w:r>
      <w:r w:rsidRPr="005A3421">
        <w:rPr>
          <w:rFonts w:hint="eastAsia"/>
          <w:lang w:eastAsia="ko-KR"/>
        </w:rPr>
        <w:t>.</w:t>
      </w:r>
    </w:p>
    <w:p w:rsidR="00AD424C" w:rsidRDefault="00AD424C" w:rsidP="00837E60">
      <w:pPr>
        <w:jc w:val="both"/>
      </w:pPr>
      <w:r>
        <w:rPr>
          <w:b/>
        </w:rPr>
        <w:t>Step 3</w:t>
      </w:r>
      <w:r w:rsidRPr="005A3421">
        <w:rPr>
          <w:b/>
        </w:rPr>
        <w:t>:</w:t>
      </w:r>
      <w:r w:rsidRPr="005A3421">
        <w:t xml:space="preserve"> </w:t>
      </w:r>
      <w:r>
        <w:t xml:space="preserve">Security Association Establishment is performed </w:t>
      </w:r>
    </w:p>
    <w:p w:rsidR="00AD424C" w:rsidRPr="009F4C54" w:rsidRDefault="00AD424C" w:rsidP="00FB7427">
      <w:pPr>
        <w:pStyle w:val="ListParagraph"/>
        <w:numPr>
          <w:ilvl w:val="0"/>
          <w:numId w:val="21"/>
        </w:numPr>
        <w:spacing w:after="120"/>
        <w:contextualSpacing w:val="0"/>
        <w:jc w:val="both"/>
        <w:rPr>
          <w:sz w:val="20"/>
          <w:szCs w:val="20"/>
          <w:lang w:val="en-GB"/>
        </w:rPr>
      </w:pPr>
      <w:r w:rsidRPr="00413C0F">
        <w:rPr>
          <w:b/>
          <w:sz w:val="20"/>
          <w:szCs w:val="20"/>
          <w:lang w:val="en-GB"/>
        </w:rPr>
        <w:t>Step 3a:</w:t>
      </w:r>
      <w:r w:rsidRPr="00413C0F">
        <w:t xml:space="preserve"> </w:t>
      </w:r>
      <w:r>
        <w:rPr>
          <w:sz w:val="20"/>
          <w:szCs w:val="20"/>
          <w:lang w:val="en-GB"/>
        </w:rPr>
        <w:t xml:space="preserve">AE initiates a Security Association Establishment handshake with its Registrar CSE.  Depending on the type of security used this handshake may contain security related information. E.g. in the case of Provisioned Symmetric Key (PSK) based security, an identifier (KpsaID) is included.  </w:t>
      </w:r>
    </w:p>
    <w:p w:rsidR="00AD424C" w:rsidRPr="009F4C54"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3b</w:t>
      </w:r>
      <w:r w:rsidRPr="00413C0F">
        <w:rPr>
          <w:b/>
          <w:sz w:val="20"/>
          <w:szCs w:val="20"/>
          <w:lang w:val="en-GB"/>
        </w:rPr>
        <w:t>:</w:t>
      </w:r>
      <w:r w:rsidRPr="00413C0F">
        <w:t xml:space="preserve"> </w:t>
      </w:r>
      <w:r>
        <w:rPr>
          <w:sz w:val="20"/>
          <w:szCs w:val="20"/>
          <w:lang w:val="en-GB"/>
        </w:rPr>
        <w:t>Registrar CSE formulates a Credential-ID based on the type of security that is used.  E.g. in the case of PSK, the Credential-ID is formulated by pre-pending KpsaID with a value of “12-“.  Based on the Credential-ID, the Registrar checks whether it has been provisioned with the Registree’s credential.</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3c</w:t>
      </w:r>
      <w:r w:rsidRPr="00413C0F">
        <w:rPr>
          <w:b/>
          <w:sz w:val="20"/>
          <w:szCs w:val="20"/>
          <w:lang w:val="en-GB"/>
        </w:rPr>
        <w:t>:</w:t>
      </w:r>
      <w:r w:rsidRPr="00413C0F">
        <w:t xml:space="preserve"> </w:t>
      </w:r>
      <w:r>
        <w:rPr>
          <w:sz w:val="20"/>
          <w:szCs w:val="20"/>
          <w:lang w:val="en-GB"/>
        </w:rPr>
        <w:t>If the Registrar CSE has not been provisioned with the Registree’s credential, the Registrar can initiate a lookup to the MEF to retrieve it based on the Registree’s Credential-ID.</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3d</w:t>
      </w:r>
      <w:r w:rsidRPr="00413C0F">
        <w:rPr>
          <w:b/>
          <w:sz w:val="20"/>
          <w:szCs w:val="20"/>
          <w:lang w:val="en-GB"/>
        </w:rPr>
        <w:t>:</w:t>
      </w:r>
      <w:r w:rsidRPr="00413C0F">
        <w:t xml:space="preserve"> </w:t>
      </w:r>
      <w:r>
        <w:rPr>
          <w:sz w:val="20"/>
          <w:szCs w:val="20"/>
          <w:lang w:val="en-GB"/>
        </w:rPr>
        <w:t>If the Registrar CSE has authorization to access the Registree’s credential, the MEF can respond with the credential.</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3e</w:t>
      </w:r>
      <w:r w:rsidRPr="00413C0F">
        <w:rPr>
          <w:b/>
          <w:sz w:val="20"/>
          <w:szCs w:val="20"/>
          <w:lang w:val="en-GB"/>
        </w:rPr>
        <w:t>:</w:t>
      </w:r>
      <w:r w:rsidRPr="00413C0F">
        <w:t xml:space="preserve"> </w:t>
      </w:r>
      <w:r>
        <w:rPr>
          <w:sz w:val="20"/>
          <w:szCs w:val="20"/>
          <w:lang w:val="en-GB"/>
        </w:rPr>
        <w:t>Using the credential, the Registrar can authenticate the Registree and complete the Security Association Establishment handshake.</w:t>
      </w:r>
    </w:p>
    <w:p w:rsidR="00AD424C" w:rsidRPr="005A3421" w:rsidRDefault="00AD424C" w:rsidP="00837E60">
      <w:pPr>
        <w:pStyle w:val="ListParagraph"/>
        <w:jc w:val="both"/>
      </w:pPr>
    </w:p>
    <w:p w:rsidR="00AD424C" w:rsidRDefault="00AD424C" w:rsidP="00837E60">
      <w:pPr>
        <w:keepNext/>
        <w:keepLines/>
        <w:jc w:val="both"/>
        <w:rPr>
          <w:lang w:eastAsia="ko-KR"/>
        </w:rPr>
      </w:pPr>
      <w:r>
        <w:rPr>
          <w:b/>
        </w:rPr>
        <w:t>Step 4</w:t>
      </w:r>
      <w:r w:rsidRPr="005A3421">
        <w:rPr>
          <w:b/>
        </w:rPr>
        <w:t>:</w:t>
      </w:r>
      <w:r w:rsidRPr="005A3421">
        <w:t xml:space="preserve"> </w:t>
      </w:r>
      <w:r>
        <w:t>If the Security Association Establishment is successful, the AE can initiate a registration request to the Registrar CSE.  Within this request, the Registrar provides its App-ID</w:t>
      </w:r>
      <w:r w:rsidRPr="005A3421">
        <w:rPr>
          <w:rFonts w:hint="eastAsia"/>
          <w:lang w:eastAsia="ko-KR"/>
        </w:rPr>
        <w:t>.</w:t>
      </w:r>
    </w:p>
    <w:p w:rsidR="00AD424C" w:rsidRPr="00F612B5"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w:t>
      </w:r>
      <w:r w:rsidRPr="00413C0F">
        <w:rPr>
          <w:b/>
          <w:sz w:val="20"/>
          <w:szCs w:val="20"/>
          <w:lang w:val="en-GB"/>
        </w:rPr>
        <w:t>a:</w:t>
      </w:r>
      <w:r w:rsidRPr="00413C0F">
        <w:t xml:space="preserve"> </w:t>
      </w:r>
      <w:r w:rsidRPr="00F612B5">
        <w:rPr>
          <w:sz w:val="20"/>
          <w:szCs w:val="20"/>
          <w:lang w:val="en-GB"/>
        </w:rPr>
        <w:t>If the Security Association Establishment is successful, the AE can initiate a registration request to the Registrar CSE.  Within this request, the Registrar provides its App-ID</w:t>
      </w:r>
    </w:p>
    <w:p w:rsidR="00AD424C" w:rsidRPr="00F612B5"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4b</w:t>
      </w:r>
      <w:r w:rsidRPr="00413C0F">
        <w:rPr>
          <w:b/>
          <w:sz w:val="20"/>
          <w:szCs w:val="20"/>
          <w:lang w:val="en-GB"/>
        </w:rPr>
        <w:t>:</w:t>
      </w:r>
      <w:r w:rsidRPr="00413C0F">
        <w:t xml:space="preserve"> </w:t>
      </w:r>
      <w:r>
        <w:rPr>
          <w:sz w:val="20"/>
          <w:szCs w:val="20"/>
          <w:lang w:val="en-GB"/>
        </w:rPr>
        <w:t xml:space="preserve">Upon receiving the registration request from the AE, the Registrar CSE will check whether it has a matching &lt;serviceSubscribedAppRule&gt; resource for the AE.  To find a match, the Registrar checks whether the Credential-ID and App-ID of the Registree AE match the </w:t>
      </w:r>
      <w:r w:rsidRPr="00243247">
        <w:rPr>
          <w:i/>
          <w:sz w:val="20"/>
          <w:szCs w:val="20"/>
          <w:lang w:val="en-GB"/>
        </w:rPr>
        <w:t>applicableCredIDs</w:t>
      </w:r>
      <w:r>
        <w:rPr>
          <w:sz w:val="20"/>
          <w:szCs w:val="20"/>
          <w:lang w:val="en-GB"/>
        </w:rPr>
        <w:t xml:space="preserve"> and </w:t>
      </w:r>
      <w:r w:rsidRPr="00243247">
        <w:rPr>
          <w:i/>
          <w:sz w:val="20"/>
          <w:szCs w:val="20"/>
          <w:lang w:val="en-GB"/>
        </w:rPr>
        <w:t>allowedAppIDs</w:t>
      </w:r>
      <w:r>
        <w:rPr>
          <w:sz w:val="20"/>
          <w:szCs w:val="20"/>
          <w:lang w:val="en-GB"/>
        </w:rPr>
        <w:t xml:space="preserve"> attributes of any  &lt;serviceSubscribedAppRule&gt; resources it hosts.  Also, if the registration request includes an AE-ID in the </w:t>
      </w:r>
      <w:r w:rsidRPr="00243247">
        <w:rPr>
          <w:b/>
          <w:i/>
          <w:sz w:val="20"/>
          <w:szCs w:val="20"/>
          <w:lang w:val="en-GB"/>
        </w:rPr>
        <w:t>From</w:t>
      </w:r>
      <w:r>
        <w:rPr>
          <w:sz w:val="20"/>
          <w:szCs w:val="20"/>
          <w:lang w:val="en-GB"/>
        </w:rPr>
        <w:t xml:space="preserve"> request parameter, the Registrar CSE will also check whether this AE-ID matches the </w:t>
      </w:r>
      <w:r w:rsidRPr="00ED4FE4">
        <w:rPr>
          <w:i/>
          <w:sz w:val="20"/>
          <w:szCs w:val="20"/>
          <w:lang w:val="en-GB"/>
        </w:rPr>
        <w:t>allowedAEIDs</w:t>
      </w:r>
      <w:r>
        <w:rPr>
          <w:sz w:val="20"/>
          <w:szCs w:val="20"/>
          <w:lang w:val="en-GB"/>
        </w:rPr>
        <w:t xml:space="preserve"> attribute of the  &lt;serviceSubscribedAppRule&gt; resource.  If a match is found, then the Registrar CSE will allow the AE to register. </w:t>
      </w:r>
    </w:p>
    <w:p w:rsidR="00AD424C" w:rsidRPr="00F612B5"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4c</w:t>
      </w:r>
      <w:r w:rsidRPr="00413C0F">
        <w:rPr>
          <w:b/>
          <w:sz w:val="20"/>
          <w:szCs w:val="20"/>
          <w:lang w:val="en-GB"/>
        </w:rPr>
        <w:t>:</w:t>
      </w:r>
      <w:r w:rsidRPr="00413C0F">
        <w:t xml:space="preserve"> </w:t>
      </w:r>
      <w:r>
        <w:rPr>
          <w:sz w:val="20"/>
          <w:szCs w:val="20"/>
          <w:lang w:val="en-GB"/>
        </w:rPr>
        <w:t>If a matching &lt;serviceSubscribedAppRule&gt; resource is not found for the AE, the Registrar can initiate a lookup to the ARF to check whether the AE has enrolled and been assigned an App-ID. This lookup can include information such as App-ID, Credential-ID and/or AE-ID.</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4d</w:t>
      </w:r>
      <w:r w:rsidRPr="00413C0F">
        <w:rPr>
          <w:b/>
          <w:sz w:val="20"/>
          <w:szCs w:val="20"/>
          <w:lang w:val="en-GB"/>
        </w:rPr>
        <w:t>:</w:t>
      </w:r>
      <w:r w:rsidRPr="00413C0F">
        <w:t xml:space="preserve"> </w:t>
      </w:r>
      <w:r>
        <w:rPr>
          <w:sz w:val="20"/>
          <w:szCs w:val="20"/>
          <w:lang w:val="en-GB"/>
        </w:rPr>
        <w:t xml:space="preserve">Using information provided in the request, the ARF can check whether the AE has enrolled and been assigned the App-ID included in the registration request.  Based on the outcome of this check, the ARF can respond with an indication whether the AE is allowed to register.  In addition, the ARF can provide additional information to the Registrar such as a list of allowed roles for the Registree, other allowed AE-IDs and Credential-IDs that are permitted to register using the same App-ID and/or a lifetime which the App-ID is valid for.  </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4e</w:t>
      </w:r>
      <w:r w:rsidRPr="00413C0F">
        <w:rPr>
          <w:b/>
          <w:sz w:val="20"/>
          <w:szCs w:val="20"/>
          <w:lang w:val="en-GB"/>
        </w:rPr>
        <w:t>:</w:t>
      </w:r>
      <w:r w:rsidRPr="00413C0F">
        <w:t xml:space="preserve"> </w:t>
      </w:r>
      <w:r>
        <w:rPr>
          <w:sz w:val="20"/>
          <w:szCs w:val="20"/>
          <w:lang w:val="en-GB"/>
        </w:rPr>
        <w:t xml:space="preserve">Upon receiving a response from the ARF, the Registrar CSE can create or update a &lt;serviceSubscribedAppRule&gt; resource to store the information it received from the ARF such that it can be used to process the current registration request as well as future registration requests.   For example, this information can be stored in the </w:t>
      </w:r>
      <w:r w:rsidRPr="008A40D3">
        <w:rPr>
          <w:i/>
          <w:sz w:val="20"/>
          <w:szCs w:val="20"/>
          <w:lang w:val="en-GB"/>
        </w:rPr>
        <w:t>applicableCredIDs, allowedAppIDs, allowedAEs, allowedRoleIDs</w:t>
      </w:r>
      <w:r>
        <w:rPr>
          <w:sz w:val="20"/>
          <w:szCs w:val="20"/>
          <w:lang w:val="en-GB"/>
        </w:rPr>
        <w:t xml:space="preserve"> and the </w:t>
      </w:r>
      <w:r w:rsidRPr="008A40D3">
        <w:rPr>
          <w:i/>
          <w:sz w:val="20"/>
          <w:szCs w:val="20"/>
          <w:lang w:val="en-GB"/>
        </w:rPr>
        <w:t>expirationTime</w:t>
      </w:r>
      <w:r>
        <w:rPr>
          <w:sz w:val="20"/>
          <w:szCs w:val="20"/>
          <w:lang w:val="en-GB"/>
        </w:rPr>
        <w:t xml:space="preserve"> attributes. </w:t>
      </w:r>
    </w:p>
    <w:p w:rsidR="00AD424C" w:rsidRPr="00413C0F"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4f</w:t>
      </w:r>
      <w:r w:rsidRPr="00413C0F">
        <w:rPr>
          <w:b/>
          <w:sz w:val="20"/>
          <w:szCs w:val="20"/>
          <w:lang w:val="en-GB"/>
        </w:rPr>
        <w:t>:</w:t>
      </w:r>
      <w:r w:rsidRPr="00413C0F">
        <w:t xml:space="preserve"> </w:t>
      </w:r>
      <w:r>
        <w:rPr>
          <w:sz w:val="20"/>
          <w:szCs w:val="20"/>
          <w:lang w:val="en-GB"/>
        </w:rPr>
        <w:t>Based on the outcome of the &lt;serviceSubscribedAppRule&gt; resource checks, the Registrar CSE either allows or denies the registration request.</w:t>
      </w:r>
    </w:p>
    <w:p w:rsidR="00AD424C" w:rsidRPr="006E5BF9" w:rsidRDefault="00AD424C" w:rsidP="00FB7427">
      <w:pPr>
        <w:pStyle w:val="ListParagraph"/>
        <w:numPr>
          <w:ilvl w:val="0"/>
          <w:numId w:val="21"/>
        </w:numPr>
        <w:spacing w:after="120"/>
        <w:contextualSpacing w:val="0"/>
        <w:jc w:val="both"/>
        <w:rPr>
          <w:sz w:val="20"/>
          <w:szCs w:val="20"/>
          <w:lang w:val="en-GB"/>
        </w:rPr>
      </w:pPr>
      <w:r>
        <w:rPr>
          <w:b/>
          <w:sz w:val="20"/>
          <w:szCs w:val="20"/>
          <w:lang w:val="en-GB"/>
        </w:rPr>
        <w:t>Step 4g</w:t>
      </w:r>
      <w:r w:rsidRPr="00413C0F">
        <w:rPr>
          <w:b/>
          <w:sz w:val="20"/>
          <w:szCs w:val="20"/>
          <w:lang w:val="en-GB"/>
        </w:rPr>
        <w:t>:</w:t>
      </w:r>
      <w:r w:rsidRPr="00413C0F">
        <w:t xml:space="preserve"> </w:t>
      </w:r>
      <w:r w:rsidRPr="0019768F">
        <w:rPr>
          <w:sz w:val="20"/>
          <w:lang w:val="en-GB"/>
        </w:rPr>
        <w:t xml:space="preserve">The </w:t>
      </w:r>
      <w:r>
        <w:rPr>
          <w:sz w:val="20"/>
          <w:szCs w:val="20"/>
          <w:lang w:val="en-GB"/>
        </w:rPr>
        <w:t>Registrar CSE returns a registration response to the Registree AE that includes a status indication of whether the registration was successful or not.</w:t>
      </w:r>
    </w:p>
    <w:p w:rsidR="00AD424C" w:rsidRPr="00EA211F" w:rsidRDefault="00B007B6" w:rsidP="00AD424C">
      <w:pPr>
        <w:pStyle w:val="Heading4"/>
        <w:rPr>
          <w:szCs w:val="24"/>
          <w:lang w:eastAsia="zh-CN"/>
        </w:rPr>
      </w:pPr>
      <w:bookmarkStart w:id="139" w:name="_Toc508958786"/>
      <w:r>
        <w:rPr>
          <w:szCs w:val="24"/>
          <w:lang w:val="en-US" w:eastAsia="zh-CN"/>
        </w:rPr>
        <w:t>7</w:t>
      </w:r>
      <w:r w:rsidR="00AD424C" w:rsidRPr="00EA211F">
        <w:rPr>
          <w:rFonts w:hint="eastAsia"/>
          <w:szCs w:val="24"/>
          <w:lang w:eastAsia="zh-CN"/>
        </w:rPr>
        <w:t>.</w:t>
      </w:r>
      <w:r w:rsidR="00AD424C">
        <w:rPr>
          <w:szCs w:val="24"/>
          <w:lang w:val="en-US" w:eastAsia="zh-CN"/>
        </w:rPr>
        <w:t>2.1.1</w:t>
      </w:r>
      <w:r w:rsidR="00AD424C" w:rsidRPr="00EA211F">
        <w:rPr>
          <w:szCs w:val="24"/>
        </w:rPr>
        <w:tab/>
      </w:r>
      <w:r w:rsidR="00AD424C" w:rsidRPr="00EA211F">
        <w:rPr>
          <w:rFonts w:hint="eastAsia"/>
          <w:szCs w:val="24"/>
          <w:lang w:eastAsia="zh-CN"/>
        </w:rPr>
        <w:t>Nodes</w:t>
      </w:r>
      <w:bookmarkEnd w:id="139"/>
    </w:p>
    <w:p w:rsidR="00AD424C" w:rsidRDefault="00AD424C" w:rsidP="00AD424C">
      <w:pPr>
        <w:rPr>
          <w:lang w:eastAsia="zh-CN"/>
        </w:rPr>
      </w:pPr>
      <w:r>
        <w:rPr>
          <w:lang w:eastAsia="zh-CN"/>
        </w:rPr>
        <w:t>T</w:t>
      </w:r>
      <w:r w:rsidRPr="00EA211F">
        <w:rPr>
          <w:rFonts w:hint="eastAsia"/>
          <w:lang w:eastAsia="zh-CN"/>
        </w:rPr>
        <w:t>h</w:t>
      </w:r>
      <w:r>
        <w:rPr>
          <w:lang w:eastAsia="zh-CN"/>
        </w:rPr>
        <w:t>is candidat</w:t>
      </w:r>
      <w:r w:rsidRPr="00EA211F">
        <w:rPr>
          <w:rFonts w:hint="eastAsia"/>
          <w:lang w:eastAsia="zh-CN"/>
        </w:rPr>
        <w:t>e architecture</w:t>
      </w:r>
      <w:r>
        <w:rPr>
          <w:lang w:eastAsia="zh-CN"/>
        </w:rPr>
        <w:t xml:space="preserve"> does not propose any new nodes to the oneM2M architecture.  However, the following new architectural entities are proposed.  The proposed entities can be hosted on the existing set of oneM2M defined nodes. </w:t>
      </w:r>
    </w:p>
    <w:p w:rsidR="00AD424C" w:rsidRPr="00640DD1" w:rsidRDefault="00AD424C" w:rsidP="00FB7427">
      <w:pPr>
        <w:pStyle w:val="ListParagraph"/>
        <w:numPr>
          <w:ilvl w:val="0"/>
          <w:numId w:val="23"/>
        </w:numPr>
        <w:rPr>
          <w:sz w:val="20"/>
          <w:szCs w:val="20"/>
          <w:lang w:val="en-GB" w:eastAsia="zh-CN"/>
        </w:rPr>
      </w:pPr>
      <w:r w:rsidRPr="00640DD1">
        <w:rPr>
          <w:sz w:val="20"/>
          <w:szCs w:val="20"/>
          <w:lang w:val="en-GB" w:eastAsia="zh-CN"/>
        </w:rPr>
        <w:t>App-ID Registry Function (ARF)</w:t>
      </w:r>
    </w:p>
    <w:p w:rsidR="00AD424C" w:rsidRPr="00640DD1" w:rsidRDefault="00AD424C" w:rsidP="00FB7427">
      <w:pPr>
        <w:pStyle w:val="ListParagraph"/>
        <w:numPr>
          <w:ilvl w:val="0"/>
          <w:numId w:val="23"/>
        </w:numPr>
        <w:rPr>
          <w:sz w:val="20"/>
          <w:szCs w:val="20"/>
          <w:lang w:val="en-GB" w:eastAsia="zh-CN"/>
        </w:rPr>
      </w:pPr>
      <w:r w:rsidRPr="00640DD1">
        <w:rPr>
          <w:sz w:val="20"/>
          <w:szCs w:val="20"/>
          <w:lang w:val="en-GB" w:eastAsia="zh-CN"/>
        </w:rPr>
        <w:t xml:space="preserve">ARF Client </w:t>
      </w:r>
    </w:p>
    <w:p w:rsidR="00AD424C" w:rsidRPr="00EA211F" w:rsidRDefault="00B007B6" w:rsidP="00AD424C">
      <w:pPr>
        <w:pStyle w:val="Heading4"/>
        <w:rPr>
          <w:szCs w:val="24"/>
          <w:lang w:eastAsia="zh-CN"/>
        </w:rPr>
      </w:pPr>
      <w:bookmarkStart w:id="140" w:name="_Toc508958787"/>
      <w:r>
        <w:rPr>
          <w:szCs w:val="24"/>
          <w:lang w:val="en-US" w:eastAsia="zh-CN"/>
        </w:rPr>
        <w:t>7</w:t>
      </w:r>
      <w:r w:rsidR="00AD424C" w:rsidRPr="00EA211F">
        <w:rPr>
          <w:rFonts w:hint="eastAsia"/>
          <w:szCs w:val="24"/>
          <w:lang w:eastAsia="zh-CN"/>
        </w:rPr>
        <w:t>.</w:t>
      </w:r>
      <w:r w:rsidR="00AD424C">
        <w:rPr>
          <w:szCs w:val="24"/>
          <w:lang w:val="en-US" w:eastAsia="zh-CN"/>
        </w:rPr>
        <w:t>2.1.</w:t>
      </w:r>
      <w:r w:rsidR="00AD424C" w:rsidRPr="00EA211F">
        <w:rPr>
          <w:rFonts w:hint="eastAsia"/>
          <w:szCs w:val="24"/>
          <w:lang w:eastAsia="zh-CN"/>
        </w:rPr>
        <w:t>2</w:t>
      </w:r>
      <w:r w:rsidR="00AD424C" w:rsidRPr="00EA211F">
        <w:rPr>
          <w:szCs w:val="24"/>
          <w:lang w:eastAsia="zh-CN"/>
        </w:rPr>
        <w:tab/>
        <w:t>Reference Points</w:t>
      </w:r>
      <w:bookmarkEnd w:id="140"/>
    </w:p>
    <w:p w:rsidR="00AD424C" w:rsidRPr="00EA211F" w:rsidRDefault="00AD424C" w:rsidP="00AD424C">
      <w:pPr>
        <w:rPr>
          <w:lang w:eastAsia="zh-CN"/>
        </w:rPr>
      </w:pPr>
      <w:r>
        <w:rPr>
          <w:lang w:eastAsia="zh-CN"/>
        </w:rPr>
        <w:t>T</w:t>
      </w:r>
      <w:r w:rsidRPr="00EA211F">
        <w:rPr>
          <w:rFonts w:hint="eastAsia"/>
          <w:lang w:eastAsia="zh-CN"/>
        </w:rPr>
        <w:t>h</w:t>
      </w:r>
      <w:r>
        <w:rPr>
          <w:lang w:eastAsia="zh-CN"/>
        </w:rPr>
        <w:t>is candidat</w:t>
      </w:r>
      <w:r w:rsidRPr="00EA211F">
        <w:rPr>
          <w:rFonts w:hint="eastAsia"/>
          <w:lang w:eastAsia="zh-CN"/>
        </w:rPr>
        <w:t>e architecture</w:t>
      </w:r>
      <w:r>
        <w:rPr>
          <w:lang w:eastAsia="zh-CN"/>
        </w:rPr>
        <w:t xml:space="preserve"> proposes to define a new reference point between an ARF and an ARF Client (Marf).</w:t>
      </w:r>
    </w:p>
    <w:p w:rsidR="00AD424C" w:rsidRPr="00EA211F" w:rsidRDefault="00AD424C" w:rsidP="00AD424C">
      <w:pPr>
        <w:rPr>
          <w:lang w:val="en-US"/>
        </w:rPr>
      </w:pPr>
    </w:p>
    <w:p w:rsidR="00AD424C" w:rsidRPr="00F41C54" w:rsidRDefault="00AD424C" w:rsidP="00837E60">
      <w:pPr>
        <w:pStyle w:val="Heading3"/>
        <w:rPr>
          <w:lang w:val="en-US"/>
        </w:rPr>
      </w:pPr>
      <w:r>
        <w:br w:type="page"/>
      </w:r>
      <w:bookmarkStart w:id="141" w:name="_Toc508958788"/>
      <w:r w:rsidR="00B007B6" w:rsidRPr="0012753F">
        <w:rPr>
          <w:lang w:val="en-US"/>
        </w:rPr>
        <w:lastRenderedPageBreak/>
        <w:t>7</w:t>
      </w:r>
      <w:r w:rsidRPr="0012753F">
        <w:t>.2.3</w:t>
      </w:r>
      <w:r w:rsidRPr="0012753F">
        <w:tab/>
        <w:t xml:space="preserve">Architecture </w:t>
      </w:r>
      <w:r w:rsidRPr="0012753F">
        <w:rPr>
          <w:lang w:val="en-US"/>
        </w:rPr>
        <w:t>Option #2</w:t>
      </w:r>
      <w:bookmarkEnd w:id="141"/>
    </w:p>
    <w:p w:rsidR="00860CD3" w:rsidRDefault="00860CD3" w:rsidP="0019768F">
      <w:pPr>
        <w:jc w:val="both"/>
        <w:rPr>
          <w:lang w:eastAsia="zh-CN"/>
        </w:rPr>
      </w:pPr>
      <w:r>
        <w:rPr>
          <w:lang w:eastAsia="zh-CN"/>
        </w:rPr>
        <w:t>7.2.3.0</w:t>
      </w:r>
      <w:r>
        <w:rPr>
          <w:lang w:eastAsia="zh-CN"/>
        </w:rPr>
        <w:tab/>
      </w:r>
      <w:r>
        <w:rPr>
          <w:lang w:eastAsia="zh-CN"/>
        </w:rPr>
        <w:tab/>
      </w:r>
      <w:r>
        <w:rPr>
          <w:lang w:eastAsia="zh-CN"/>
        </w:rPr>
        <w:tab/>
        <w:t>Introduction</w:t>
      </w:r>
    </w:p>
    <w:p w:rsidR="00AD424C" w:rsidRDefault="00AD424C" w:rsidP="0019768F">
      <w:pPr>
        <w:jc w:val="both"/>
        <w:rPr>
          <w:lang w:eastAsia="zh-CN"/>
        </w:rPr>
      </w:pPr>
      <w:r>
        <w:rPr>
          <w:lang w:eastAsia="zh-CN"/>
        </w:rPr>
        <w:t>Another</w:t>
      </w:r>
      <w:r>
        <w:rPr>
          <w:rFonts w:hint="eastAsia"/>
          <w:lang w:eastAsia="zh-CN"/>
        </w:rPr>
        <w:t xml:space="preserve"> candidate a</w:t>
      </w:r>
      <w:r w:rsidRPr="00EA211F">
        <w:rPr>
          <w:rFonts w:hint="eastAsia"/>
          <w:lang w:eastAsia="zh-CN"/>
        </w:rPr>
        <w:t xml:space="preserve">rchitecture </w:t>
      </w:r>
      <w:r>
        <w:rPr>
          <w:lang w:eastAsia="zh-CN"/>
        </w:rPr>
        <w:t>is shown below in Figure 6.</w:t>
      </w:r>
      <w:r w:rsidR="00246343">
        <w:rPr>
          <w:lang w:eastAsia="zh-CN"/>
        </w:rPr>
        <w:t>2</w:t>
      </w:r>
      <w:r>
        <w:rPr>
          <w:lang w:eastAsia="zh-CN"/>
        </w:rPr>
        <w:t>.</w:t>
      </w:r>
      <w:r w:rsidR="00246343">
        <w:rPr>
          <w:lang w:eastAsia="zh-CN"/>
        </w:rPr>
        <w:t>3</w:t>
      </w:r>
      <w:r>
        <w:rPr>
          <w:lang w:eastAsia="zh-CN"/>
        </w:rPr>
        <w:t xml:space="preserve">-1.  In this candidate architecture App-ID Registry functionality is integrated into the MEF.  A Registree node can use it’s MEF Client to enrol to a MEF and be provisioned with App-ID(s) for the AE(s) the node hosts. A CSE hosted on a Registrar node can use it’s MEF Client to perform a lookup to the App-ID Registry functionality integrated within the MEF to check whether a Registree AE’s App-ID is valid and in turn whether the Registrar CSE should grant or deny the Registree AE’s registration request.  Using this lookup capability and the information returned by the MEF, the Registrar CSE can initiate the dynamic and remote provisioning of AE service subscription information (i.e. &lt;serviceSubscribedAppRule&gt; resources). </w:t>
      </w:r>
    </w:p>
    <w:p w:rsidR="00AD424C" w:rsidRDefault="00AD424C" w:rsidP="00AD424C">
      <w:pPr>
        <w:jc w:val="center"/>
      </w:pPr>
      <w:r>
        <w:object w:dxaOrig="9361" w:dyaOrig="11401" w14:anchorId="52E16616">
          <v:shape id="_x0000_i1026" type="#_x0000_t75" style="width:357.6pt;height:435.6pt" o:ole="">
            <v:imagedata r:id="rId21" o:title=""/>
          </v:shape>
          <o:OLEObject Type="Embed" ProgID="Visio.Drawing.15" ShapeID="_x0000_i1026" DrawAspect="Content" ObjectID="_1583755207" r:id="rId22"/>
        </w:object>
      </w:r>
    </w:p>
    <w:p w:rsidR="00AD424C" w:rsidRPr="00837E60" w:rsidRDefault="00AD424C" w:rsidP="00837E60">
      <w:pPr>
        <w:jc w:val="center"/>
        <w:rPr>
          <w:b/>
        </w:rPr>
      </w:pPr>
      <w:r w:rsidRPr="00837E60">
        <w:rPr>
          <w:b/>
        </w:rPr>
        <w:t xml:space="preserve">Figure </w:t>
      </w:r>
      <w:r w:rsidR="009F6828">
        <w:rPr>
          <w:b/>
        </w:rPr>
        <w:t>7</w:t>
      </w:r>
      <w:r w:rsidRPr="00837E60">
        <w:rPr>
          <w:b/>
        </w:rPr>
        <w:t>.</w:t>
      </w:r>
      <w:r w:rsidR="00246343" w:rsidRPr="00837E60">
        <w:rPr>
          <w:b/>
        </w:rPr>
        <w:t>2</w:t>
      </w:r>
      <w:r w:rsidRPr="00837E60">
        <w:rPr>
          <w:b/>
        </w:rPr>
        <w:t>.</w:t>
      </w:r>
      <w:r w:rsidR="00246343" w:rsidRPr="00837E60">
        <w:rPr>
          <w:b/>
        </w:rPr>
        <w:t>3</w:t>
      </w:r>
      <w:r w:rsidR="001F62BB">
        <w:rPr>
          <w:b/>
        </w:rPr>
        <w:t>-1</w:t>
      </w:r>
      <w:r w:rsidRPr="00837E60">
        <w:rPr>
          <w:b/>
        </w:rPr>
        <w:t>: App-ID Registry Function Integrated into MEF</w:t>
      </w:r>
    </w:p>
    <w:p w:rsidR="00AD424C" w:rsidRPr="005A3421" w:rsidRDefault="00AD424C" w:rsidP="00837E60">
      <w:pPr>
        <w:jc w:val="both"/>
      </w:pPr>
      <w:r>
        <w:rPr>
          <w:b/>
        </w:rPr>
        <w:t xml:space="preserve">Step </w:t>
      </w:r>
      <w:r w:rsidRPr="005A3421">
        <w:rPr>
          <w:b/>
        </w:rPr>
        <w:t>1:</w:t>
      </w:r>
      <w:r w:rsidRPr="005A3421">
        <w:t xml:space="preserve"> </w:t>
      </w:r>
      <w:r>
        <w:t>Same as Step 1 in clause 6.</w:t>
      </w:r>
      <w:r w:rsidR="00246343">
        <w:t>2</w:t>
      </w:r>
      <w:r>
        <w:t>.</w:t>
      </w:r>
      <w:r w:rsidR="00246343">
        <w:t>2</w:t>
      </w:r>
      <w:r>
        <w:t>.</w:t>
      </w:r>
    </w:p>
    <w:p w:rsidR="00AD424C" w:rsidRDefault="00AD424C" w:rsidP="00837E60">
      <w:pPr>
        <w:keepNext/>
        <w:keepLines/>
        <w:jc w:val="both"/>
        <w:rPr>
          <w:lang w:eastAsia="ko-KR"/>
        </w:rPr>
      </w:pPr>
      <w:r>
        <w:rPr>
          <w:b/>
        </w:rPr>
        <w:t xml:space="preserve">Step </w:t>
      </w:r>
      <w:r w:rsidRPr="005A3421">
        <w:rPr>
          <w:b/>
        </w:rPr>
        <w:t>2:</w:t>
      </w:r>
      <w:r w:rsidRPr="005A3421">
        <w:t xml:space="preserve"> </w:t>
      </w:r>
      <w:r>
        <w:t>Same as Step 2 in clause 6.</w:t>
      </w:r>
      <w:r w:rsidR="00246343">
        <w:t>2</w:t>
      </w:r>
      <w:r>
        <w:t>.</w:t>
      </w:r>
      <w:r w:rsidR="00246343">
        <w:t>2</w:t>
      </w:r>
      <w:r>
        <w:t xml:space="preserve"> except MEF Client is used by Registree node to enrol to ARF functionality integrated within MEF. </w:t>
      </w:r>
    </w:p>
    <w:p w:rsidR="00AD424C" w:rsidRPr="005A3421" w:rsidRDefault="00AD424C" w:rsidP="00837E60">
      <w:pPr>
        <w:jc w:val="both"/>
      </w:pPr>
      <w:r>
        <w:rPr>
          <w:b/>
        </w:rPr>
        <w:t>Step 3</w:t>
      </w:r>
      <w:r w:rsidRPr="005A3421">
        <w:rPr>
          <w:b/>
        </w:rPr>
        <w:t>:</w:t>
      </w:r>
      <w:r w:rsidRPr="005A3421">
        <w:t xml:space="preserve"> </w:t>
      </w:r>
      <w:r>
        <w:t>Same as Step 3</w:t>
      </w:r>
      <w:r w:rsidRPr="002D2E54">
        <w:t xml:space="preserve"> in clause 6.</w:t>
      </w:r>
      <w:r w:rsidR="00246343">
        <w:t>2</w:t>
      </w:r>
      <w:r w:rsidRPr="002D2E54">
        <w:t>.</w:t>
      </w:r>
      <w:r w:rsidR="00246343">
        <w:t>2</w:t>
      </w:r>
      <w:r w:rsidRPr="002D2E54">
        <w:t xml:space="preserve">.  </w:t>
      </w:r>
    </w:p>
    <w:p w:rsidR="00AD424C" w:rsidRPr="00EA211F" w:rsidRDefault="00AD424C" w:rsidP="00837E60">
      <w:pPr>
        <w:keepNext/>
        <w:keepLines/>
        <w:jc w:val="both"/>
      </w:pPr>
      <w:r>
        <w:rPr>
          <w:b/>
        </w:rPr>
        <w:lastRenderedPageBreak/>
        <w:t>Step 4</w:t>
      </w:r>
      <w:r w:rsidRPr="005A3421">
        <w:rPr>
          <w:b/>
        </w:rPr>
        <w:t>:</w:t>
      </w:r>
      <w:r w:rsidRPr="005A3421">
        <w:t xml:space="preserve"> </w:t>
      </w:r>
      <w:r>
        <w:t>Same as Step 4</w:t>
      </w:r>
      <w:r w:rsidRPr="002D2E54">
        <w:t xml:space="preserve"> in clause 6.</w:t>
      </w:r>
      <w:r w:rsidR="00246343">
        <w:t>2</w:t>
      </w:r>
      <w:r w:rsidRPr="002D2E54">
        <w:t>.</w:t>
      </w:r>
      <w:r w:rsidR="00246343">
        <w:t>2</w:t>
      </w:r>
      <w:r>
        <w:t xml:space="preserve"> except MEF Client is by Registrar node to perform lookup to ARF functionality integrated within MEF.</w:t>
      </w:r>
    </w:p>
    <w:p w:rsidR="00AD424C" w:rsidRPr="00EA211F" w:rsidRDefault="009F6828" w:rsidP="00AD424C">
      <w:pPr>
        <w:pStyle w:val="Heading4"/>
        <w:rPr>
          <w:szCs w:val="24"/>
          <w:lang w:eastAsia="zh-CN"/>
        </w:rPr>
      </w:pPr>
      <w:bookmarkStart w:id="142" w:name="_Toc508958789"/>
      <w:r>
        <w:rPr>
          <w:szCs w:val="24"/>
          <w:lang w:val="en-US" w:eastAsia="zh-CN"/>
        </w:rPr>
        <w:t>7</w:t>
      </w:r>
      <w:r w:rsidR="00AD424C" w:rsidRPr="00EA211F">
        <w:rPr>
          <w:rFonts w:hint="eastAsia"/>
          <w:szCs w:val="24"/>
          <w:lang w:eastAsia="zh-CN"/>
        </w:rPr>
        <w:t>.</w:t>
      </w:r>
      <w:r w:rsidR="00AD424C">
        <w:rPr>
          <w:szCs w:val="24"/>
          <w:lang w:val="en-US" w:eastAsia="zh-CN"/>
        </w:rPr>
        <w:t>2</w:t>
      </w:r>
      <w:r w:rsidR="00AD424C" w:rsidRPr="00EA211F">
        <w:rPr>
          <w:szCs w:val="24"/>
        </w:rPr>
        <w:t>.</w:t>
      </w:r>
      <w:r w:rsidR="00AD424C">
        <w:rPr>
          <w:rFonts w:hint="eastAsia"/>
          <w:szCs w:val="24"/>
          <w:lang w:eastAsia="zh-CN"/>
        </w:rPr>
        <w:t>3</w:t>
      </w:r>
      <w:r w:rsidR="00AD424C" w:rsidRPr="00EA211F">
        <w:rPr>
          <w:szCs w:val="24"/>
        </w:rPr>
        <w:t>.1</w:t>
      </w:r>
      <w:r w:rsidR="00AD424C" w:rsidRPr="00EA211F">
        <w:rPr>
          <w:szCs w:val="24"/>
        </w:rPr>
        <w:tab/>
      </w:r>
      <w:r w:rsidR="00AD424C" w:rsidRPr="00EA211F">
        <w:rPr>
          <w:rFonts w:hint="eastAsia"/>
          <w:szCs w:val="24"/>
          <w:lang w:eastAsia="zh-CN"/>
        </w:rPr>
        <w:t>Nodes</w:t>
      </w:r>
      <w:bookmarkEnd w:id="142"/>
    </w:p>
    <w:p w:rsidR="00AD424C" w:rsidRDefault="00AD424C" w:rsidP="00837E60">
      <w:pPr>
        <w:jc w:val="both"/>
        <w:rPr>
          <w:lang w:eastAsia="zh-CN"/>
        </w:rPr>
      </w:pPr>
      <w:r>
        <w:rPr>
          <w:lang w:eastAsia="zh-CN"/>
        </w:rPr>
        <w:t>T</w:t>
      </w:r>
      <w:r w:rsidRPr="00EA211F">
        <w:rPr>
          <w:rFonts w:hint="eastAsia"/>
          <w:lang w:eastAsia="zh-CN"/>
        </w:rPr>
        <w:t>h</w:t>
      </w:r>
      <w:r>
        <w:rPr>
          <w:lang w:eastAsia="zh-CN"/>
        </w:rPr>
        <w:t>is candidat</w:t>
      </w:r>
      <w:r w:rsidRPr="00EA211F">
        <w:rPr>
          <w:rFonts w:hint="eastAsia"/>
          <w:lang w:eastAsia="zh-CN"/>
        </w:rPr>
        <w:t>e architecture</w:t>
      </w:r>
      <w:r>
        <w:rPr>
          <w:lang w:eastAsia="zh-CN"/>
        </w:rPr>
        <w:t xml:space="preserve"> does not propose any new nodes nor any new functions to the oneM2M architecture.  The App-ID Registry functionality is instead integrated into the existing MEF.</w:t>
      </w:r>
    </w:p>
    <w:p w:rsidR="00AD424C" w:rsidRPr="00F96DC1" w:rsidRDefault="00AD424C" w:rsidP="00AD424C">
      <w:pPr>
        <w:rPr>
          <w:lang w:eastAsia="zh-CN"/>
        </w:rPr>
      </w:pPr>
    </w:p>
    <w:p w:rsidR="00AD424C" w:rsidRPr="00EA211F" w:rsidRDefault="00B007B6" w:rsidP="00AD424C">
      <w:pPr>
        <w:pStyle w:val="Heading4"/>
        <w:rPr>
          <w:szCs w:val="24"/>
          <w:lang w:eastAsia="zh-CN"/>
        </w:rPr>
      </w:pPr>
      <w:bookmarkStart w:id="143" w:name="_Toc492019261"/>
      <w:bookmarkStart w:id="144" w:name="_Toc508958790"/>
      <w:r>
        <w:rPr>
          <w:szCs w:val="24"/>
          <w:lang w:val="en-US" w:eastAsia="zh-CN"/>
        </w:rPr>
        <w:t>7</w:t>
      </w:r>
      <w:r w:rsidR="00AD424C" w:rsidRPr="00EA211F">
        <w:rPr>
          <w:rFonts w:hint="eastAsia"/>
          <w:szCs w:val="24"/>
          <w:lang w:eastAsia="zh-CN"/>
        </w:rPr>
        <w:t>.</w:t>
      </w:r>
      <w:r w:rsidR="00AD424C">
        <w:rPr>
          <w:szCs w:val="24"/>
          <w:lang w:val="en-US" w:eastAsia="zh-CN"/>
        </w:rPr>
        <w:t>2</w:t>
      </w:r>
      <w:r w:rsidR="00AD424C" w:rsidRPr="00EA211F">
        <w:rPr>
          <w:szCs w:val="24"/>
          <w:lang w:eastAsia="zh-CN"/>
        </w:rPr>
        <w:t>.</w:t>
      </w:r>
      <w:r w:rsidR="00AD424C">
        <w:rPr>
          <w:rFonts w:hint="eastAsia"/>
          <w:szCs w:val="24"/>
          <w:lang w:eastAsia="zh-CN"/>
        </w:rPr>
        <w:t>3</w:t>
      </w:r>
      <w:r w:rsidR="00AD424C" w:rsidRPr="00EA211F">
        <w:rPr>
          <w:szCs w:val="24"/>
          <w:lang w:eastAsia="zh-CN"/>
        </w:rPr>
        <w:t>.</w:t>
      </w:r>
      <w:r w:rsidR="00AD424C" w:rsidRPr="00EA211F">
        <w:rPr>
          <w:rFonts w:hint="eastAsia"/>
          <w:szCs w:val="24"/>
          <w:lang w:eastAsia="zh-CN"/>
        </w:rPr>
        <w:t>2</w:t>
      </w:r>
      <w:r w:rsidR="00AD424C" w:rsidRPr="00EA211F">
        <w:rPr>
          <w:szCs w:val="24"/>
          <w:lang w:eastAsia="zh-CN"/>
        </w:rPr>
        <w:tab/>
        <w:t>Reference Points</w:t>
      </w:r>
      <w:bookmarkEnd w:id="143"/>
      <w:bookmarkEnd w:id="144"/>
    </w:p>
    <w:p w:rsidR="00AD424C" w:rsidRPr="00EA211F" w:rsidRDefault="00AD424C" w:rsidP="00AD424C">
      <w:pPr>
        <w:rPr>
          <w:lang w:eastAsia="zh-CN"/>
        </w:rPr>
      </w:pPr>
      <w:r>
        <w:rPr>
          <w:lang w:eastAsia="zh-CN"/>
        </w:rPr>
        <w:t>T</w:t>
      </w:r>
      <w:r w:rsidRPr="00EA211F">
        <w:rPr>
          <w:rFonts w:hint="eastAsia"/>
          <w:lang w:eastAsia="zh-CN"/>
        </w:rPr>
        <w:t>h</w:t>
      </w:r>
      <w:r>
        <w:rPr>
          <w:lang w:eastAsia="zh-CN"/>
        </w:rPr>
        <w:t>is candidat</w:t>
      </w:r>
      <w:r w:rsidRPr="00EA211F">
        <w:rPr>
          <w:rFonts w:hint="eastAsia"/>
          <w:lang w:eastAsia="zh-CN"/>
        </w:rPr>
        <w:t>e architecture</w:t>
      </w:r>
      <w:r>
        <w:rPr>
          <w:lang w:eastAsia="zh-CN"/>
        </w:rPr>
        <w:t xml:space="preserve"> does not propose any new reference points.  Instead App-ID Registry functionality is added to the existing Mmef reference point.</w:t>
      </w:r>
    </w:p>
    <w:p w:rsidR="00ED65C5" w:rsidRPr="0019768F" w:rsidRDefault="00B007B6" w:rsidP="0019768F">
      <w:pPr>
        <w:keepNext/>
        <w:keepLines/>
        <w:spacing w:before="180"/>
        <w:ind w:left="1134" w:hanging="1134"/>
        <w:outlineLvl w:val="1"/>
        <w:rPr>
          <w:rFonts w:ascii="Arial" w:hAnsi="Arial"/>
          <w:sz w:val="32"/>
        </w:rPr>
      </w:pPr>
      <w:r>
        <w:rPr>
          <w:rFonts w:ascii="Arial" w:eastAsia="Malgun Gothic" w:hAnsi="Arial"/>
          <w:sz w:val="32"/>
          <w:lang w:val="en-US"/>
        </w:rPr>
        <w:t>7</w:t>
      </w:r>
      <w:r w:rsidR="00ED65C5">
        <w:rPr>
          <w:rFonts w:ascii="Arial" w:eastAsia="Malgun Gothic" w:hAnsi="Arial"/>
          <w:sz w:val="32"/>
          <w:lang w:val="x-none"/>
        </w:rPr>
        <w:t>.</w:t>
      </w:r>
      <w:r w:rsidR="00ED65C5">
        <w:rPr>
          <w:rFonts w:ascii="Arial" w:eastAsia="Malgun Gothic" w:hAnsi="Arial"/>
          <w:sz w:val="32"/>
          <w:lang w:val="en-US"/>
        </w:rPr>
        <w:t>3</w:t>
      </w:r>
      <w:r w:rsidR="00ED65C5" w:rsidRPr="00E6086B">
        <w:rPr>
          <w:rFonts w:ascii="Arial" w:eastAsia="Malgun Gothic" w:hAnsi="Arial"/>
          <w:sz w:val="32"/>
          <w:lang w:val="x-none"/>
        </w:rPr>
        <w:tab/>
      </w:r>
      <w:r w:rsidR="00ED65C5" w:rsidRPr="00E6086B">
        <w:rPr>
          <w:rFonts w:ascii="Arial" w:eastAsia="Malgun Gothic" w:hAnsi="Arial"/>
          <w:sz w:val="32"/>
          <w:lang w:val="x-none"/>
        </w:rPr>
        <w:tab/>
      </w:r>
      <w:r w:rsidR="00ED65C5" w:rsidRPr="0019768F">
        <w:rPr>
          <w:rFonts w:ascii="Arial" w:hAnsi="Arial"/>
          <w:sz w:val="32"/>
          <w:lang w:val="x-none"/>
        </w:rPr>
        <w:t>Architecture</w:t>
      </w:r>
      <w:r w:rsidR="00ED65C5" w:rsidRPr="00E6086B">
        <w:rPr>
          <w:rFonts w:ascii="Arial" w:eastAsia="Malgun Gothic" w:hAnsi="Arial"/>
          <w:sz w:val="32"/>
          <w:lang w:val="x-none"/>
        </w:rPr>
        <w:t xml:space="preserve"> </w:t>
      </w:r>
      <w:r w:rsidR="00ED65C5" w:rsidRPr="00E6086B">
        <w:rPr>
          <w:rFonts w:ascii="Arial" w:eastAsia="Malgun Gothic" w:hAnsi="Arial" w:hint="eastAsia"/>
          <w:sz w:val="32"/>
          <w:lang w:val="x-none" w:eastAsia="zh-CN"/>
        </w:rPr>
        <w:t xml:space="preserve">Proposal </w:t>
      </w:r>
      <w:r w:rsidR="00ED65C5" w:rsidRPr="00C9605F">
        <w:rPr>
          <w:rFonts w:ascii="Arial" w:eastAsia="Malgun Gothic" w:hAnsi="Arial"/>
          <w:sz w:val="32"/>
          <w:lang w:eastAsia="zh-CN"/>
        </w:rPr>
        <w:t xml:space="preserve">For Management of Application </w:t>
      </w:r>
      <w:r w:rsidR="00ED65C5">
        <w:rPr>
          <w:rFonts w:ascii="Arial" w:eastAsia="Malgun Gothic" w:hAnsi="Arial"/>
          <w:sz w:val="32"/>
          <w:lang w:eastAsia="zh-CN"/>
        </w:rPr>
        <w:t>Profiles</w:t>
      </w:r>
    </w:p>
    <w:p w:rsidR="00ED65C5" w:rsidRPr="00E6086B" w:rsidRDefault="00B007B6" w:rsidP="00ED65C5">
      <w:pPr>
        <w:keepNext/>
        <w:keepLines/>
        <w:spacing w:before="120"/>
        <w:ind w:left="1134" w:hanging="1134"/>
        <w:outlineLvl w:val="2"/>
        <w:rPr>
          <w:rFonts w:ascii="Arial" w:eastAsia="Malgun Gothic" w:hAnsi="Arial"/>
          <w:sz w:val="28"/>
          <w:lang w:val="x-none" w:eastAsia="zh-CN"/>
        </w:rPr>
      </w:pPr>
      <w:bookmarkStart w:id="145" w:name="_Toc492019264"/>
      <w:r>
        <w:rPr>
          <w:rFonts w:ascii="Arial" w:eastAsia="Malgun Gothic" w:hAnsi="Arial"/>
          <w:sz w:val="28"/>
          <w:lang w:val="en-US" w:eastAsia="zh-CN"/>
        </w:rPr>
        <w:t>7</w:t>
      </w:r>
      <w:r w:rsidR="00ED65C5" w:rsidRPr="00E6086B">
        <w:rPr>
          <w:rFonts w:ascii="Arial" w:eastAsia="Malgun Gothic" w:hAnsi="Arial"/>
          <w:sz w:val="28"/>
          <w:lang w:val="x-none" w:eastAsia="zh-CN"/>
        </w:rPr>
        <w:t>.</w:t>
      </w:r>
      <w:r w:rsidR="00ED65C5">
        <w:rPr>
          <w:rFonts w:ascii="Arial" w:eastAsia="Malgun Gothic" w:hAnsi="Arial"/>
          <w:sz w:val="28"/>
          <w:lang w:val="en-US" w:eastAsia="zh-CN"/>
        </w:rPr>
        <w:t>3</w:t>
      </w:r>
      <w:r w:rsidR="00ED65C5" w:rsidRPr="00E6086B">
        <w:rPr>
          <w:rFonts w:ascii="Arial" w:eastAsia="Malgun Gothic" w:hAnsi="Arial" w:hint="eastAsia"/>
          <w:sz w:val="28"/>
          <w:lang w:val="x-none" w:eastAsia="zh-CN"/>
        </w:rPr>
        <w:t>.1</w:t>
      </w:r>
      <w:r w:rsidR="00ED65C5" w:rsidRPr="00E6086B">
        <w:rPr>
          <w:rFonts w:ascii="Arial" w:eastAsia="Malgun Gothic" w:hAnsi="Arial" w:hint="eastAsia"/>
          <w:sz w:val="28"/>
          <w:lang w:val="x-none" w:eastAsia="zh-CN"/>
        </w:rPr>
        <w:tab/>
      </w:r>
      <w:r w:rsidR="00ED65C5" w:rsidRPr="00E6086B">
        <w:rPr>
          <w:rFonts w:ascii="Arial" w:eastAsia="Malgun Gothic" w:hAnsi="Arial"/>
          <w:sz w:val="28"/>
          <w:lang w:eastAsia="zh-CN"/>
        </w:rPr>
        <w:t xml:space="preserve">Functionality </w:t>
      </w:r>
      <w:r w:rsidR="00ED65C5" w:rsidRPr="00E6086B">
        <w:rPr>
          <w:rFonts w:ascii="Arial" w:eastAsia="Malgun Gothic" w:hAnsi="Arial"/>
          <w:sz w:val="28"/>
          <w:lang w:val="x-none"/>
        </w:rPr>
        <w:t>Requirements</w:t>
      </w:r>
    </w:p>
    <w:p w:rsidR="00ED65C5" w:rsidRDefault="00ED65C5" w:rsidP="00837E60">
      <w:pPr>
        <w:jc w:val="both"/>
        <w:rPr>
          <w:rFonts w:eastAsia="Malgun Gothic"/>
          <w:lang w:eastAsia="zh-CN"/>
        </w:rPr>
      </w:pPr>
      <w:r w:rsidRPr="00E6086B">
        <w:rPr>
          <w:rFonts w:eastAsia="Malgun Gothic"/>
          <w:lang w:val="en-US"/>
        </w:rPr>
        <w:t xml:space="preserve">The following is a list of basic requirements </w:t>
      </w:r>
      <w:r w:rsidRPr="00E6086B">
        <w:rPr>
          <w:rFonts w:eastAsia="Malgun Gothic" w:hint="eastAsia"/>
          <w:lang w:val="en-US" w:eastAsia="zh-CN"/>
        </w:rPr>
        <w:t xml:space="preserve">to be considered </w:t>
      </w:r>
      <w:r w:rsidRPr="00E6086B">
        <w:rPr>
          <w:rFonts w:eastAsia="Malgun Gothic"/>
          <w:lang w:val="en-US" w:eastAsia="zh-CN"/>
        </w:rPr>
        <w:t xml:space="preserve">when specifying </w:t>
      </w:r>
      <w:r w:rsidRPr="00C9605F">
        <w:rPr>
          <w:rFonts w:eastAsia="Malgun Gothic"/>
          <w:lang w:val="en-US" w:eastAsia="zh-CN"/>
        </w:rPr>
        <w:t xml:space="preserve">management </w:t>
      </w:r>
      <w:r w:rsidRPr="00C9605F">
        <w:rPr>
          <w:rFonts w:eastAsia="Malgun Gothic"/>
          <w:lang w:eastAsia="zh-CN"/>
        </w:rPr>
        <w:t xml:space="preserve">of Application </w:t>
      </w:r>
      <w:r>
        <w:rPr>
          <w:rFonts w:eastAsia="Malgun Gothic"/>
          <w:lang w:eastAsia="zh-CN"/>
        </w:rPr>
        <w:t>P</w:t>
      </w:r>
      <w:r w:rsidRPr="00C9605F">
        <w:rPr>
          <w:rFonts w:eastAsia="Malgun Gothic"/>
          <w:lang w:eastAsia="zh-CN"/>
        </w:rPr>
        <w:t>rofiles</w:t>
      </w:r>
      <w:r>
        <w:rPr>
          <w:rFonts w:eastAsia="Malgun Gothic"/>
          <w:lang w:eastAsia="zh-CN"/>
        </w:rPr>
        <w:t>,</w:t>
      </w:r>
      <w:r w:rsidRPr="00E6086B">
        <w:rPr>
          <w:rFonts w:eastAsia="Malgun Gothic"/>
          <w:lang w:eastAsia="zh-CN"/>
        </w:rPr>
        <w:t xml:space="preserve"> </w:t>
      </w:r>
      <w:r>
        <w:rPr>
          <w:rFonts w:eastAsia="Malgun Gothic"/>
          <w:lang w:val="en-US"/>
        </w:rPr>
        <w:t xml:space="preserve">and a list of </w:t>
      </w:r>
      <w:r w:rsidRPr="00E6086B">
        <w:rPr>
          <w:rFonts w:eastAsia="Malgun Gothic"/>
          <w:lang w:val="en-US"/>
        </w:rPr>
        <w:t>design assumptions</w:t>
      </w:r>
      <w:r>
        <w:rPr>
          <w:rFonts w:eastAsia="Malgun Gothic"/>
          <w:lang w:val="en-US"/>
        </w:rPr>
        <w:t xml:space="preserve"> used for the proposed architecture solution. </w:t>
      </w:r>
    </w:p>
    <w:p w:rsidR="00ED65C5" w:rsidRPr="00E6086B" w:rsidRDefault="00ED65C5" w:rsidP="00837E60">
      <w:pPr>
        <w:jc w:val="both"/>
        <w:rPr>
          <w:rFonts w:eastAsia="Malgun Gothic"/>
          <w:lang w:eastAsia="zh-CN"/>
        </w:rPr>
      </w:pPr>
      <w:r>
        <w:rPr>
          <w:rFonts w:eastAsia="Malgun Gothic"/>
          <w:lang w:eastAsia="zh-CN"/>
        </w:rPr>
        <w:t xml:space="preserve">An </w:t>
      </w:r>
      <w:r w:rsidRPr="00C9605F">
        <w:rPr>
          <w:rFonts w:eastAsia="Malgun Gothic"/>
          <w:lang w:eastAsia="zh-CN"/>
        </w:rPr>
        <w:t xml:space="preserve">Application Profile </w:t>
      </w:r>
      <w:r>
        <w:rPr>
          <w:rFonts w:eastAsia="Malgun Gothic"/>
          <w:lang w:eastAsia="zh-CN"/>
        </w:rPr>
        <w:t xml:space="preserve">refers to a set of information which characterizes an application in a compact and meaningful way for any stakeholder of an M2M system. </w:t>
      </w:r>
    </w:p>
    <w:p w:rsidR="00ED65C5" w:rsidRPr="00E6086B" w:rsidRDefault="00ED65C5" w:rsidP="00837E60">
      <w:pPr>
        <w:spacing w:after="80"/>
        <w:jc w:val="both"/>
        <w:rPr>
          <w:rFonts w:eastAsia="Malgun Gothic"/>
          <w:lang w:eastAsia="zh-CN"/>
        </w:rPr>
      </w:pPr>
      <w:r w:rsidRPr="00E6086B">
        <w:rPr>
          <w:rFonts w:eastAsia="Malgun Gothic"/>
          <w:lang w:eastAsia="zh-CN"/>
        </w:rPr>
        <w:t>Requirements:</w:t>
      </w:r>
    </w:p>
    <w:p w:rsidR="00ED65C5" w:rsidRPr="00E6086B" w:rsidRDefault="00ED65C5" w:rsidP="00FB7427">
      <w:pPr>
        <w:numPr>
          <w:ilvl w:val="0"/>
          <w:numId w:val="22"/>
        </w:numPr>
        <w:overflowPunct/>
        <w:autoSpaceDE/>
        <w:autoSpaceDN/>
        <w:adjustRightInd/>
        <w:spacing w:after="0"/>
        <w:contextualSpacing/>
        <w:jc w:val="both"/>
        <w:rPr>
          <w:rFonts w:eastAsia="Malgun Gothic"/>
          <w:lang w:eastAsia="zh-CN"/>
        </w:rPr>
      </w:pPr>
      <w:r w:rsidRPr="00E6086B">
        <w:rPr>
          <w:rFonts w:eastAsia="Malgun Gothic"/>
          <w:lang w:eastAsia="zh-CN"/>
        </w:rPr>
        <w:t>In the M2M infrastructure a function is required which enables manufacturers and application software developers to register identifiers which characterize their products in a way meaningful to M2M network operators, M2M Service Providers, M2M Application Services Providers and M2M service subscribers:</w:t>
      </w:r>
    </w:p>
    <w:p w:rsidR="00ED65C5" w:rsidRPr="00E6086B" w:rsidRDefault="00FB7427" w:rsidP="00FB7427">
      <w:pPr>
        <w:numPr>
          <w:ilvl w:val="1"/>
          <w:numId w:val="22"/>
        </w:numPr>
        <w:overflowPunct/>
        <w:autoSpaceDE/>
        <w:autoSpaceDN/>
        <w:adjustRightInd/>
        <w:spacing w:after="0"/>
        <w:contextualSpacing/>
        <w:jc w:val="both"/>
        <w:rPr>
          <w:rFonts w:eastAsia="Malgun Gothic"/>
          <w:lang w:eastAsia="zh-CN"/>
        </w:rPr>
      </w:pPr>
      <w:r>
        <w:rPr>
          <w:rFonts w:eastAsia="Malgun Gothic"/>
          <w:lang w:eastAsia="zh-CN"/>
        </w:rPr>
        <w:t xml:space="preserve">a </w:t>
      </w:r>
      <w:r w:rsidR="00ED65C5" w:rsidRPr="00E6086B">
        <w:rPr>
          <w:rFonts w:eastAsia="Malgun Gothic"/>
          <w:lang w:eastAsia="zh-CN"/>
        </w:rPr>
        <w:t xml:space="preserve">M2M Network Operator (i.e. operator of the underlying Wide Area Network, e.g. a mobile network) needs to know the characteristics (volume, distribution, message size) of the traffic created by an application </w:t>
      </w:r>
    </w:p>
    <w:p w:rsidR="00ED65C5" w:rsidRPr="00E6086B" w:rsidRDefault="00FB7427" w:rsidP="00FB7427">
      <w:pPr>
        <w:numPr>
          <w:ilvl w:val="1"/>
          <w:numId w:val="22"/>
        </w:numPr>
        <w:overflowPunct/>
        <w:autoSpaceDE/>
        <w:autoSpaceDN/>
        <w:adjustRightInd/>
        <w:spacing w:after="0"/>
        <w:contextualSpacing/>
        <w:jc w:val="both"/>
        <w:rPr>
          <w:rFonts w:eastAsia="Malgun Gothic"/>
          <w:lang w:eastAsia="zh-CN"/>
        </w:rPr>
      </w:pPr>
      <w:r>
        <w:rPr>
          <w:rFonts w:eastAsia="Malgun Gothic"/>
          <w:lang w:eastAsia="zh-CN"/>
        </w:rPr>
        <w:t>a</w:t>
      </w:r>
      <w:r w:rsidRPr="00E6086B">
        <w:rPr>
          <w:rFonts w:eastAsia="Malgun Gothic"/>
          <w:lang w:eastAsia="zh-CN"/>
        </w:rPr>
        <w:t xml:space="preserve"> </w:t>
      </w:r>
      <w:r w:rsidR="00ED65C5" w:rsidRPr="00E6086B">
        <w:rPr>
          <w:rFonts w:eastAsia="Malgun Gothic"/>
          <w:lang w:eastAsia="zh-CN"/>
        </w:rPr>
        <w:t xml:space="preserve">M2M Service Provider (i.e. operator of the IN-CSE and associated infrastructure) needs to know the resource types created by an application, the expected amount of data volume created, the frequency and distribution of transactions triggered. The IN-CSE </w:t>
      </w:r>
      <w:r w:rsidR="009F6828">
        <w:rPr>
          <w:rFonts w:eastAsia="Malgun Gothic"/>
          <w:lang w:eastAsia="zh-CN"/>
        </w:rPr>
        <w:t>shall</w:t>
      </w:r>
      <w:r w:rsidR="00ED65C5" w:rsidRPr="00E6086B">
        <w:rPr>
          <w:rFonts w:eastAsia="Malgun Gothic"/>
          <w:lang w:eastAsia="zh-CN"/>
        </w:rPr>
        <w:t xml:space="preserve"> be enabled to authenticate any identifiers, including security credential identifiers, App-IDs, to authenticate and assign AE-IDs, and to associate identifiers with each other such as device, node, entity and application identifiers. It also </w:t>
      </w:r>
      <w:r w:rsidR="009F6828">
        <w:rPr>
          <w:rFonts w:eastAsia="Malgun Gothic"/>
          <w:lang w:eastAsia="zh-CN"/>
        </w:rPr>
        <w:t>shall</w:t>
      </w:r>
      <w:r w:rsidR="00ED65C5" w:rsidRPr="00E6086B">
        <w:rPr>
          <w:rFonts w:eastAsia="Malgun Gothic"/>
          <w:lang w:eastAsia="zh-CN"/>
        </w:rPr>
        <w:t xml:space="preserve"> check if operations </w:t>
      </w:r>
      <w:r w:rsidR="00ED65C5">
        <w:rPr>
          <w:rFonts w:eastAsia="Malgun Gothic"/>
          <w:lang w:eastAsia="zh-CN"/>
        </w:rPr>
        <w:t>requested</w:t>
      </w:r>
      <w:r w:rsidR="00ED65C5" w:rsidRPr="00E6086B">
        <w:rPr>
          <w:rFonts w:eastAsia="Malgun Gothic"/>
          <w:lang w:eastAsia="zh-CN"/>
        </w:rPr>
        <w:t xml:space="preserve"> by an AE are permitted in terms of the application user’s service subscription. </w:t>
      </w:r>
    </w:p>
    <w:p w:rsidR="00ED65C5" w:rsidRPr="00E6086B" w:rsidRDefault="00ED65C5" w:rsidP="00FB7427">
      <w:pPr>
        <w:numPr>
          <w:ilvl w:val="1"/>
          <w:numId w:val="22"/>
        </w:numPr>
        <w:overflowPunct/>
        <w:autoSpaceDE/>
        <w:autoSpaceDN/>
        <w:adjustRightInd/>
        <w:spacing w:after="0"/>
        <w:contextualSpacing/>
        <w:jc w:val="both"/>
        <w:rPr>
          <w:rFonts w:eastAsia="Malgun Gothic"/>
          <w:lang w:eastAsia="zh-CN"/>
        </w:rPr>
      </w:pPr>
      <w:r w:rsidRPr="00E6086B">
        <w:rPr>
          <w:rFonts w:eastAsia="Malgun Gothic"/>
          <w:lang w:eastAsia="zh-CN"/>
        </w:rPr>
        <w:t>M2M Application Services Providers (i.e. the provider of value added services beyond plain Service Layer functions, typically the stakeholder who maintains a service agreement with both the M2M service subscribers and the M2M Service Provider). Examples include e.g. service providers of smart home services, Intelligent Transport Services (ITS), or eHealth services.</w:t>
      </w:r>
    </w:p>
    <w:p w:rsidR="00ED65C5" w:rsidRDefault="00ED65C5" w:rsidP="00FB7427">
      <w:pPr>
        <w:numPr>
          <w:ilvl w:val="1"/>
          <w:numId w:val="22"/>
        </w:numPr>
        <w:overflowPunct/>
        <w:autoSpaceDE/>
        <w:autoSpaceDN/>
        <w:adjustRightInd/>
        <w:spacing w:after="0"/>
        <w:contextualSpacing/>
        <w:jc w:val="both"/>
        <w:rPr>
          <w:rFonts w:eastAsia="Malgun Gothic"/>
          <w:lang w:eastAsia="zh-CN"/>
        </w:rPr>
      </w:pPr>
      <w:r w:rsidRPr="00E6086B">
        <w:rPr>
          <w:rFonts w:eastAsia="Malgun Gothic"/>
          <w:lang w:eastAsia="zh-CN"/>
        </w:rPr>
        <w:t>M2M service subscriber</w:t>
      </w:r>
      <w:r>
        <w:rPr>
          <w:rFonts w:eastAsia="Malgun Gothic"/>
          <w:lang w:eastAsia="zh-CN"/>
        </w:rPr>
        <w:t>s</w:t>
      </w:r>
      <w:r w:rsidRPr="00E6086B">
        <w:rPr>
          <w:rFonts w:eastAsia="Malgun Gothic"/>
          <w:lang w:eastAsia="zh-CN"/>
        </w:rPr>
        <w:t xml:space="preserve"> (i.e. individual end user</w:t>
      </w:r>
      <w:r>
        <w:rPr>
          <w:rFonts w:eastAsia="Malgun Gothic"/>
          <w:lang w:eastAsia="zh-CN"/>
        </w:rPr>
        <w:t>s</w:t>
      </w:r>
      <w:r w:rsidRPr="00E6086B">
        <w:rPr>
          <w:rFonts w:eastAsia="Malgun Gothic"/>
          <w:lang w:eastAsia="zh-CN"/>
        </w:rPr>
        <w:t xml:space="preserve"> who own M2M field devices or an organization which operates the M2M field system on behalf of the actual owner) may need to be enabled to discover other applications in order to interoperate and create added value</w:t>
      </w:r>
    </w:p>
    <w:p w:rsidR="00ED65C5" w:rsidRPr="00E6086B" w:rsidRDefault="00ED65C5" w:rsidP="00FB7427">
      <w:pPr>
        <w:numPr>
          <w:ilvl w:val="0"/>
          <w:numId w:val="22"/>
        </w:numPr>
        <w:overflowPunct/>
        <w:autoSpaceDE/>
        <w:autoSpaceDN/>
        <w:adjustRightInd/>
        <w:spacing w:after="0"/>
        <w:contextualSpacing/>
        <w:jc w:val="both"/>
        <w:rPr>
          <w:rFonts w:eastAsia="Malgun Gothic"/>
          <w:lang w:eastAsia="zh-CN"/>
        </w:rPr>
      </w:pPr>
      <w:r>
        <w:rPr>
          <w:rFonts w:eastAsia="Malgun Gothic"/>
          <w:lang w:eastAsia="zh-CN"/>
        </w:rPr>
        <w:t xml:space="preserve">An M2M system cannot rely on just a single central App-ID Registry Function. The architecture </w:t>
      </w:r>
      <w:r w:rsidR="009F6828">
        <w:rPr>
          <w:rFonts w:eastAsia="Malgun Gothic"/>
          <w:lang w:eastAsia="zh-CN"/>
        </w:rPr>
        <w:t>shall</w:t>
      </w:r>
      <w:r>
        <w:rPr>
          <w:rFonts w:eastAsia="Malgun Gothic"/>
          <w:lang w:eastAsia="zh-CN"/>
        </w:rPr>
        <w:t xml:space="preserve"> allow </w:t>
      </w:r>
      <w:r w:rsidR="009F6828">
        <w:rPr>
          <w:rFonts w:eastAsia="Malgun Gothic"/>
          <w:lang w:eastAsia="zh-CN"/>
        </w:rPr>
        <w:t xml:space="preserve">for </w:t>
      </w:r>
      <w:r>
        <w:rPr>
          <w:rFonts w:eastAsia="Malgun Gothic"/>
          <w:lang w:eastAsia="zh-CN"/>
        </w:rPr>
        <w:t xml:space="preserve">multiple App-ID registries </w:t>
      </w:r>
      <w:r w:rsidR="009F6828">
        <w:rPr>
          <w:rFonts w:eastAsia="Malgun Gothic"/>
          <w:lang w:eastAsia="zh-CN"/>
        </w:rPr>
        <w:t>to</w:t>
      </w:r>
      <w:r>
        <w:rPr>
          <w:rFonts w:eastAsia="Malgun Gothic"/>
          <w:lang w:eastAsia="zh-CN"/>
        </w:rPr>
        <w:t xml:space="preserve"> coexist in the system preferably without need for communication between them</w:t>
      </w:r>
      <w:r w:rsidR="00C86764">
        <w:rPr>
          <w:rFonts w:eastAsia="Malgun Gothic"/>
          <w:lang w:eastAsia="zh-CN"/>
        </w:rPr>
        <w:t xml:space="preserve">. </w:t>
      </w:r>
      <w:r>
        <w:rPr>
          <w:rFonts w:eastAsia="Malgun Gothic"/>
          <w:lang w:eastAsia="zh-CN"/>
        </w:rPr>
        <w:t xml:space="preserve"> </w:t>
      </w:r>
    </w:p>
    <w:p w:rsidR="00ED65C5" w:rsidRPr="00E6086B" w:rsidRDefault="00ED65C5" w:rsidP="00ED65C5">
      <w:pPr>
        <w:spacing w:before="180" w:after="80"/>
        <w:rPr>
          <w:rFonts w:eastAsia="Malgun Gothic"/>
          <w:lang w:val="en-US"/>
        </w:rPr>
      </w:pPr>
      <w:r w:rsidRPr="00E6086B">
        <w:rPr>
          <w:rFonts w:eastAsia="Malgun Gothic"/>
          <w:lang w:eastAsia="zh-CN"/>
        </w:rPr>
        <w:t>Design assumptions:</w:t>
      </w:r>
    </w:p>
    <w:p w:rsidR="00ED65C5" w:rsidRPr="00E6086B" w:rsidRDefault="00ED65C5" w:rsidP="00FB7427">
      <w:pPr>
        <w:numPr>
          <w:ilvl w:val="0"/>
          <w:numId w:val="22"/>
        </w:numPr>
        <w:overflowPunct/>
        <w:autoSpaceDE/>
        <w:autoSpaceDN/>
        <w:adjustRightInd/>
        <w:spacing w:after="0"/>
        <w:contextualSpacing/>
        <w:jc w:val="both"/>
        <w:rPr>
          <w:rFonts w:eastAsia="Malgun Gothic"/>
          <w:lang w:eastAsia="zh-CN"/>
        </w:rPr>
      </w:pPr>
      <w:r w:rsidRPr="00E6086B">
        <w:rPr>
          <w:rFonts w:eastAsia="Malgun Gothic"/>
          <w:lang w:eastAsia="zh-CN"/>
        </w:rPr>
        <w:t xml:space="preserve">The </w:t>
      </w:r>
      <w:r>
        <w:rPr>
          <w:rFonts w:eastAsia="Malgun Gothic"/>
          <w:lang w:eastAsia="zh-CN"/>
        </w:rPr>
        <w:t>App-ID Registry Function</w:t>
      </w:r>
      <w:r w:rsidRPr="00E6086B">
        <w:rPr>
          <w:rFonts w:eastAsia="Malgun Gothic"/>
          <w:lang w:eastAsia="zh-CN"/>
        </w:rPr>
        <w:t xml:space="preserve"> </w:t>
      </w:r>
      <w:r>
        <w:rPr>
          <w:rFonts w:eastAsia="Malgun Gothic"/>
          <w:lang w:eastAsia="zh-CN"/>
        </w:rPr>
        <w:t>represents</w:t>
      </w:r>
      <w:r w:rsidRPr="00E6086B">
        <w:rPr>
          <w:rFonts w:eastAsia="Malgun Gothic"/>
          <w:lang w:eastAsia="zh-CN"/>
        </w:rPr>
        <w:t xml:space="preserve"> an </w:t>
      </w:r>
      <w:r>
        <w:rPr>
          <w:rFonts w:eastAsia="Malgun Gothic"/>
          <w:lang w:eastAsia="zh-CN"/>
        </w:rPr>
        <w:t>i</w:t>
      </w:r>
      <w:r w:rsidRPr="00E6086B">
        <w:rPr>
          <w:rFonts w:eastAsia="Malgun Gothic"/>
          <w:lang w:eastAsia="zh-CN"/>
        </w:rPr>
        <w:t xml:space="preserve">nfrastructure function which e.g. like the M2M Enrolment Function (MEF) may be operated by third party (i.e. a special M2M Application Services Provider) which configures information related to applications </w:t>
      </w:r>
      <w:r>
        <w:rPr>
          <w:rFonts w:eastAsia="Malgun Gothic"/>
          <w:lang w:eastAsia="zh-CN"/>
        </w:rPr>
        <w:t xml:space="preserve">(Application Profiles) </w:t>
      </w:r>
      <w:r w:rsidRPr="00E6086B">
        <w:rPr>
          <w:rFonts w:eastAsia="Malgun Gothic"/>
          <w:lang w:eastAsia="zh-CN"/>
        </w:rPr>
        <w:t>on the IN-CSE. This includes resources acc</w:t>
      </w:r>
      <w:r>
        <w:rPr>
          <w:rFonts w:eastAsia="Malgun Gothic"/>
          <w:lang w:eastAsia="zh-CN"/>
        </w:rPr>
        <w:t>essi</w:t>
      </w:r>
      <w:r w:rsidRPr="00E6086B">
        <w:rPr>
          <w:rFonts w:eastAsia="Malgun Gothic"/>
          <w:lang w:eastAsia="zh-CN"/>
        </w:rPr>
        <w:t>ble via Mca and Mcc reference points such as &lt;</w:t>
      </w:r>
      <w:r w:rsidRPr="00097365">
        <w:rPr>
          <w:rFonts w:eastAsia="Malgun Gothic"/>
          <w:i/>
          <w:lang w:eastAsia="zh-CN"/>
        </w:rPr>
        <w:t>m2mServiceSubscriptionProfile</w:t>
      </w:r>
      <w:r w:rsidRPr="00E6086B">
        <w:rPr>
          <w:rFonts w:eastAsia="Malgun Gothic"/>
          <w:lang w:eastAsia="zh-CN"/>
        </w:rPr>
        <w:t>&gt;</w:t>
      </w:r>
      <w:r>
        <w:rPr>
          <w:rFonts w:eastAsia="Malgun Gothic"/>
          <w:lang w:eastAsia="zh-CN"/>
        </w:rPr>
        <w:t>, &lt;</w:t>
      </w:r>
      <w:r w:rsidRPr="00CB35BE">
        <w:rPr>
          <w:i/>
        </w:rPr>
        <w:t>serviceSubscribedNode</w:t>
      </w:r>
      <w:r>
        <w:t>&gt; &lt;</w:t>
      </w:r>
      <w:r w:rsidRPr="00CB35BE">
        <w:rPr>
          <w:i/>
        </w:rPr>
        <w:t>serviceSubscribedAppRule</w:t>
      </w:r>
      <w:r>
        <w:rPr>
          <w:rFonts w:eastAsia="Malgun Gothic"/>
          <w:lang w:eastAsia="zh-CN"/>
        </w:rPr>
        <w:t>&gt; and possibly in addition data which should not be exposed over</w:t>
      </w:r>
      <w:r w:rsidRPr="00E6086B">
        <w:rPr>
          <w:rFonts w:eastAsia="Malgun Gothic"/>
          <w:lang w:eastAsia="zh-CN"/>
        </w:rPr>
        <w:t xml:space="preserve"> Mca and Mcc</w:t>
      </w:r>
      <w:r>
        <w:rPr>
          <w:rFonts w:eastAsia="Malgun Gothic"/>
          <w:lang w:eastAsia="zh-CN"/>
        </w:rPr>
        <w:t xml:space="preserve">. This implies that an App-ID Registry Function could include the functionality of an IN-AE for communication with the IN-CSE. </w:t>
      </w:r>
    </w:p>
    <w:p w:rsidR="00ED65C5" w:rsidRDefault="00ED65C5" w:rsidP="00FB7427">
      <w:pPr>
        <w:numPr>
          <w:ilvl w:val="0"/>
          <w:numId w:val="22"/>
        </w:numPr>
        <w:overflowPunct/>
        <w:autoSpaceDE/>
        <w:autoSpaceDN/>
        <w:adjustRightInd/>
        <w:spacing w:after="0"/>
        <w:contextualSpacing/>
        <w:jc w:val="both"/>
        <w:rPr>
          <w:rFonts w:eastAsia="Malgun Gothic"/>
          <w:lang w:eastAsia="zh-CN"/>
        </w:rPr>
      </w:pPr>
      <w:r>
        <w:rPr>
          <w:rFonts w:eastAsia="Malgun Gothic"/>
          <w:lang w:eastAsia="zh-CN"/>
        </w:rPr>
        <w:t>The architecture solution considered aims to avoid direct communication between field entities and the App-ID Registry Function, in order to not burden field devices to support another client and interface for communication with the App-ID Registry Function. The solution described here would use the MEF as a proxy for any required communication between field entities and the App-ID Registry Function.</w:t>
      </w:r>
    </w:p>
    <w:p w:rsidR="00ED65C5" w:rsidRPr="00F66421" w:rsidRDefault="00ED65C5" w:rsidP="00FB7427">
      <w:pPr>
        <w:numPr>
          <w:ilvl w:val="0"/>
          <w:numId w:val="22"/>
        </w:numPr>
        <w:overflowPunct/>
        <w:autoSpaceDE/>
        <w:autoSpaceDN/>
        <w:adjustRightInd/>
        <w:spacing w:after="0"/>
        <w:contextualSpacing/>
        <w:jc w:val="both"/>
        <w:rPr>
          <w:rFonts w:eastAsia="Malgun Gothic"/>
          <w:lang w:eastAsia="zh-CN"/>
        </w:rPr>
      </w:pPr>
      <w:r>
        <w:rPr>
          <w:rFonts w:eastAsia="Malgun Gothic"/>
          <w:lang w:eastAsia="zh-CN"/>
        </w:rPr>
        <w:lastRenderedPageBreak/>
        <w:t xml:space="preserve">For assignment and registration of </w:t>
      </w:r>
      <w:r w:rsidRPr="00E6086B">
        <w:rPr>
          <w:rFonts w:eastAsia="Malgun Gothic"/>
          <w:lang w:eastAsia="zh-CN"/>
        </w:rPr>
        <w:t>App-ID</w:t>
      </w:r>
      <w:r>
        <w:rPr>
          <w:rFonts w:eastAsia="Malgun Gothic"/>
          <w:lang w:eastAsia="zh-CN"/>
        </w:rPr>
        <w:t xml:space="preserve">s it is assumed that the procedures as defined today are continued to be used: the manufacturer / application developer proposes App-ID and the App-ID Registry Function validates uniqueness. The registered </w:t>
      </w:r>
      <w:r w:rsidRPr="00F66421">
        <w:rPr>
          <w:rFonts w:eastAsia="Malgun Gothic"/>
          <w:lang w:eastAsia="zh-CN"/>
        </w:rPr>
        <w:t xml:space="preserve">App-IDs </w:t>
      </w:r>
      <w:r>
        <w:rPr>
          <w:rFonts w:eastAsia="Malgun Gothic"/>
          <w:lang w:eastAsia="zh-CN"/>
        </w:rPr>
        <w:t>is provisioned to the</w:t>
      </w:r>
      <w:r w:rsidRPr="00F66421">
        <w:rPr>
          <w:rFonts w:eastAsia="Malgun Gothic"/>
          <w:lang w:eastAsia="zh-CN"/>
        </w:rPr>
        <w:t xml:space="preserve"> field device before it </w:t>
      </w:r>
      <w:r>
        <w:rPr>
          <w:rFonts w:eastAsia="Malgun Gothic"/>
          <w:lang w:eastAsia="zh-CN"/>
        </w:rPr>
        <w:t>becomes operational in the M2M system</w:t>
      </w:r>
      <w:r w:rsidRPr="00F66421">
        <w:rPr>
          <w:rFonts w:eastAsia="Malgun Gothic"/>
          <w:lang w:eastAsia="zh-CN"/>
        </w:rPr>
        <w:t xml:space="preserve">. </w:t>
      </w:r>
    </w:p>
    <w:p w:rsidR="00ED65C5" w:rsidRPr="00E6086B" w:rsidRDefault="00ED65C5" w:rsidP="00ED65C5">
      <w:pPr>
        <w:overflowPunct/>
        <w:autoSpaceDE/>
        <w:autoSpaceDN/>
        <w:adjustRightInd/>
        <w:spacing w:after="0"/>
        <w:ind w:left="720"/>
        <w:contextualSpacing/>
        <w:rPr>
          <w:rFonts w:eastAsia="Malgun Gothic"/>
          <w:lang w:eastAsia="zh-CN"/>
        </w:rPr>
      </w:pPr>
    </w:p>
    <w:p w:rsidR="00ED65C5" w:rsidRPr="00721808" w:rsidRDefault="00B007B6" w:rsidP="00ED65C5">
      <w:pPr>
        <w:pStyle w:val="Heading3"/>
        <w:rPr>
          <w:lang w:val="en-US" w:eastAsia="zh-CN"/>
        </w:rPr>
      </w:pPr>
      <w:bookmarkStart w:id="146" w:name="_Toc508958791"/>
      <w:r w:rsidRPr="0012753F">
        <w:rPr>
          <w:lang w:val="en-US" w:eastAsia="zh-CN"/>
        </w:rPr>
        <w:t>7</w:t>
      </w:r>
      <w:r w:rsidR="00ED65C5" w:rsidRPr="0012753F">
        <w:rPr>
          <w:lang w:eastAsia="zh-CN"/>
        </w:rPr>
        <w:t>.</w:t>
      </w:r>
      <w:r w:rsidR="00ED65C5" w:rsidRPr="0012753F">
        <w:rPr>
          <w:lang w:val="en-US" w:eastAsia="zh-CN"/>
        </w:rPr>
        <w:t>3</w:t>
      </w:r>
      <w:r w:rsidR="00ED65C5" w:rsidRPr="0012753F">
        <w:rPr>
          <w:lang w:eastAsia="zh-CN"/>
        </w:rPr>
        <w:t>.</w:t>
      </w:r>
      <w:r w:rsidR="00ED65C5" w:rsidRPr="0012753F">
        <w:rPr>
          <w:lang w:val="en-US" w:eastAsia="zh-CN"/>
        </w:rPr>
        <w:t>2</w:t>
      </w:r>
      <w:r w:rsidR="00ED65C5" w:rsidRPr="00635A41">
        <w:rPr>
          <w:lang w:eastAsia="zh-CN"/>
        </w:rPr>
        <w:tab/>
        <w:t xml:space="preserve">Architecture </w:t>
      </w:r>
      <w:r w:rsidR="0012753F">
        <w:rPr>
          <w:lang w:val="en-US" w:eastAsia="zh-CN"/>
        </w:rPr>
        <w:t>Option #3</w:t>
      </w:r>
      <w:bookmarkEnd w:id="146"/>
    </w:p>
    <w:p w:rsidR="00860CD3" w:rsidRDefault="00860CD3" w:rsidP="00837E60">
      <w:pPr>
        <w:jc w:val="both"/>
        <w:rPr>
          <w:lang w:eastAsia="zh-CN"/>
        </w:rPr>
      </w:pPr>
      <w:r>
        <w:rPr>
          <w:lang w:eastAsia="zh-CN"/>
        </w:rPr>
        <w:t>7.3.2.0</w:t>
      </w:r>
      <w:r>
        <w:rPr>
          <w:lang w:eastAsia="zh-CN"/>
        </w:rPr>
        <w:tab/>
      </w:r>
      <w:r>
        <w:rPr>
          <w:lang w:eastAsia="zh-CN"/>
        </w:rPr>
        <w:tab/>
      </w:r>
      <w:r>
        <w:rPr>
          <w:lang w:eastAsia="zh-CN"/>
        </w:rPr>
        <w:tab/>
        <w:t>Introduction</w:t>
      </w:r>
    </w:p>
    <w:p w:rsidR="00ED65C5" w:rsidRDefault="00ED65C5" w:rsidP="00837E60">
      <w:pPr>
        <w:jc w:val="both"/>
        <w:rPr>
          <w:lang w:eastAsia="zh-CN"/>
        </w:rPr>
      </w:pPr>
      <w:r w:rsidRPr="00EA211F">
        <w:rPr>
          <w:rFonts w:hint="eastAsia"/>
          <w:lang w:eastAsia="zh-CN"/>
        </w:rPr>
        <w:t xml:space="preserve">The </w:t>
      </w:r>
      <w:r>
        <w:rPr>
          <w:lang w:eastAsia="zh-CN"/>
        </w:rPr>
        <w:t xml:space="preserve">proposed </w:t>
      </w:r>
      <w:r>
        <w:rPr>
          <w:rFonts w:hint="eastAsia"/>
          <w:lang w:eastAsia="zh-CN"/>
        </w:rPr>
        <w:t>a</w:t>
      </w:r>
      <w:r w:rsidRPr="00EA211F">
        <w:rPr>
          <w:rFonts w:hint="eastAsia"/>
          <w:lang w:eastAsia="zh-CN"/>
        </w:rPr>
        <w:t xml:space="preserve">rchitecture </w:t>
      </w:r>
      <w:r>
        <w:rPr>
          <w:lang w:eastAsia="zh-CN"/>
        </w:rPr>
        <w:t xml:space="preserve">solution is illustrated in Figure </w:t>
      </w:r>
      <w:r w:rsidRPr="00F64EDB">
        <w:rPr>
          <w:lang w:eastAsia="zh-CN"/>
        </w:rPr>
        <w:t>6.3.2-1</w:t>
      </w:r>
      <w:r>
        <w:rPr>
          <w:rFonts w:hint="eastAsia"/>
          <w:lang w:eastAsia="zh-CN"/>
        </w:rPr>
        <w:t xml:space="preserve">. </w:t>
      </w:r>
      <w:r>
        <w:rPr>
          <w:lang w:eastAsia="zh-CN"/>
        </w:rPr>
        <w:t xml:space="preserve">The figure shows the functions and entities potentially having a role when considering the App-ID Registry Function. Solid lines define communication paths. These are referenced with a number in the figure and described as follows. Note that a practical implementation does not need to support all communication links shown in Figure </w:t>
      </w:r>
      <w:r w:rsidRPr="00F64EDB">
        <w:rPr>
          <w:lang w:eastAsia="zh-CN"/>
        </w:rPr>
        <w:t>6.3.2-1</w:t>
      </w:r>
      <w:r>
        <w:rPr>
          <w:rFonts w:hint="eastAsia"/>
          <w:lang w:eastAsia="zh-CN"/>
        </w:rPr>
        <w:t>.</w:t>
      </w:r>
      <w:r>
        <w:rPr>
          <w:lang w:eastAsia="zh-CN"/>
        </w:rPr>
        <w:t xml:space="preserve"> Note also that the numbering of these communication links is arbitrary and does not imply any sequence of steps to be executed in a specific order. Many certifications could be requested by the manufacturer or application developer/provider.</w:t>
      </w:r>
    </w:p>
    <w:p w:rsidR="00ED65C5" w:rsidRDefault="00ED65C5" w:rsidP="00837E60">
      <w:pPr>
        <w:ind w:left="360" w:hanging="360"/>
        <w:jc w:val="both"/>
        <w:rPr>
          <w:lang w:eastAsia="zh-CN"/>
        </w:rPr>
      </w:pPr>
      <w:r>
        <w:rPr>
          <w:lang w:eastAsia="zh-CN"/>
        </w:rPr>
        <w:t>1)</w:t>
      </w:r>
      <w:r>
        <w:rPr>
          <w:lang w:eastAsia="zh-CN"/>
        </w:rPr>
        <w:tab/>
        <w:t>The manufacturer creates a digital certificate for his device, or an application software certificate, issuing a Certificate Signing Request (CSR) to a Certification Authority (CA). The certificate is initially installed on the field entity at manufacturing stage or software download/installation and used for Security Association Establishment with a MEF. The MEF-FQDN (i.e. the MEF ID) is also preconfigured on the device SW module.</w:t>
      </w:r>
    </w:p>
    <w:p w:rsidR="00ED65C5" w:rsidRDefault="00ED65C5" w:rsidP="00837E60">
      <w:pPr>
        <w:ind w:left="360" w:hanging="360"/>
        <w:jc w:val="both"/>
        <w:rPr>
          <w:lang w:eastAsia="zh-CN"/>
        </w:rPr>
      </w:pPr>
      <w:r>
        <w:rPr>
          <w:lang w:eastAsia="zh-CN"/>
        </w:rPr>
        <w:t>2)</w:t>
      </w:r>
      <w:r>
        <w:rPr>
          <w:lang w:eastAsia="zh-CN"/>
        </w:rPr>
        <w:tab/>
        <w:t>Communication path for CSRs issued by the operational field node and communicated to the CA via the MEF (acting as PKI Registration Authority).</w:t>
      </w:r>
    </w:p>
    <w:p w:rsidR="00ED65C5" w:rsidRDefault="00ED65C5" w:rsidP="00837E60">
      <w:pPr>
        <w:ind w:left="360" w:hanging="360"/>
        <w:jc w:val="both"/>
        <w:rPr>
          <w:lang w:eastAsia="zh-CN"/>
        </w:rPr>
      </w:pPr>
      <w:r>
        <w:rPr>
          <w:lang w:eastAsia="zh-CN"/>
        </w:rPr>
        <w:t>3)</w:t>
      </w:r>
      <w:r>
        <w:rPr>
          <w:lang w:eastAsia="zh-CN"/>
        </w:rPr>
        <w:tab/>
        <w:t xml:space="preserve">Communication path for CSRs issued by a </w:t>
      </w:r>
      <w:r w:rsidRPr="00C037E8">
        <w:rPr>
          <w:lang w:eastAsia="zh-CN"/>
        </w:rPr>
        <w:t>Compliance Certification Body (</w:t>
      </w:r>
      <w:r>
        <w:rPr>
          <w:lang w:eastAsia="zh-CN"/>
        </w:rPr>
        <w:t xml:space="preserve">CCB). In the proposed architecture, the CCB is assumed to issue a digital certificate upon having passed certification test successfully. This certificate may also be installed on the field entity and used as electronic proof that the device or software product is oneM2M certified. It includes all relevant identifiers, App-ID (which is assumed to be specific manufacturer/developer and allowing its identification), identification of the </w:t>
      </w:r>
      <w:r w:rsidR="00C86764">
        <w:rPr>
          <w:lang w:eastAsia="zh-CN"/>
        </w:rPr>
        <w:t>device (if applicable)</w:t>
      </w:r>
      <w:r>
        <w:rPr>
          <w:lang w:eastAsia="zh-CN"/>
        </w:rPr>
        <w:t xml:space="preserve"> </w:t>
      </w:r>
      <w:r w:rsidR="00C86764">
        <w:rPr>
          <w:lang w:eastAsia="zh-CN"/>
        </w:rPr>
        <w:t>and identification</w:t>
      </w:r>
      <w:r>
        <w:rPr>
          <w:lang w:eastAsia="zh-CN"/>
        </w:rPr>
        <w:t xml:space="preserve"> of the software instance (if applicable).  D</w:t>
      </w:r>
      <w:r w:rsidRPr="0069349F">
        <w:rPr>
          <w:lang w:eastAsia="zh-CN"/>
        </w:rPr>
        <w:t xml:space="preserve">etails </w:t>
      </w:r>
      <w:r>
        <w:rPr>
          <w:lang w:eastAsia="zh-CN"/>
        </w:rPr>
        <w:t xml:space="preserve">of these identifiers are </w:t>
      </w:r>
      <w:r w:rsidRPr="0069349F">
        <w:rPr>
          <w:lang w:eastAsia="zh-CN"/>
        </w:rPr>
        <w:t>to be defined</w:t>
      </w:r>
      <w:r>
        <w:rPr>
          <w:lang w:eastAsia="zh-CN"/>
        </w:rPr>
        <w:t>.</w:t>
      </w:r>
    </w:p>
    <w:p w:rsidR="00ED65C5" w:rsidRDefault="00ED65C5" w:rsidP="00837E60">
      <w:pPr>
        <w:ind w:left="360" w:hanging="360"/>
        <w:jc w:val="both"/>
        <w:rPr>
          <w:lang w:eastAsia="zh-CN"/>
        </w:rPr>
      </w:pPr>
      <w:r>
        <w:rPr>
          <w:lang w:eastAsia="zh-CN"/>
        </w:rPr>
        <w:t>4)</w:t>
      </w:r>
      <w:r>
        <w:rPr>
          <w:lang w:eastAsia="zh-CN"/>
        </w:rPr>
        <w:tab/>
        <w:t>Communication path for CSRs issued by a Device Management (DM) Server. This function may be needed to ensure secure communication between a DM server and a DM client on the field node using OMA or BBF defined protocols (as defined in TS-0005, TS-0006 and TS-0022). This interface is out of scope of this document.</w:t>
      </w:r>
    </w:p>
    <w:p w:rsidR="00ED65C5" w:rsidRDefault="00ED65C5" w:rsidP="00837E60">
      <w:pPr>
        <w:ind w:left="360" w:hanging="360"/>
        <w:jc w:val="both"/>
        <w:rPr>
          <w:lang w:eastAsia="zh-CN"/>
        </w:rPr>
      </w:pPr>
      <w:r>
        <w:rPr>
          <w:lang w:eastAsia="zh-CN"/>
        </w:rPr>
        <w:t>5)</w:t>
      </w:r>
      <w:r>
        <w:rPr>
          <w:lang w:eastAsia="zh-CN"/>
        </w:rPr>
        <w:tab/>
        <w:t>This refers to the communication path between manufacturer/developer and CCB to obtain the certificate described at no. 3) above. Details of this interface are out of scope of the present discussion.</w:t>
      </w:r>
    </w:p>
    <w:p w:rsidR="00ED65C5" w:rsidRDefault="00ED65C5" w:rsidP="00837E60">
      <w:pPr>
        <w:ind w:left="360" w:hanging="360"/>
        <w:jc w:val="both"/>
        <w:rPr>
          <w:lang w:eastAsia="zh-CN"/>
        </w:rPr>
      </w:pPr>
      <w:r>
        <w:rPr>
          <w:lang w:eastAsia="zh-CN"/>
        </w:rPr>
        <w:t>6)</w:t>
      </w:r>
      <w:r>
        <w:rPr>
          <w:lang w:eastAsia="zh-CN"/>
        </w:rPr>
        <w:tab/>
        <w:t>The manufacturer/developer obtains the registered App-ID on this communication link from the App-ID Registry Function. After the manufacturer/developer has obtained a CCB-issued certificate which includes this registered App-ID, it returns this certificate to the App-ID Registry Function as proof of successful compliance registration. This information is stored as metadata in the Registry.</w:t>
      </w:r>
    </w:p>
    <w:p w:rsidR="00ED65C5" w:rsidRDefault="00ED65C5" w:rsidP="00837E60">
      <w:pPr>
        <w:ind w:left="360" w:hanging="360"/>
        <w:jc w:val="both"/>
        <w:rPr>
          <w:lang w:eastAsia="zh-CN"/>
        </w:rPr>
      </w:pPr>
      <w:r>
        <w:rPr>
          <w:lang w:eastAsia="zh-CN"/>
        </w:rPr>
        <w:t>7)</w:t>
      </w:r>
      <w:r>
        <w:rPr>
          <w:lang w:eastAsia="zh-CN"/>
        </w:rPr>
        <w:tab/>
        <w:t>This refers to delivery of the device/software to the end customer (if the AE is implemented as Software module, it could be downloaded e.g. from a web store).</w:t>
      </w:r>
    </w:p>
    <w:p w:rsidR="00ED65C5" w:rsidRDefault="00ED65C5" w:rsidP="00837E60">
      <w:pPr>
        <w:ind w:left="360" w:hanging="360"/>
        <w:jc w:val="both"/>
        <w:rPr>
          <w:lang w:eastAsia="zh-CN"/>
        </w:rPr>
      </w:pPr>
      <w:r>
        <w:rPr>
          <w:lang w:eastAsia="zh-CN"/>
        </w:rPr>
        <w:t>8)</w:t>
      </w:r>
      <w:r>
        <w:rPr>
          <w:lang w:eastAsia="zh-CN"/>
        </w:rPr>
        <w:tab/>
        <w:t>The manufacturer needs to agree with the operator of the MEF (provisioned to the device or SW module)  on an applicable Security Association Establishment Framework (SAEF). Assumption in the following description is that certificate-based SAEF is used.</w:t>
      </w:r>
    </w:p>
    <w:p w:rsidR="00ED65C5" w:rsidRDefault="00ED65C5" w:rsidP="00837E60">
      <w:pPr>
        <w:ind w:left="360" w:hanging="360"/>
        <w:jc w:val="both"/>
        <w:rPr>
          <w:lang w:eastAsia="zh-CN"/>
        </w:rPr>
      </w:pPr>
      <w:r>
        <w:rPr>
          <w:lang w:eastAsia="zh-CN"/>
        </w:rPr>
        <w:t>9)</w:t>
      </w:r>
      <w:r>
        <w:rPr>
          <w:lang w:eastAsia="zh-CN"/>
        </w:rPr>
        <w:tab/>
        <w:t>When the application is started for the first time, the MEF client contacts the MEF to receive security credentials and configuration data needed for registration to its registrar.</w:t>
      </w:r>
    </w:p>
    <w:p w:rsidR="00ED65C5" w:rsidRDefault="00ED65C5" w:rsidP="00837E60">
      <w:pPr>
        <w:ind w:left="360" w:hanging="360"/>
        <w:jc w:val="both"/>
        <w:rPr>
          <w:lang w:eastAsia="zh-CN"/>
        </w:rPr>
      </w:pPr>
      <w:r>
        <w:rPr>
          <w:lang w:eastAsia="zh-CN"/>
        </w:rPr>
        <w:t xml:space="preserve">10)  The MEF may trigger the field device to perform a DM procedure. </w:t>
      </w:r>
    </w:p>
    <w:p w:rsidR="00ED65C5" w:rsidRDefault="00ED65C5" w:rsidP="00837E60">
      <w:pPr>
        <w:ind w:left="360" w:hanging="360"/>
        <w:jc w:val="both"/>
        <w:rPr>
          <w:lang w:eastAsia="zh-CN"/>
        </w:rPr>
      </w:pPr>
      <w:r>
        <w:rPr>
          <w:lang w:eastAsia="zh-CN"/>
        </w:rPr>
        <w:t>11)</w:t>
      </w:r>
      <w:r>
        <w:rPr>
          <w:lang w:eastAsia="zh-CN"/>
        </w:rPr>
        <w:tab/>
        <w:t>The DM server can configure the MEF to employ a specific authentication profile when communicating with a MEF client.</w:t>
      </w:r>
    </w:p>
    <w:p w:rsidR="00ED65C5" w:rsidRDefault="00ED65C5" w:rsidP="00837E60">
      <w:pPr>
        <w:ind w:left="360" w:hanging="360"/>
        <w:jc w:val="both"/>
        <w:rPr>
          <w:lang w:eastAsia="zh-CN"/>
        </w:rPr>
      </w:pPr>
      <w:r>
        <w:rPr>
          <w:lang w:eastAsia="zh-CN"/>
        </w:rPr>
        <w:t>12) The DM server can be triggered by the IN-CSE to perform DM procedures with DM client on the field device, e.g. to configure CMDH policies.</w:t>
      </w:r>
    </w:p>
    <w:p w:rsidR="00ED65C5" w:rsidRDefault="00ED65C5" w:rsidP="00837E60">
      <w:pPr>
        <w:ind w:left="360" w:hanging="360"/>
        <w:jc w:val="both"/>
        <w:rPr>
          <w:lang w:eastAsia="zh-CN"/>
        </w:rPr>
      </w:pPr>
      <w:r>
        <w:rPr>
          <w:lang w:eastAsia="zh-CN"/>
        </w:rPr>
        <w:t>13)</w:t>
      </w:r>
      <w:r>
        <w:rPr>
          <w:lang w:eastAsia="zh-CN"/>
        </w:rPr>
        <w:tab/>
        <w:t>If required, the MEF client on the field device could send information over communication path 9) which triggers a transaction between the MEF and the App-ID Registry Function. This feature would represent an extension to the currently given functionality on the MEF.</w:t>
      </w:r>
    </w:p>
    <w:p w:rsidR="00ED65C5" w:rsidRDefault="00ED65C5" w:rsidP="00837E60">
      <w:pPr>
        <w:ind w:left="360" w:hanging="360"/>
        <w:jc w:val="both"/>
        <w:rPr>
          <w:lang w:eastAsia="zh-CN"/>
        </w:rPr>
      </w:pPr>
      <w:r>
        <w:rPr>
          <w:lang w:eastAsia="zh-CN"/>
        </w:rPr>
        <w:t>14)  The App-ID Registry Function can send requests to the IN-CSE and receive responses. The App-ID would behave like a</w:t>
      </w:r>
      <w:r w:rsidR="004731F1">
        <w:rPr>
          <w:lang w:eastAsia="zh-CN"/>
        </w:rPr>
        <w:t>n</w:t>
      </w:r>
      <w:r>
        <w:rPr>
          <w:lang w:eastAsia="zh-CN"/>
        </w:rPr>
        <w:t xml:space="preserve"> IN-AE on this communication path, i.e. Mca procedures would be applicable.</w:t>
      </w:r>
    </w:p>
    <w:p w:rsidR="00ED65C5" w:rsidRDefault="00ED65C5" w:rsidP="00ED65C5">
      <w:pPr>
        <w:ind w:left="360" w:hanging="360"/>
        <w:rPr>
          <w:lang w:eastAsia="zh-CN"/>
        </w:rPr>
      </w:pPr>
      <w:r>
        <w:rPr>
          <w:lang w:eastAsia="zh-CN"/>
        </w:rPr>
        <w:lastRenderedPageBreak/>
        <w:t>15)  If the authentication profile applicable to the field device for registration indicates use of MAF-based SAEF, the field device establishes symmetric key credentials with a MAF. If certificate-based authentication between the field device and its registrar is configured to be used, the MAF is not involved.</w:t>
      </w:r>
    </w:p>
    <w:p w:rsidR="00ED65C5" w:rsidRDefault="00ED65C5" w:rsidP="00ED65C5">
      <w:pPr>
        <w:ind w:left="360" w:hanging="360"/>
        <w:rPr>
          <w:lang w:eastAsia="zh-CN"/>
        </w:rPr>
      </w:pPr>
      <w:r>
        <w:rPr>
          <w:lang w:eastAsia="zh-CN"/>
        </w:rPr>
        <w:t xml:space="preserve">16) When MAF-based SAEF is used, the registrar needs to retrieve the symmetric key credentials from the MAF, when the </w:t>
      </w:r>
      <w:r w:rsidRPr="00741E45">
        <w:rPr>
          <w:lang w:val="en-US" w:eastAsia="zh-CN"/>
        </w:rPr>
        <w:t>registree</w:t>
      </w:r>
      <w:r>
        <w:rPr>
          <w:lang w:eastAsia="zh-CN"/>
        </w:rPr>
        <w:t xml:space="preserve"> contacts the registrar.</w:t>
      </w:r>
    </w:p>
    <w:p w:rsidR="00ED65C5" w:rsidRDefault="00ED65C5" w:rsidP="00ED65C5">
      <w:pPr>
        <w:ind w:left="360" w:hanging="360"/>
        <w:rPr>
          <w:lang w:eastAsia="zh-CN"/>
        </w:rPr>
      </w:pPr>
      <w:r>
        <w:rPr>
          <w:lang w:eastAsia="zh-CN"/>
        </w:rPr>
        <w:t>17) When symmetric key credentials are assigned by the MEF for end-to-end security frameworks, the respective end-node needs to retrieve these credentials from the MEF (end-to-end security with symmetric key credentials could also be done with MAF procedures).</w:t>
      </w:r>
    </w:p>
    <w:p w:rsidR="00ED65C5" w:rsidRDefault="00ED65C5" w:rsidP="00ED65C5">
      <w:pPr>
        <w:ind w:left="360" w:hanging="360"/>
        <w:rPr>
          <w:lang w:eastAsia="zh-CN"/>
        </w:rPr>
      </w:pPr>
      <w:r>
        <w:rPr>
          <w:lang w:eastAsia="zh-CN"/>
        </w:rPr>
        <w:t xml:space="preserve">18) The field node may contact the IN-CSE either directly or via a Middle Node CSE. In the above descriptions it is assumed that a Middle Node is not present. The Middle node needs to register first to its own registrar (IN-CSE Figure </w:t>
      </w:r>
      <w:r w:rsidRPr="00837E60">
        <w:rPr>
          <w:lang w:eastAsia="zh-CN"/>
        </w:rPr>
        <w:t>6.3.2-1</w:t>
      </w:r>
      <w:r>
        <w:rPr>
          <w:lang w:eastAsia="zh-CN"/>
        </w:rPr>
        <w:t xml:space="preserve">, before the AE registers to the MN-CSE. </w:t>
      </w:r>
    </w:p>
    <w:p w:rsidR="00ED65C5" w:rsidRDefault="00ED65C5" w:rsidP="00ED65C5">
      <w:pPr>
        <w:ind w:left="360" w:hanging="360"/>
        <w:rPr>
          <w:lang w:eastAsia="zh-CN"/>
        </w:rPr>
      </w:pPr>
      <w:r>
        <w:rPr>
          <w:lang w:eastAsia="zh-CN"/>
        </w:rPr>
        <w:t>19)</w:t>
      </w:r>
      <w:r>
        <w:rPr>
          <w:lang w:eastAsia="zh-CN"/>
        </w:rPr>
        <w:tab/>
        <w:t xml:space="preserve">This communication path could be used to exchange information between App-ID Registry Function and CCB, for instance to define sets of testable functional features associated with Application Profiles for which compliance is certified by the CCB.  </w:t>
      </w:r>
    </w:p>
    <w:p w:rsidR="00ED65C5" w:rsidRDefault="00ED65C5" w:rsidP="00ED65C5">
      <w:pPr>
        <w:ind w:left="360" w:hanging="360"/>
        <w:rPr>
          <w:lang w:eastAsia="zh-CN"/>
        </w:rPr>
      </w:pPr>
    </w:p>
    <w:p w:rsidR="00ED65C5" w:rsidRDefault="00ED65C5" w:rsidP="00ED65C5">
      <w:pPr>
        <w:spacing w:after="40"/>
        <w:jc w:val="center"/>
        <w:rPr>
          <w:sz w:val="22"/>
          <w:szCs w:val="22"/>
          <w:lang w:eastAsia="ko-KR"/>
        </w:rPr>
      </w:pPr>
      <w:r w:rsidRPr="007E6A52">
        <w:object w:dxaOrig="8287" w:dyaOrig="7038" w14:anchorId="2C164C1C">
          <v:shape id="_x0000_i1027" type="#_x0000_t75" style="width:396pt;height:337.2pt" o:ole="">
            <v:imagedata r:id="rId23" o:title=""/>
          </v:shape>
          <o:OLEObject Type="Embed" ProgID="Visio.Drawing.11" ShapeID="_x0000_i1027" DrawAspect="Content" ObjectID="_1583755208" r:id="rId24"/>
        </w:object>
      </w:r>
    </w:p>
    <w:p w:rsidR="00ED65C5" w:rsidRDefault="00ED65C5" w:rsidP="00ED65C5">
      <w:pPr>
        <w:pStyle w:val="Caption"/>
        <w:jc w:val="center"/>
        <w:rPr>
          <w:lang w:eastAsia="ko-KR"/>
        </w:rPr>
      </w:pPr>
      <w:r>
        <w:rPr>
          <w:lang w:eastAsia="ko-KR"/>
        </w:rPr>
        <w:t xml:space="preserve">Figure </w:t>
      </w:r>
      <w:r w:rsidR="009F6828">
        <w:rPr>
          <w:lang w:eastAsia="ko-KR"/>
        </w:rPr>
        <w:t>7</w:t>
      </w:r>
      <w:r w:rsidRPr="00837E60">
        <w:rPr>
          <w:lang w:eastAsia="ko-KR"/>
        </w:rPr>
        <w:t>.3.2</w:t>
      </w:r>
      <w:r w:rsidR="009A0B89">
        <w:rPr>
          <w:lang w:eastAsia="ko-KR"/>
        </w:rPr>
        <w:t>-1</w:t>
      </w:r>
      <w:r>
        <w:rPr>
          <w:lang w:eastAsia="ko-KR"/>
        </w:rPr>
        <w:t>: Nodes and communication interfaces of the proposed architecture</w:t>
      </w:r>
    </w:p>
    <w:p w:rsidR="00ED65C5" w:rsidRDefault="00ED65C5" w:rsidP="00ED65C5">
      <w:pPr>
        <w:rPr>
          <w:lang w:eastAsia="ko-KR"/>
        </w:rPr>
      </w:pPr>
    </w:p>
    <w:p w:rsidR="00ED65C5" w:rsidRPr="00C9605F" w:rsidRDefault="00ED65C5" w:rsidP="00ED65C5">
      <w:pPr>
        <w:spacing w:after="80"/>
        <w:rPr>
          <w:lang w:eastAsia="ko-KR"/>
        </w:rPr>
      </w:pPr>
      <w:r>
        <w:rPr>
          <w:lang w:eastAsia="ko-KR"/>
        </w:rPr>
        <w:t>S</w:t>
      </w:r>
      <w:r w:rsidRPr="00C9605F">
        <w:rPr>
          <w:lang w:eastAsia="ko-KR"/>
        </w:rPr>
        <w:t xml:space="preserve">ummary of new features </w:t>
      </w:r>
      <w:r>
        <w:rPr>
          <w:lang w:eastAsia="ko-KR"/>
        </w:rPr>
        <w:t>supported by the proposed solution</w:t>
      </w:r>
      <w:r w:rsidRPr="00C9605F">
        <w:rPr>
          <w:lang w:eastAsia="ko-KR"/>
        </w:rPr>
        <w:t>:</w:t>
      </w:r>
    </w:p>
    <w:p w:rsidR="00ED65C5" w:rsidRPr="00C9605F" w:rsidRDefault="00ED65C5" w:rsidP="00FB7427">
      <w:pPr>
        <w:pStyle w:val="ListParagraph"/>
        <w:numPr>
          <w:ilvl w:val="0"/>
          <w:numId w:val="26"/>
        </w:numPr>
        <w:spacing w:after="160" w:line="259" w:lineRule="auto"/>
        <w:rPr>
          <w:sz w:val="20"/>
          <w:szCs w:val="20"/>
          <w:lang w:eastAsia="ko-KR"/>
        </w:rPr>
      </w:pPr>
      <w:r>
        <w:rPr>
          <w:sz w:val="20"/>
          <w:szCs w:val="20"/>
          <w:lang w:eastAsia="ko-KR"/>
        </w:rPr>
        <w:t>Validation</w:t>
      </w:r>
      <w:r w:rsidRPr="00C9605F">
        <w:rPr>
          <w:sz w:val="20"/>
          <w:szCs w:val="20"/>
          <w:lang w:eastAsia="ko-KR"/>
        </w:rPr>
        <w:t xml:space="preserve"> if application has been certified by CCB</w:t>
      </w:r>
      <w:r>
        <w:rPr>
          <w:sz w:val="20"/>
          <w:szCs w:val="20"/>
          <w:lang w:eastAsia="ko-KR"/>
        </w:rPr>
        <w:t xml:space="preserve"> by using digital certificates. This could be done by the App-ID Registry Function using communication via MEF, or by the IN-CSE (at registration, additional functions to be defined)</w:t>
      </w:r>
    </w:p>
    <w:p w:rsidR="00ED65C5" w:rsidRDefault="00ED65C5" w:rsidP="00FB7427">
      <w:pPr>
        <w:pStyle w:val="ListParagraph"/>
        <w:numPr>
          <w:ilvl w:val="0"/>
          <w:numId w:val="26"/>
        </w:numPr>
        <w:spacing w:after="160" w:line="259" w:lineRule="auto"/>
        <w:rPr>
          <w:sz w:val="20"/>
          <w:szCs w:val="20"/>
          <w:lang w:eastAsia="ko-KR"/>
        </w:rPr>
      </w:pPr>
      <w:r w:rsidRPr="00C9605F">
        <w:rPr>
          <w:sz w:val="20"/>
          <w:szCs w:val="20"/>
          <w:lang w:eastAsia="ko-KR"/>
        </w:rPr>
        <w:t>CCB certificate</w:t>
      </w:r>
      <w:r>
        <w:rPr>
          <w:sz w:val="20"/>
          <w:szCs w:val="20"/>
          <w:lang w:eastAsia="ko-KR"/>
        </w:rPr>
        <w:t>s</w:t>
      </w:r>
      <w:r w:rsidRPr="00C9605F">
        <w:rPr>
          <w:sz w:val="20"/>
          <w:szCs w:val="20"/>
          <w:lang w:eastAsia="ko-KR"/>
        </w:rPr>
        <w:t xml:space="preserve"> could include information on tested functionality, which converts into </w:t>
      </w:r>
      <w:r>
        <w:rPr>
          <w:sz w:val="20"/>
          <w:szCs w:val="20"/>
          <w:lang w:eastAsia="ko-KR"/>
        </w:rPr>
        <w:t xml:space="preserve">service layer functions permitted to be used. These functions represent the </w:t>
      </w:r>
      <w:r w:rsidRPr="00C9605F">
        <w:rPr>
          <w:i/>
          <w:sz w:val="20"/>
          <w:szCs w:val="20"/>
          <w:lang w:eastAsia="ko-KR"/>
        </w:rPr>
        <w:t>Application Profile</w:t>
      </w:r>
      <w:r>
        <w:rPr>
          <w:sz w:val="20"/>
          <w:szCs w:val="20"/>
          <w:lang w:eastAsia="ko-KR"/>
        </w:rPr>
        <w:t>.</w:t>
      </w:r>
    </w:p>
    <w:p w:rsidR="00ED65C5" w:rsidRPr="00C9605F" w:rsidRDefault="00ED65C5" w:rsidP="00FB7427">
      <w:pPr>
        <w:pStyle w:val="ListParagraph"/>
        <w:numPr>
          <w:ilvl w:val="0"/>
          <w:numId w:val="26"/>
        </w:numPr>
        <w:spacing w:after="160" w:line="259" w:lineRule="auto"/>
        <w:rPr>
          <w:sz w:val="20"/>
          <w:szCs w:val="20"/>
          <w:lang w:eastAsia="ko-KR"/>
        </w:rPr>
      </w:pPr>
      <w:r>
        <w:rPr>
          <w:sz w:val="20"/>
          <w:szCs w:val="20"/>
          <w:lang w:eastAsia="ko-KR"/>
        </w:rPr>
        <w:t>App-ID Registry Function could act as IN-AE(s) towards IN-CSEs.</w:t>
      </w:r>
    </w:p>
    <w:p w:rsidR="00ED65C5" w:rsidRPr="00C9605F" w:rsidRDefault="00ED65C5" w:rsidP="00FB7427">
      <w:pPr>
        <w:pStyle w:val="ListParagraph"/>
        <w:numPr>
          <w:ilvl w:val="0"/>
          <w:numId w:val="26"/>
        </w:numPr>
        <w:spacing w:after="160" w:line="259" w:lineRule="auto"/>
        <w:rPr>
          <w:sz w:val="20"/>
          <w:szCs w:val="20"/>
          <w:lang w:eastAsia="ko-KR"/>
        </w:rPr>
      </w:pPr>
      <w:r>
        <w:rPr>
          <w:sz w:val="20"/>
          <w:szCs w:val="20"/>
          <w:lang w:eastAsia="ko-KR"/>
        </w:rPr>
        <w:t xml:space="preserve">For end.to-end security frameworks, App-IDs could be revoked by revoking App-ID certificates. New App-IDs could be assigned by installing new App-ID certificates on the AE, using </w:t>
      </w:r>
      <w:r w:rsidRPr="00C9605F">
        <w:rPr>
          <w:sz w:val="20"/>
          <w:szCs w:val="20"/>
          <w:lang w:eastAsia="ko-KR"/>
        </w:rPr>
        <w:t xml:space="preserve">MEF </w:t>
      </w:r>
      <w:r>
        <w:rPr>
          <w:sz w:val="20"/>
          <w:szCs w:val="20"/>
          <w:lang w:eastAsia="ko-KR"/>
        </w:rPr>
        <w:t>procedures triggered by the</w:t>
      </w:r>
      <w:r w:rsidRPr="00C9605F">
        <w:rPr>
          <w:sz w:val="20"/>
          <w:szCs w:val="20"/>
          <w:lang w:eastAsia="ko-KR"/>
        </w:rPr>
        <w:t xml:space="preserve"> App-ID Registry</w:t>
      </w:r>
      <w:r>
        <w:rPr>
          <w:sz w:val="20"/>
          <w:szCs w:val="20"/>
          <w:lang w:eastAsia="ko-KR"/>
        </w:rPr>
        <w:t xml:space="preserve"> Function. </w:t>
      </w:r>
      <w:r w:rsidRPr="008D5528">
        <w:rPr>
          <w:sz w:val="20"/>
          <w:szCs w:val="20"/>
          <w:lang w:eastAsia="ko-KR"/>
        </w:rPr>
        <w:t>App</w:t>
      </w:r>
      <w:r>
        <w:rPr>
          <w:sz w:val="20"/>
          <w:szCs w:val="20"/>
          <w:lang w:eastAsia="ko-KR"/>
        </w:rPr>
        <w:t>-</w:t>
      </w:r>
      <w:r w:rsidRPr="008D5528">
        <w:rPr>
          <w:sz w:val="20"/>
          <w:szCs w:val="20"/>
          <w:lang w:eastAsia="ko-KR"/>
        </w:rPr>
        <w:t xml:space="preserve">ID </w:t>
      </w:r>
      <w:r>
        <w:rPr>
          <w:sz w:val="20"/>
          <w:szCs w:val="20"/>
          <w:lang w:eastAsia="ko-KR"/>
        </w:rPr>
        <w:t>c</w:t>
      </w:r>
      <w:r w:rsidRPr="008D5528">
        <w:rPr>
          <w:sz w:val="20"/>
          <w:szCs w:val="20"/>
          <w:lang w:eastAsia="ko-KR"/>
        </w:rPr>
        <w:t>ert</w:t>
      </w:r>
      <w:r>
        <w:rPr>
          <w:sz w:val="20"/>
          <w:szCs w:val="20"/>
          <w:lang w:eastAsia="ko-KR"/>
        </w:rPr>
        <w:t>ificates</w:t>
      </w:r>
      <w:r w:rsidRPr="008D5528">
        <w:rPr>
          <w:sz w:val="20"/>
          <w:szCs w:val="20"/>
          <w:lang w:eastAsia="ko-KR"/>
        </w:rPr>
        <w:t xml:space="preserve"> </w:t>
      </w:r>
      <w:r>
        <w:rPr>
          <w:sz w:val="20"/>
          <w:szCs w:val="20"/>
          <w:lang w:eastAsia="ko-KR"/>
        </w:rPr>
        <w:t xml:space="preserve">could use </w:t>
      </w:r>
      <w:r w:rsidRPr="008D5528">
        <w:rPr>
          <w:sz w:val="20"/>
          <w:szCs w:val="20"/>
          <w:lang w:eastAsia="ko-KR"/>
        </w:rPr>
        <w:t xml:space="preserve">the same private/public key pair as the AE's </w:t>
      </w:r>
      <w:r>
        <w:rPr>
          <w:sz w:val="20"/>
          <w:szCs w:val="20"/>
          <w:lang w:eastAsia="ko-KR"/>
        </w:rPr>
        <w:lastRenderedPageBreak/>
        <w:t>c</w:t>
      </w:r>
      <w:r w:rsidRPr="008D5528">
        <w:rPr>
          <w:sz w:val="20"/>
          <w:szCs w:val="20"/>
          <w:lang w:eastAsia="ko-KR"/>
        </w:rPr>
        <w:t xml:space="preserve">ertificate. Once the AE's Certificate establishes </w:t>
      </w:r>
      <w:r>
        <w:rPr>
          <w:sz w:val="20"/>
          <w:szCs w:val="20"/>
          <w:lang w:eastAsia="ko-KR"/>
        </w:rPr>
        <w:t>a security association</w:t>
      </w:r>
      <w:r w:rsidRPr="008D5528">
        <w:rPr>
          <w:sz w:val="20"/>
          <w:szCs w:val="20"/>
          <w:lang w:eastAsia="ko-KR"/>
        </w:rPr>
        <w:t xml:space="preserve"> with the Registrar, the AE could </w:t>
      </w:r>
      <w:r>
        <w:rPr>
          <w:sz w:val="20"/>
          <w:szCs w:val="20"/>
          <w:lang w:eastAsia="ko-KR"/>
        </w:rPr>
        <w:t>create</w:t>
      </w:r>
      <w:r w:rsidRPr="008D5528">
        <w:rPr>
          <w:sz w:val="20"/>
          <w:szCs w:val="20"/>
          <w:lang w:eastAsia="ko-KR"/>
        </w:rPr>
        <w:t xml:space="preserve"> "App</w:t>
      </w:r>
      <w:r w:rsidR="00C86764">
        <w:rPr>
          <w:sz w:val="20"/>
          <w:szCs w:val="20"/>
          <w:lang w:eastAsia="ko-KR"/>
        </w:rPr>
        <w:t>-</w:t>
      </w:r>
      <w:r w:rsidRPr="008D5528">
        <w:rPr>
          <w:sz w:val="20"/>
          <w:szCs w:val="20"/>
          <w:lang w:eastAsia="ko-KR"/>
        </w:rPr>
        <w:t xml:space="preserve">IDCert" resources under its </w:t>
      </w:r>
      <w:r>
        <w:rPr>
          <w:sz w:val="20"/>
          <w:szCs w:val="20"/>
          <w:lang w:eastAsia="ko-KR"/>
        </w:rPr>
        <w:t>&lt;</w:t>
      </w:r>
      <w:r w:rsidRPr="008D5528">
        <w:rPr>
          <w:sz w:val="20"/>
          <w:szCs w:val="20"/>
          <w:lang w:eastAsia="ko-KR"/>
        </w:rPr>
        <w:t>AE</w:t>
      </w:r>
      <w:r>
        <w:rPr>
          <w:sz w:val="20"/>
          <w:szCs w:val="20"/>
          <w:lang w:eastAsia="ko-KR"/>
        </w:rPr>
        <w:t>&gt;</w:t>
      </w:r>
      <w:r w:rsidRPr="008D5528">
        <w:rPr>
          <w:sz w:val="20"/>
          <w:szCs w:val="20"/>
          <w:lang w:eastAsia="ko-KR"/>
        </w:rPr>
        <w:t xml:space="preserve"> resources on the Registrar in order to have App</w:t>
      </w:r>
      <w:r w:rsidR="00C86764">
        <w:rPr>
          <w:sz w:val="20"/>
          <w:szCs w:val="20"/>
          <w:lang w:eastAsia="ko-KR"/>
        </w:rPr>
        <w:t>-</w:t>
      </w:r>
      <w:r w:rsidRPr="008D5528">
        <w:rPr>
          <w:sz w:val="20"/>
          <w:szCs w:val="20"/>
          <w:lang w:eastAsia="ko-KR"/>
        </w:rPr>
        <w:t>ID</w:t>
      </w:r>
      <w:r w:rsidR="00C86764">
        <w:rPr>
          <w:sz w:val="20"/>
          <w:szCs w:val="20"/>
          <w:lang w:eastAsia="ko-KR"/>
        </w:rPr>
        <w:t>’</w:t>
      </w:r>
      <w:r w:rsidRPr="008D5528">
        <w:rPr>
          <w:sz w:val="20"/>
          <w:szCs w:val="20"/>
          <w:lang w:eastAsia="ko-KR"/>
        </w:rPr>
        <w:t>s associated with the AE. (This could be made flexible by allowing the AE to create the certificates there and then allow activating/deactivating</w:t>
      </w:r>
      <w:r>
        <w:rPr>
          <w:sz w:val="20"/>
          <w:szCs w:val="20"/>
          <w:lang w:eastAsia="ko-KR"/>
        </w:rPr>
        <w:t xml:space="preserve"> an</w:t>
      </w:r>
      <w:r w:rsidRPr="008D5528">
        <w:rPr>
          <w:sz w:val="20"/>
          <w:szCs w:val="20"/>
          <w:lang w:eastAsia="ko-KR"/>
        </w:rPr>
        <w:t xml:space="preserve"> individual App</w:t>
      </w:r>
      <w:r w:rsidR="00C86764">
        <w:rPr>
          <w:sz w:val="20"/>
          <w:szCs w:val="20"/>
          <w:lang w:eastAsia="ko-KR"/>
        </w:rPr>
        <w:t>-</w:t>
      </w:r>
      <w:r w:rsidRPr="008D5528">
        <w:rPr>
          <w:sz w:val="20"/>
          <w:szCs w:val="20"/>
          <w:lang w:eastAsia="ko-KR"/>
        </w:rPr>
        <w:t>ID).</w:t>
      </w:r>
    </w:p>
    <w:p w:rsidR="00ED65C5" w:rsidRPr="00341EA4" w:rsidRDefault="00ED65C5" w:rsidP="00ED65C5">
      <w:pPr>
        <w:rPr>
          <w:lang w:eastAsia="ko-KR"/>
        </w:rPr>
      </w:pPr>
    </w:p>
    <w:p w:rsidR="00ED65C5" w:rsidRPr="00EA211F" w:rsidRDefault="00B007B6" w:rsidP="00ED65C5">
      <w:pPr>
        <w:pStyle w:val="Heading4"/>
        <w:rPr>
          <w:szCs w:val="24"/>
          <w:lang w:eastAsia="zh-CN"/>
        </w:rPr>
      </w:pPr>
      <w:bookmarkStart w:id="147" w:name="_Toc508958792"/>
      <w:r>
        <w:rPr>
          <w:szCs w:val="24"/>
          <w:lang w:val="en-US" w:eastAsia="zh-CN"/>
        </w:rPr>
        <w:t>7</w:t>
      </w:r>
      <w:r w:rsidR="00ED65C5" w:rsidRPr="00EA211F">
        <w:rPr>
          <w:rFonts w:hint="eastAsia"/>
          <w:szCs w:val="24"/>
          <w:lang w:eastAsia="zh-CN"/>
        </w:rPr>
        <w:t>.</w:t>
      </w:r>
      <w:r w:rsidR="00ED65C5">
        <w:rPr>
          <w:szCs w:val="24"/>
          <w:lang w:val="en-US" w:eastAsia="zh-CN"/>
        </w:rPr>
        <w:t>3.2</w:t>
      </w:r>
      <w:r w:rsidR="00ED65C5" w:rsidRPr="00EA211F">
        <w:rPr>
          <w:szCs w:val="24"/>
        </w:rPr>
        <w:t>.1</w:t>
      </w:r>
      <w:r w:rsidR="00ED65C5" w:rsidRPr="00EA211F">
        <w:rPr>
          <w:szCs w:val="24"/>
        </w:rPr>
        <w:tab/>
      </w:r>
      <w:r w:rsidR="00ED65C5" w:rsidRPr="00EA211F">
        <w:rPr>
          <w:rFonts w:hint="eastAsia"/>
          <w:szCs w:val="24"/>
          <w:lang w:eastAsia="zh-CN"/>
        </w:rPr>
        <w:t>Nodes</w:t>
      </w:r>
      <w:bookmarkEnd w:id="147"/>
    </w:p>
    <w:p w:rsidR="00ED65C5" w:rsidRDefault="00ED65C5" w:rsidP="00ED65C5">
      <w:pPr>
        <w:rPr>
          <w:lang w:eastAsia="zh-CN"/>
        </w:rPr>
      </w:pPr>
      <w:r>
        <w:rPr>
          <w:lang w:eastAsia="zh-CN"/>
        </w:rPr>
        <w:t xml:space="preserve">The nodes of the overall proposed architecture are shown in Figure </w:t>
      </w:r>
      <w:r w:rsidRPr="00F64EDB">
        <w:rPr>
          <w:lang w:eastAsia="zh-CN"/>
        </w:rPr>
        <w:t>6.3.2-1</w:t>
      </w:r>
      <w:r>
        <w:rPr>
          <w:lang w:eastAsia="zh-CN"/>
        </w:rPr>
        <w:t xml:space="preserve">. Except for the </w:t>
      </w:r>
      <w:r>
        <w:rPr>
          <w:rFonts w:hint="eastAsia"/>
          <w:lang w:eastAsia="zh-CN"/>
        </w:rPr>
        <w:t>App-ID Registry Function</w:t>
      </w:r>
      <w:r>
        <w:rPr>
          <w:lang w:eastAsia="zh-CN"/>
        </w:rPr>
        <w:t xml:space="preserve"> and CCB, all nodes are already specified in oneM2M Release 2A. The functionality of MEF clients and the MEF would require extensions. Some new resource types (e.g. on IN-CSE for App-ID metadata) and/or extensions to existing resource types (e.g. &lt;AE&gt; resource type) would need to be defined. </w:t>
      </w:r>
    </w:p>
    <w:p w:rsidR="00ED65C5" w:rsidRPr="00EA211F" w:rsidRDefault="00B007B6" w:rsidP="00ED65C5">
      <w:pPr>
        <w:pStyle w:val="Heading4"/>
        <w:tabs>
          <w:tab w:val="left" w:pos="6255"/>
        </w:tabs>
        <w:rPr>
          <w:szCs w:val="24"/>
          <w:lang w:eastAsia="zh-CN"/>
        </w:rPr>
      </w:pPr>
      <w:bookmarkStart w:id="148" w:name="_Toc508958793"/>
      <w:r>
        <w:rPr>
          <w:szCs w:val="24"/>
          <w:lang w:val="en-US" w:eastAsia="zh-CN"/>
        </w:rPr>
        <w:t>7</w:t>
      </w:r>
      <w:r w:rsidR="00ED65C5" w:rsidRPr="00EA211F">
        <w:rPr>
          <w:rFonts w:hint="eastAsia"/>
          <w:szCs w:val="24"/>
          <w:lang w:eastAsia="zh-CN"/>
        </w:rPr>
        <w:t>.</w:t>
      </w:r>
      <w:r w:rsidR="00ED65C5">
        <w:rPr>
          <w:szCs w:val="24"/>
          <w:lang w:val="en-US" w:eastAsia="zh-CN"/>
        </w:rPr>
        <w:t>3.2</w:t>
      </w:r>
      <w:r w:rsidR="00ED65C5" w:rsidRPr="00EA211F">
        <w:rPr>
          <w:szCs w:val="24"/>
          <w:lang w:eastAsia="zh-CN"/>
        </w:rPr>
        <w:t>.</w:t>
      </w:r>
      <w:r w:rsidR="00ED65C5" w:rsidRPr="00EA211F">
        <w:rPr>
          <w:rFonts w:hint="eastAsia"/>
          <w:szCs w:val="24"/>
          <w:lang w:eastAsia="zh-CN"/>
        </w:rPr>
        <w:t>2</w:t>
      </w:r>
      <w:r w:rsidR="00ED65C5" w:rsidRPr="00EA211F">
        <w:rPr>
          <w:szCs w:val="24"/>
          <w:lang w:eastAsia="zh-CN"/>
        </w:rPr>
        <w:tab/>
        <w:t>Reference Points</w:t>
      </w:r>
      <w:bookmarkEnd w:id="148"/>
    </w:p>
    <w:p w:rsidR="00ED65C5" w:rsidRPr="00EA211F" w:rsidRDefault="00ED65C5" w:rsidP="00ED65C5">
      <w:pPr>
        <w:rPr>
          <w:lang w:eastAsia="zh-CN"/>
        </w:rPr>
      </w:pPr>
      <w:r w:rsidRPr="006D1690">
        <w:rPr>
          <w:lang w:val="en-US" w:eastAsia="zh-CN"/>
        </w:rPr>
        <w:t>The</w:t>
      </w:r>
      <w:r>
        <w:rPr>
          <w:lang w:val="en-US" w:eastAsia="zh-CN"/>
        </w:rPr>
        <w:t xml:space="preserve"> new</w:t>
      </w:r>
      <w:r w:rsidRPr="006D1690">
        <w:rPr>
          <w:lang w:val="en-US" w:eastAsia="zh-CN"/>
        </w:rPr>
        <w:t xml:space="preserve"> </w:t>
      </w:r>
      <w:r>
        <w:rPr>
          <w:lang w:eastAsia="zh-CN"/>
        </w:rPr>
        <w:t xml:space="preserve">reference points to be considered for standardization are the communication links </w:t>
      </w:r>
      <w:r>
        <w:rPr>
          <w:rFonts w:hint="eastAsia"/>
          <w:lang w:eastAsia="zh-CN"/>
        </w:rPr>
        <w:t>of the App-ID Registry</w:t>
      </w:r>
      <w:r>
        <w:rPr>
          <w:lang w:eastAsia="zh-CN"/>
        </w:rPr>
        <w:t xml:space="preserve">, marked with numbers 6), 13), 14 and 19). 6), and 13) may not need to be standardized. The communication link 14) between </w:t>
      </w:r>
      <w:r>
        <w:rPr>
          <w:rFonts w:hint="eastAsia"/>
          <w:lang w:eastAsia="zh-CN"/>
        </w:rPr>
        <w:t>App-ID Registry Function</w:t>
      </w:r>
      <w:r>
        <w:rPr>
          <w:lang w:eastAsia="zh-CN"/>
        </w:rPr>
        <w:t xml:space="preserve"> and IN-CSE could be implemented compliant with the Mca reference point.</w:t>
      </w:r>
    </w:p>
    <w:p w:rsidR="00AD424C" w:rsidRDefault="00AD424C" w:rsidP="002875EF">
      <w:pPr>
        <w:pStyle w:val="Heading3"/>
        <w:rPr>
          <w:lang w:eastAsia="zh-CN"/>
        </w:rPr>
      </w:pPr>
    </w:p>
    <w:p w:rsidR="00843B21" w:rsidRDefault="00B007B6" w:rsidP="00837E60">
      <w:pPr>
        <w:pStyle w:val="Heading1"/>
        <w:rPr>
          <w:lang w:val="en-US" w:eastAsia="zh-CN"/>
        </w:rPr>
      </w:pPr>
      <w:bookmarkStart w:id="149" w:name="_Toc508958794"/>
      <w:bookmarkEnd w:id="135"/>
      <w:bookmarkEnd w:id="136"/>
      <w:r>
        <w:rPr>
          <w:lang w:val="en-US" w:eastAsia="zh-CN"/>
        </w:rPr>
        <w:t>8</w:t>
      </w:r>
      <w:r w:rsidR="00210ED4">
        <w:rPr>
          <w:lang w:val="en-US" w:eastAsia="zh-CN"/>
        </w:rPr>
        <w:tab/>
      </w:r>
      <w:r w:rsidR="00843B21">
        <w:rPr>
          <w:lang w:val="en-US" w:eastAsia="zh-CN"/>
        </w:rPr>
        <w:t xml:space="preserve">App-ID </w:t>
      </w:r>
      <w:r w:rsidR="004731F1">
        <w:rPr>
          <w:lang w:val="en-US" w:eastAsia="zh-CN"/>
        </w:rPr>
        <w:t>R</w:t>
      </w:r>
      <w:r w:rsidR="00843B21">
        <w:rPr>
          <w:lang w:val="en-US" w:eastAsia="zh-CN"/>
        </w:rPr>
        <w:t>egistry Function</w:t>
      </w:r>
      <w:r w:rsidR="00843B21" w:rsidRPr="004431CD">
        <w:rPr>
          <w:lang w:val="en-US" w:eastAsia="zh-CN"/>
        </w:rPr>
        <w:t xml:space="preserve"> </w:t>
      </w:r>
      <w:r w:rsidR="00843B21">
        <w:rPr>
          <w:lang w:val="en-US" w:eastAsia="zh-CN"/>
        </w:rPr>
        <w:t>Metadata</w:t>
      </w:r>
      <w:bookmarkEnd w:id="149"/>
    </w:p>
    <w:p w:rsidR="00843B21" w:rsidRPr="00837E60" w:rsidRDefault="00843B21" w:rsidP="00837E60">
      <w:pPr>
        <w:rPr>
          <w:lang w:val="en-US" w:eastAsia="zh-CN"/>
        </w:rPr>
      </w:pPr>
      <w:r>
        <w:rPr>
          <w:lang w:val="en-US" w:eastAsia="zh-CN"/>
        </w:rPr>
        <w:t>The following clause describes the App</w:t>
      </w:r>
      <w:r w:rsidR="00C86764">
        <w:rPr>
          <w:lang w:val="en-US" w:eastAsia="zh-CN"/>
        </w:rPr>
        <w:t>-</w:t>
      </w:r>
      <w:r>
        <w:rPr>
          <w:lang w:val="en-US" w:eastAsia="zh-CN"/>
        </w:rPr>
        <w:t xml:space="preserve">ID Registry </w:t>
      </w:r>
      <w:r w:rsidR="00C86764">
        <w:rPr>
          <w:lang w:val="en-US" w:eastAsia="zh-CN"/>
        </w:rPr>
        <w:t xml:space="preserve">Function </w:t>
      </w:r>
      <w:r>
        <w:rPr>
          <w:lang w:val="en-US" w:eastAsia="zh-CN"/>
        </w:rPr>
        <w:t>metadata</w:t>
      </w:r>
      <w:r w:rsidR="00C86764">
        <w:rPr>
          <w:lang w:val="en-US" w:eastAsia="zh-CN"/>
        </w:rPr>
        <w:t>.</w:t>
      </w:r>
      <w:r>
        <w:rPr>
          <w:lang w:val="en-US" w:eastAsia="zh-CN"/>
        </w:rPr>
        <w:t xml:space="preserve"> </w:t>
      </w:r>
    </w:p>
    <w:p w:rsidR="00843B21" w:rsidRDefault="00B007B6" w:rsidP="00843B21">
      <w:pPr>
        <w:pStyle w:val="Heading2"/>
        <w:rPr>
          <w:lang w:eastAsia="zh-CN"/>
        </w:rPr>
      </w:pPr>
      <w:bookmarkStart w:id="150" w:name="_Toc508958795"/>
      <w:r>
        <w:rPr>
          <w:sz w:val="28"/>
          <w:lang w:val="en-US" w:eastAsia="zh-CN"/>
        </w:rPr>
        <w:t>8</w:t>
      </w:r>
      <w:r w:rsidR="00210ED4">
        <w:rPr>
          <w:sz w:val="28"/>
          <w:lang w:val="en-US" w:eastAsia="zh-CN"/>
        </w:rPr>
        <w:t>.1</w:t>
      </w:r>
      <w:r w:rsidR="00210ED4">
        <w:rPr>
          <w:sz w:val="28"/>
          <w:lang w:val="en-US" w:eastAsia="zh-CN"/>
        </w:rPr>
        <w:tab/>
      </w:r>
      <w:r w:rsidR="00843B21" w:rsidRPr="00456141">
        <w:rPr>
          <w:sz w:val="28"/>
          <w:lang w:val="en-US" w:eastAsia="zh-CN"/>
        </w:rPr>
        <w:t xml:space="preserve">App-ID Registry </w:t>
      </w:r>
      <w:r w:rsidR="00843B21" w:rsidRPr="00456141">
        <w:rPr>
          <w:sz w:val="28"/>
          <w:lang w:eastAsia="zh-CN"/>
        </w:rPr>
        <w:t>Function</w:t>
      </w:r>
      <w:r w:rsidR="00843B21">
        <w:rPr>
          <w:sz w:val="28"/>
          <w:lang w:val="en-US" w:eastAsia="zh-CN"/>
        </w:rPr>
        <w:t xml:space="preserve"> </w:t>
      </w:r>
      <w:r w:rsidR="00843B21" w:rsidRPr="00456141">
        <w:rPr>
          <w:sz w:val="28"/>
          <w:lang w:eastAsia="zh-CN"/>
        </w:rPr>
        <w:t xml:space="preserve">– Metadata related </w:t>
      </w:r>
      <w:r w:rsidR="00843B21" w:rsidRPr="00456141">
        <w:rPr>
          <w:sz w:val="28"/>
        </w:rPr>
        <w:t>Requirements</w:t>
      </w:r>
      <w:bookmarkEnd w:id="150"/>
    </w:p>
    <w:p w:rsidR="00843B21" w:rsidRDefault="00843B21" w:rsidP="00843B21">
      <w:pPr>
        <w:rPr>
          <w:lang w:val="en-US"/>
        </w:rPr>
      </w:pPr>
      <w:r>
        <w:rPr>
          <w:lang w:val="en-US"/>
        </w:rPr>
        <w:t xml:space="preserve">The following is a list of basic requirements </w:t>
      </w:r>
      <w:r>
        <w:rPr>
          <w:lang w:val="en-US" w:eastAsia="zh-CN"/>
        </w:rPr>
        <w:t xml:space="preserve">to be considered in </w:t>
      </w:r>
      <w:r>
        <w:rPr>
          <w:lang w:val="en-US"/>
        </w:rPr>
        <w:t>design and analysis of</w:t>
      </w:r>
      <w:r>
        <w:rPr>
          <w:lang w:val="en-US" w:eastAsia="zh-CN"/>
        </w:rPr>
        <w:t xml:space="preserve"> the App-ID Registry Function:</w:t>
      </w:r>
      <w:r>
        <w:rPr>
          <w:lang w:val="en-US"/>
        </w:rPr>
        <w:t>-</w:t>
      </w:r>
    </w:p>
    <w:p w:rsidR="00843B21" w:rsidRDefault="00843B21" w:rsidP="00843B21">
      <w:pPr>
        <w:ind w:left="420"/>
        <w:textAlignment w:val="auto"/>
        <w:rPr>
          <w:lang w:eastAsia="zh-CN"/>
        </w:rPr>
      </w:pPr>
      <w:r>
        <w:rPr>
          <w:lang w:val="en-US" w:eastAsia="zh-CN"/>
        </w:rPr>
        <w:t>1, The App-ID Registry Function shall allow registration of App-ID together with application metadata.</w:t>
      </w:r>
    </w:p>
    <w:p w:rsidR="00843B21" w:rsidRDefault="00843B21" w:rsidP="00843B21">
      <w:pPr>
        <w:ind w:left="136" w:firstLine="284"/>
        <w:textAlignment w:val="auto"/>
        <w:rPr>
          <w:lang w:eastAsia="zh-CN"/>
        </w:rPr>
      </w:pPr>
      <w:r>
        <w:rPr>
          <w:lang w:val="en-US" w:eastAsia="zh-CN"/>
        </w:rPr>
        <w:t xml:space="preserve">2, The App-ID Registry Function shall support a metadata profile to characterize the M2M application. </w:t>
      </w:r>
    </w:p>
    <w:p w:rsidR="00843B21" w:rsidRDefault="00843B21" w:rsidP="00843B21">
      <w:pPr>
        <w:ind w:left="136" w:firstLine="284"/>
        <w:textAlignment w:val="auto"/>
        <w:rPr>
          <w:lang w:eastAsia="zh-CN"/>
        </w:rPr>
      </w:pPr>
      <w:r>
        <w:rPr>
          <w:lang w:eastAsia="zh-CN"/>
        </w:rPr>
        <w:t xml:space="preserve">3, The App-ID Registry Function shall provide upon request a M2M Service infrastructure with the application metadata corresponding to a registered App-ID. </w:t>
      </w:r>
    </w:p>
    <w:p w:rsidR="00843B21" w:rsidRPr="004A42C9" w:rsidRDefault="00B007B6" w:rsidP="00843B21">
      <w:pPr>
        <w:pStyle w:val="Heading2"/>
        <w:rPr>
          <w:lang w:eastAsia="zh-CN"/>
        </w:rPr>
      </w:pPr>
      <w:bookmarkStart w:id="151" w:name="_Toc508958796"/>
      <w:r>
        <w:rPr>
          <w:sz w:val="28"/>
          <w:lang w:val="en-US" w:eastAsia="zh-CN"/>
        </w:rPr>
        <w:t>8</w:t>
      </w:r>
      <w:r w:rsidR="00843B21" w:rsidRPr="004A42C9">
        <w:rPr>
          <w:sz w:val="28"/>
          <w:lang w:val="en-US" w:eastAsia="zh-CN"/>
        </w:rPr>
        <w:t>.</w:t>
      </w:r>
      <w:r w:rsidR="00210ED4">
        <w:rPr>
          <w:sz w:val="28"/>
          <w:lang w:val="en-US" w:eastAsia="zh-CN"/>
        </w:rPr>
        <w:t>2</w:t>
      </w:r>
      <w:r w:rsidR="00210ED4">
        <w:rPr>
          <w:sz w:val="28"/>
          <w:lang w:val="en-US" w:eastAsia="zh-CN"/>
        </w:rPr>
        <w:tab/>
      </w:r>
      <w:r w:rsidR="00843B21" w:rsidRPr="004A42C9">
        <w:rPr>
          <w:sz w:val="28"/>
          <w:lang w:val="en-US" w:eastAsia="zh-CN"/>
        </w:rPr>
        <w:t xml:space="preserve">App-ID </w:t>
      </w:r>
      <w:r w:rsidR="00843B21" w:rsidRPr="004A42C9">
        <w:rPr>
          <w:sz w:val="28"/>
          <w:lang w:eastAsia="zh-CN"/>
        </w:rPr>
        <w:t>Metadata</w:t>
      </w:r>
      <w:bookmarkEnd w:id="151"/>
      <w:r w:rsidR="00843B21" w:rsidRPr="004A42C9">
        <w:rPr>
          <w:sz w:val="28"/>
          <w:lang w:eastAsia="zh-CN"/>
        </w:rPr>
        <w:t xml:space="preserve"> </w:t>
      </w:r>
    </w:p>
    <w:p w:rsidR="00843B21" w:rsidRPr="005D6861" w:rsidRDefault="00843B21" w:rsidP="00843B21">
      <w:pPr>
        <w:rPr>
          <w:lang w:eastAsia="zh-CN"/>
        </w:rPr>
      </w:pPr>
      <w:r w:rsidRPr="005D6861">
        <w:rPr>
          <w:lang w:eastAsia="zh-CN"/>
        </w:rPr>
        <w:t>The App-ID Registry Function provides metadata for each registered App-ID and the</w:t>
      </w:r>
      <w:r w:rsidRPr="004A42C9">
        <w:rPr>
          <w:lang w:eastAsia="zh-CN"/>
        </w:rPr>
        <w:t xml:space="preserve"> corresponding AE-IDs. The metadata assigned to the App-ID will be used to address the needs of the use cases described in clause </w:t>
      </w:r>
      <w:r w:rsidR="00860CD3">
        <w:rPr>
          <w:lang w:eastAsia="zh-CN"/>
        </w:rPr>
        <w:t>6</w:t>
      </w:r>
      <w:r w:rsidRPr="004A42C9">
        <w:rPr>
          <w:lang w:eastAsia="zh-CN"/>
        </w:rPr>
        <w:t>.</w:t>
      </w:r>
      <w:r w:rsidRPr="005D6861">
        <w:rPr>
          <w:lang w:eastAsia="zh-CN"/>
        </w:rPr>
        <w:t xml:space="preserve"> The following table provides the candidate list of App-ID metadata attributes defined into </w:t>
      </w:r>
      <w:r w:rsidR="00860CD3">
        <w:rPr>
          <w:lang w:eastAsia="zh-CN"/>
        </w:rPr>
        <w:t>the use cases</w:t>
      </w:r>
      <w:r w:rsidRPr="004A42C9">
        <w:rPr>
          <w:lang w:eastAsia="zh-C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1405"/>
        <w:gridCol w:w="3485"/>
        <w:gridCol w:w="3526"/>
      </w:tblGrid>
      <w:tr w:rsidR="00843B21" w:rsidTr="00860CD3">
        <w:tc>
          <w:tcPr>
            <w:tcW w:w="1213" w:type="dxa"/>
            <w:shd w:val="clear" w:color="auto" w:fill="D0CECE"/>
          </w:tcPr>
          <w:p w:rsidR="00843B21" w:rsidRPr="007E6287" w:rsidRDefault="00843B21" w:rsidP="008933FA">
            <w:pPr>
              <w:rPr>
                <w:b/>
                <w:lang w:eastAsia="zh-CN"/>
              </w:rPr>
            </w:pPr>
            <w:r w:rsidRPr="007E6287">
              <w:rPr>
                <w:b/>
                <w:lang w:eastAsia="zh-CN"/>
              </w:rPr>
              <w:t>Group</w:t>
            </w:r>
          </w:p>
        </w:tc>
        <w:tc>
          <w:tcPr>
            <w:tcW w:w="1405" w:type="dxa"/>
            <w:shd w:val="clear" w:color="auto" w:fill="D0CECE"/>
          </w:tcPr>
          <w:p w:rsidR="00843B21" w:rsidRPr="007E6287" w:rsidRDefault="00843B21" w:rsidP="008933FA">
            <w:pPr>
              <w:rPr>
                <w:b/>
                <w:lang w:eastAsia="zh-CN"/>
              </w:rPr>
            </w:pPr>
            <w:r w:rsidRPr="007E6287">
              <w:rPr>
                <w:b/>
                <w:lang w:eastAsia="zh-CN"/>
              </w:rPr>
              <w:t xml:space="preserve">Attribute </w:t>
            </w:r>
          </w:p>
        </w:tc>
        <w:tc>
          <w:tcPr>
            <w:tcW w:w="3485" w:type="dxa"/>
            <w:shd w:val="clear" w:color="auto" w:fill="D0CECE"/>
          </w:tcPr>
          <w:p w:rsidR="00843B21" w:rsidRPr="007E6287" w:rsidRDefault="00843B21" w:rsidP="008933FA">
            <w:pPr>
              <w:rPr>
                <w:b/>
                <w:lang w:eastAsia="zh-CN"/>
              </w:rPr>
            </w:pPr>
            <w:r w:rsidRPr="007E6287">
              <w:rPr>
                <w:b/>
                <w:lang w:eastAsia="zh-CN"/>
              </w:rPr>
              <w:t xml:space="preserve">Description </w:t>
            </w:r>
            <w:r>
              <w:rPr>
                <w:b/>
                <w:lang w:eastAsia="zh-CN"/>
              </w:rPr>
              <w:t>of use</w:t>
            </w:r>
          </w:p>
        </w:tc>
        <w:tc>
          <w:tcPr>
            <w:tcW w:w="3526" w:type="dxa"/>
            <w:shd w:val="clear" w:color="auto" w:fill="D0CECE"/>
          </w:tcPr>
          <w:p w:rsidR="00843B21" w:rsidRPr="007E6287" w:rsidRDefault="00843B21" w:rsidP="008933FA">
            <w:pPr>
              <w:rPr>
                <w:b/>
                <w:lang w:eastAsia="zh-CN"/>
              </w:rPr>
            </w:pPr>
            <w:r>
              <w:rPr>
                <w:b/>
                <w:lang w:eastAsia="zh-CN"/>
              </w:rPr>
              <w:t xml:space="preserve">Address Use Case </w:t>
            </w:r>
            <w:r w:rsidRPr="007E6287">
              <w:rPr>
                <w:b/>
                <w:lang w:eastAsia="zh-CN"/>
              </w:rPr>
              <w:t xml:space="preserve"> </w:t>
            </w:r>
            <w:r>
              <w:rPr>
                <w:b/>
                <w:lang w:eastAsia="zh-CN"/>
              </w:rPr>
              <w:t>#</w:t>
            </w:r>
          </w:p>
        </w:tc>
      </w:tr>
      <w:tr w:rsidR="00843B21" w:rsidTr="00860CD3">
        <w:tc>
          <w:tcPr>
            <w:tcW w:w="1213" w:type="dxa"/>
            <w:shd w:val="clear" w:color="auto" w:fill="auto"/>
          </w:tcPr>
          <w:p w:rsidR="00843B21" w:rsidRDefault="00843B21" w:rsidP="008933FA">
            <w:pPr>
              <w:rPr>
                <w:lang w:eastAsia="zh-CN"/>
              </w:rPr>
            </w:pPr>
            <w:r>
              <w:rPr>
                <w:lang w:eastAsia="zh-CN"/>
              </w:rPr>
              <w:t>Type</w:t>
            </w:r>
          </w:p>
        </w:tc>
        <w:tc>
          <w:tcPr>
            <w:tcW w:w="1405" w:type="dxa"/>
            <w:shd w:val="clear" w:color="auto" w:fill="auto"/>
          </w:tcPr>
          <w:p w:rsidR="00843B21" w:rsidRDefault="00843B21" w:rsidP="008933FA">
            <w:pPr>
              <w:rPr>
                <w:lang w:eastAsia="zh-CN"/>
              </w:rPr>
            </w:pPr>
            <w:r>
              <w:rPr>
                <w:lang w:eastAsia="zh-CN"/>
              </w:rPr>
              <w:t xml:space="preserve">Vertical application type </w:t>
            </w:r>
          </w:p>
        </w:tc>
        <w:tc>
          <w:tcPr>
            <w:tcW w:w="3485" w:type="dxa"/>
            <w:shd w:val="clear" w:color="auto" w:fill="auto"/>
          </w:tcPr>
          <w:p w:rsidR="00843B21" w:rsidRDefault="00843B21" w:rsidP="008933FA">
            <w:pPr>
              <w:rPr>
                <w:lang w:eastAsia="zh-CN"/>
              </w:rPr>
            </w:pPr>
            <w:r>
              <w:rPr>
                <w:lang w:eastAsia="zh-CN"/>
              </w:rPr>
              <w:t xml:space="preserve">The vertical application type is used to determine if the application type is valid for the specific vertical service. Example types are:- </w:t>
            </w:r>
          </w:p>
          <w:p w:rsidR="00843B21" w:rsidRDefault="00843B21" w:rsidP="00FB7427">
            <w:pPr>
              <w:numPr>
                <w:ilvl w:val="0"/>
                <w:numId w:val="24"/>
              </w:numPr>
              <w:rPr>
                <w:lang w:eastAsia="zh-CN"/>
              </w:rPr>
            </w:pPr>
            <w:r>
              <w:rPr>
                <w:lang w:eastAsia="zh-CN"/>
              </w:rPr>
              <w:t>Home Automation</w:t>
            </w:r>
          </w:p>
          <w:p w:rsidR="00843B21" w:rsidRDefault="00843B21" w:rsidP="00FB7427">
            <w:pPr>
              <w:numPr>
                <w:ilvl w:val="0"/>
                <w:numId w:val="24"/>
              </w:numPr>
              <w:rPr>
                <w:lang w:eastAsia="zh-CN"/>
              </w:rPr>
            </w:pPr>
            <w:r>
              <w:rPr>
                <w:lang w:eastAsia="zh-CN"/>
              </w:rPr>
              <w:t>Healthcare</w:t>
            </w:r>
          </w:p>
          <w:p w:rsidR="00843B21" w:rsidRDefault="00843B21" w:rsidP="00FB7427">
            <w:pPr>
              <w:numPr>
                <w:ilvl w:val="0"/>
                <w:numId w:val="24"/>
              </w:numPr>
              <w:rPr>
                <w:lang w:eastAsia="zh-CN"/>
              </w:rPr>
            </w:pPr>
            <w:r>
              <w:rPr>
                <w:lang w:eastAsia="zh-CN"/>
              </w:rPr>
              <w:t>Automotive</w:t>
            </w:r>
          </w:p>
          <w:p w:rsidR="00843B21" w:rsidRDefault="00843B21" w:rsidP="00FB7427">
            <w:pPr>
              <w:numPr>
                <w:ilvl w:val="0"/>
                <w:numId w:val="24"/>
              </w:numPr>
              <w:rPr>
                <w:lang w:eastAsia="zh-CN"/>
              </w:rPr>
            </w:pPr>
            <w:r>
              <w:rPr>
                <w:lang w:eastAsia="zh-CN"/>
              </w:rPr>
              <w:t>Energy</w:t>
            </w:r>
          </w:p>
          <w:p w:rsidR="00843B21" w:rsidRDefault="00843B21" w:rsidP="00FB7427">
            <w:pPr>
              <w:numPr>
                <w:ilvl w:val="0"/>
                <w:numId w:val="24"/>
              </w:numPr>
              <w:rPr>
                <w:lang w:eastAsia="zh-CN"/>
              </w:rPr>
            </w:pPr>
            <w:r>
              <w:rPr>
                <w:lang w:eastAsia="zh-CN"/>
              </w:rPr>
              <w:t>Industrial</w:t>
            </w:r>
          </w:p>
        </w:tc>
        <w:tc>
          <w:tcPr>
            <w:tcW w:w="3526" w:type="dxa"/>
            <w:shd w:val="clear" w:color="auto" w:fill="auto"/>
          </w:tcPr>
          <w:p w:rsidR="00843B21" w:rsidRDefault="00843B21" w:rsidP="008933FA">
            <w:pPr>
              <w:rPr>
                <w:lang w:eastAsia="zh-CN"/>
              </w:rPr>
            </w:pPr>
            <w:r>
              <w:rPr>
                <w:lang w:eastAsia="zh-CN"/>
              </w:rPr>
              <w:t xml:space="preserve">Use Case: 1: to verify the identity of the type of device for access control. </w:t>
            </w:r>
          </w:p>
          <w:p w:rsidR="00843B21" w:rsidRDefault="00843B21" w:rsidP="008933FA">
            <w:pPr>
              <w:rPr>
                <w:lang w:eastAsia="zh-CN"/>
              </w:rPr>
            </w:pPr>
          </w:p>
          <w:p w:rsidR="00843B21" w:rsidRDefault="00843B21" w:rsidP="008933FA">
            <w:pPr>
              <w:rPr>
                <w:lang w:eastAsia="zh-CN"/>
              </w:rPr>
            </w:pPr>
            <w:r>
              <w:rPr>
                <w:lang w:eastAsia="zh-CN"/>
              </w:rPr>
              <w:t xml:space="preserve">Use Case 3: to allocate an appropriate </w:t>
            </w:r>
            <w:r w:rsidRPr="00873DE4">
              <w:t>&lt;serviceSubscribedAppRule</w:t>
            </w:r>
            <w:r>
              <w:t xml:space="preserve">&gt; for the type of application </w:t>
            </w:r>
          </w:p>
        </w:tc>
      </w:tr>
      <w:tr w:rsidR="00843B21" w:rsidTr="00860CD3">
        <w:tc>
          <w:tcPr>
            <w:tcW w:w="1213" w:type="dxa"/>
            <w:shd w:val="clear" w:color="auto" w:fill="auto"/>
          </w:tcPr>
          <w:p w:rsidR="00843B21" w:rsidRDefault="00843B21" w:rsidP="008933FA">
            <w:pPr>
              <w:rPr>
                <w:lang w:eastAsia="zh-CN"/>
              </w:rPr>
            </w:pPr>
            <w:r>
              <w:rPr>
                <w:lang w:eastAsia="zh-CN"/>
              </w:rPr>
              <w:lastRenderedPageBreak/>
              <w:t>Type</w:t>
            </w:r>
          </w:p>
        </w:tc>
        <w:tc>
          <w:tcPr>
            <w:tcW w:w="1405" w:type="dxa"/>
            <w:shd w:val="clear" w:color="auto" w:fill="auto"/>
          </w:tcPr>
          <w:p w:rsidR="00843B21" w:rsidRDefault="00843B21" w:rsidP="008933FA">
            <w:pPr>
              <w:rPr>
                <w:lang w:eastAsia="zh-CN"/>
              </w:rPr>
            </w:pPr>
            <w:r>
              <w:rPr>
                <w:lang w:eastAsia="zh-CN"/>
              </w:rPr>
              <w:t>Application Unique Type</w:t>
            </w:r>
          </w:p>
        </w:tc>
        <w:tc>
          <w:tcPr>
            <w:tcW w:w="3485" w:type="dxa"/>
            <w:shd w:val="clear" w:color="auto" w:fill="auto"/>
          </w:tcPr>
          <w:p w:rsidR="00843B21" w:rsidRDefault="00843B21" w:rsidP="008933FA">
            <w:pPr>
              <w:rPr>
                <w:lang w:eastAsia="zh-CN"/>
              </w:rPr>
            </w:pPr>
            <w:r>
              <w:rPr>
                <w:lang w:eastAsia="zh-CN"/>
              </w:rPr>
              <w:t xml:space="preserve">The specific type of application within the vertical, for example for Home Automation. Example types are :- </w:t>
            </w:r>
          </w:p>
          <w:p w:rsidR="00843B21" w:rsidRDefault="00843B21" w:rsidP="00FB7427">
            <w:pPr>
              <w:numPr>
                <w:ilvl w:val="0"/>
                <w:numId w:val="25"/>
              </w:numPr>
              <w:rPr>
                <w:lang w:eastAsia="zh-CN"/>
              </w:rPr>
            </w:pPr>
            <w:r>
              <w:rPr>
                <w:lang w:eastAsia="zh-CN"/>
              </w:rPr>
              <w:t>Light Switch</w:t>
            </w:r>
          </w:p>
          <w:p w:rsidR="00843B21" w:rsidRDefault="00843B21" w:rsidP="00FB7427">
            <w:pPr>
              <w:numPr>
                <w:ilvl w:val="0"/>
                <w:numId w:val="25"/>
              </w:numPr>
              <w:rPr>
                <w:lang w:eastAsia="zh-CN"/>
              </w:rPr>
            </w:pPr>
            <w:r>
              <w:rPr>
                <w:lang w:eastAsia="zh-CN"/>
              </w:rPr>
              <w:t>Thermostat</w:t>
            </w:r>
          </w:p>
          <w:p w:rsidR="00843B21" w:rsidRDefault="00843B21" w:rsidP="00FB7427">
            <w:pPr>
              <w:numPr>
                <w:ilvl w:val="0"/>
                <w:numId w:val="25"/>
              </w:numPr>
              <w:rPr>
                <w:lang w:eastAsia="zh-CN"/>
              </w:rPr>
            </w:pPr>
            <w:r>
              <w:rPr>
                <w:lang w:eastAsia="zh-CN"/>
              </w:rPr>
              <w:t>Camera</w:t>
            </w:r>
          </w:p>
        </w:tc>
        <w:tc>
          <w:tcPr>
            <w:tcW w:w="3526" w:type="dxa"/>
            <w:shd w:val="clear" w:color="auto" w:fill="auto"/>
          </w:tcPr>
          <w:p w:rsidR="00843B21" w:rsidRDefault="00843B21" w:rsidP="008933FA">
            <w:pPr>
              <w:rPr>
                <w:lang w:eastAsia="zh-CN"/>
              </w:rPr>
            </w:pPr>
            <w:r>
              <w:rPr>
                <w:lang w:eastAsia="zh-CN"/>
              </w:rPr>
              <w:t xml:space="preserve">Use Case: 1: to verify the identity of the type of device for access control. </w:t>
            </w:r>
          </w:p>
          <w:p w:rsidR="00843B21" w:rsidRDefault="00843B21" w:rsidP="008933FA">
            <w:pPr>
              <w:rPr>
                <w:lang w:eastAsia="zh-CN"/>
              </w:rPr>
            </w:pPr>
          </w:p>
          <w:p w:rsidR="00843B21" w:rsidRDefault="00843B21" w:rsidP="008933FA">
            <w:pPr>
              <w:rPr>
                <w:lang w:eastAsia="zh-CN"/>
              </w:rPr>
            </w:pPr>
            <w:r>
              <w:rPr>
                <w:lang w:eastAsia="zh-CN"/>
              </w:rPr>
              <w:t xml:space="preserve">Use Case 3: to allocate an appropriate </w:t>
            </w:r>
            <w:r w:rsidRPr="00873DE4">
              <w:t>&lt;serviceSubscribedAppRule</w:t>
            </w:r>
            <w:r>
              <w:t>&gt; for the type of application</w:t>
            </w:r>
          </w:p>
        </w:tc>
      </w:tr>
      <w:tr w:rsidR="00843B21" w:rsidTr="00860CD3">
        <w:tc>
          <w:tcPr>
            <w:tcW w:w="1213" w:type="dxa"/>
            <w:shd w:val="clear" w:color="auto" w:fill="auto"/>
          </w:tcPr>
          <w:p w:rsidR="00843B21" w:rsidRDefault="00843B21" w:rsidP="008933FA">
            <w:pPr>
              <w:rPr>
                <w:lang w:eastAsia="zh-CN"/>
              </w:rPr>
            </w:pPr>
            <w:r>
              <w:rPr>
                <w:lang w:eastAsia="zh-CN"/>
              </w:rPr>
              <w:t xml:space="preserve">Capability </w:t>
            </w:r>
          </w:p>
        </w:tc>
        <w:tc>
          <w:tcPr>
            <w:tcW w:w="1405" w:type="dxa"/>
            <w:shd w:val="clear" w:color="auto" w:fill="auto"/>
          </w:tcPr>
          <w:p w:rsidR="00843B21" w:rsidRDefault="00843B21" w:rsidP="008933FA">
            <w:pPr>
              <w:rPr>
                <w:lang w:eastAsia="zh-CN"/>
              </w:rPr>
            </w:pPr>
            <w:r>
              <w:rPr>
                <w:lang w:eastAsia="zh-CN"/>
              </w:rPr>
              <w:t xml:space="preserve">Application Data Resources  </w:t>
            </w:r>
          </w:p>
        </w:tc>
        <w:tc>
          <w:tcPr>
            <w:tcW w:w="3485" w:type="dxa"/>
            <w:shd w:val="clear" w:color="auto" w:fill="auto"/>
          </w:tcPr>
          <w:p w:rsidR="00843B21" w:rsidRDefault="00843B21" w:rsidP="008933FA">
            <w:pPr>
              <w:rPr>
                <w:lang w:eastAsia="zh-CN"/>
              </w:rPr>
            </w:pPr>
            <w:r>
              <w:rPr>
                <w:lang w:eastAsia="zh-CN"/>
              </w:rPr>
              <w:t xml:space="preserve">How resource intensive the application is for projecting data. This metadata is used to create system resources appropriate to support the application data. </w:t>
            </w:r>
          </w:p>
        </w:tc>
        <w:tc>
          <w:tcPr>
            <w:tcW w:w="3526" w:type="dxa"/>
            <w:shd w:val="clear" w:color="auto" w:fill="auto"/>
          </w:tcPr>
          <w:p w:rsidR="00843B21" w:rsidRDefault="00843B21" w:rsidP="008933FA">
            <w:pPr>
              <w:rPr>
                <w:lang w:eastAsia="zh-CN"/>
              </w:rPr>
            </w:pPr>
            <w:r>
              <w:rPr>
                <w:lang w:eastAsia="zh-CN"/>
              </w:rPr>
              <w:t xml:space="preserve">Use Case 3: to allocate an appropriate </w:t>
            </w:r>
            <w:r w:rsidRPr="00873DE4">
              <w:t>&lt;serviceSubscribedAppRule</w:t>
            </w:r>
            <w:r>
              <w:t>&gt; for the type of application</w:t>
            </w:r>
          </w:p>
        </w:tc>
      </w:tr>
      <w:tr w:rsidR="00843B21" w:rsidTr="00860CD3">
        <w:tc>
          <w:tcPr>
            <w:tcW w:w="1213" w:type="dxa"/>
            <w:shd w:val="clear" w:color="auto" w:fill="auto"/>
          </w:tcPr>
          <w:p w:rsidR="00843B21" w:rsidRPr="00B0430F" w:rsidRDefault="00843B21" w:rsidP="008933FA">
            <w:pPr>
              <w:rPr>
                <w:lang w:eastAsia="zh-CN"/>
              </w:rPr>
            </w:pPr>
            <w:r w:rsidRPr="00B0430F">
              <w:rPr>
                <w:lang w:eastAsia="zh-CN"/>
              </w:rPr>
              <w:t>Data Definition</w:t>
            </w:r>
          </w:p>
        </w:tc>
        <w:tc>
          <w:tcPr>
            <w:tcW w:w="1405" w:type="dxa"/>
            <w:shd w:val="clear" w:color="auto" w:fill="auto"/>
          </w:tcPr>
          <w:p w:rsidR="00843B21" w:rsidRDefault="00843B21" w:rsidP="008933FA">
            <w:pPr>
              <w:rPr>
                <w:lang w:eastAsia="zh-CN"/>
              </w:rPr>
            </w:pPr>
            <w:r>
              <w:rPr>
                <w:lang w:eastAsia="zh-CN"/>
              </w:rPr>
              <w:t xml:space="preserve">The application data model </w:t>
            </w:r>
          </w:p>
        </w:tc>
        <w:tc>
          <w:tcPr>
            <w:tcW w:w="3485" w:type="dxa"/>
            <w:shd w:val="clear" w:color="auto" w:fill="auto"/>
          </w:tcPr>
          <w:p w:rsidR="00843B21" w:rsidRDefault="00843B21" w:rsidP="008933FA">
            <w:pPr>
              <w:rPr>
                <w:lang w:eastAsia="zh-CN"/>
              </w:rPr>
            </w:pPr>
            <w:r>
              <w:rPr>
                <w:lang w:eastAsia="zh-CN"/>
              </w:rPr>
              <w:t xml:space="preserve">The application native data model definition. This can be a URL to an XML file describing the data model. </w:t>
            </w:r>
          </w:p>
          <w:p w:rsidR="00843B21" w:rsidRDefault="00843B21" w:rsidP="008933FA">
            <w:pPr>
              <w:rPr>
                <w:lang w:eastAsia="zh-CN"/>
              </w:rPr>
            </w:pPr>
            <w:r>
              <w:rPr>
                <w:lang w:eastAsia="zh-CN"/>
              </w:rPr>
              <w:t xml:space="preserve">Used to verify the application data / resource is the same way as the registered data model for the application identity. </w:t>
            </w:r>
          </w:p>
        </w:tc>
        <w:tc>
          <w:tcPr>
            <w:tcW w:w="3526" w:type="dxa"/>
            <w:shd w:val="clear" w:color="auto" w:fill="auto"/>
          </w:tcPr>
          <w:p w:rsidR="00843B21" w:rsidRDefault="00843B21" w:rsidP="008933FA">
            <w:pPr>
              <w:rPr>
                <w:lang w:eastAsia="zh-CN"/>
              </w:rPr>
            </w:pPr>
            <w:r>
              <w:rPr>
                <w:lang w:eastAsia="zh-CN"/>
              </w:rPr>
              <w:t xml:space="preserve">Use Case 1: To verify the identity of the application, comparing the presented resources from the device with the reference metadata data model. </w:t>
            </w:r>
          </w:p>
          <w:p w:rsidR="00843B21" w:rsidRDefault="00843B21" w:rsidP="008933FA">
            <w:r>
              <w:rPr>
                <w:lang w:eastAsia="zh-CN"/>
              </w:rPr>
              <w:t xml:space="preserve">Use Case 3: to allocate an appropriate </w:t>
            </w:r>
            <w:r w:rsidRPr="00873DE4">
              <w:t>&lt;serviceSubscribedAppRule</w:t>
            </w:r>
            <w:r>
              <w:t>&gt; for the type of application</w:t>
            </w:r>
          </w:p>
        </w:tc>
      </w:tr>
      <w:tr w:rsidR="00843B21" w:rsidTr="00860CD3">
        <w:tc>
          <w:tcPr>
            <w:tcW w:w="1213" w:type="dxa"/>
            <w:shd w:val="clear" w:color="auto" w:fill="auto"/>
          </w:tcPr>
          <w:p w:rsidR="00843B21" w:rsidRPr="00B0430F" w:rsidRDefault="00843B21" w:rsidP="008933FA">
            <w:pPr>
              <w:rPr>
                <w:lang w:eastAsia="zh-CN"/>
              </w:rPr>
            </w:pPr>
            <w:r w:rsidRPr="00B0430F">
              <w:rPr>
                <w:lang w:eastAsia="zh-CN"/>
              </w:rPr>
              <w:t>Data Definition</w:t>
            </w:r>
          </w:p>
        </w:tc>
        <w:tc>
          <w:tcPr>
            <w:tcW w:w="1405" w:type="dxa"/>
            <w:shd w:val="clear" w:color="auto" w:fill="auto"/>
          </w:tcPr>
          <w:p w:rsidR="00843B21" w:rsidRDefault="00843B21" w:rsidP="008933FA">
            <w:pPr>
              <w:rPr>
                <w:lang w:eastAsia="zh-CN"/>
              </w:rPr>
            </w:pPr>
            <w:r>
              <w:rPr>
                <w:lang w:eastAsia="zh-CN"/>
              </w:rPr>
              <w:t xml:space="preserve">Mapping to oneM2M base ontology </w:t>
            </w:r>
          </w:p>
        </w:tc>
        <w:tc>
          <w:tcPr>
            <w:tcW w:w="3485" w:type="dxa"/>
            <w:shd w:val="clear" w:color="auto" w:fill="auto"/>
          </w:tcPr>
          <w:p w:rsidR="00843B21" w:rsidRDefault="00843B21" w:rsidP="008933FA">
            <w:pPr>
              <w:rPr>
                <w:lang w:eastAsia="zh-CN"/>
              </w:rPr>
            </w:pPr>
            <w:r>
              <w:rPr>
                <w:lang w:eastAsia="zh-CN"/>
              </w:rPr>
              <w:t>Mapping of the applications native data model to a specific oneM2M base o</w:t>
            </w:r>
            <w:r w:rsidRPr="00B0430F">
              <w:rPr>
                <w:lang w:eastAsia="zh-CN"/>
              </w:rPr>
              <w:t>ntolog</w:t>
            </w:r>
            <w:r>
              <w:rPr>
                <w:lang w:eastAsia="zh-CN"/>
              </w:rPr>
              <w:t>y to provide s</w:t>
            </w:r>
            <w:r w:rsidRPr="00B0430F">
              <w:rPr>
                <w:lang w:eastAsia="zh-CN"/>
              </w:rPr>
              <w:t>yntactic interoperability</w:t>
            </w:r>
            <w:r>
              <w:rPr>
                <w:lang w:eastAsia="zh-CN"/>
              </w:rPr>
              <w:t>.</w:t>
            </w:r>
          </w:p>
        </w:tc>
        <w:tc>
          <w:tcPr>
            <w:tcW w:w="3526" w:type="dxa"/>
            <w:shd w:val="clear" w:color="auto" w:fill="auto"/>
          </w:tcPr>
          <w:p w:rsidR="00843B21" w:rsidRDefault="00843B21" w:rsidP="008933FA">
            <w:pPr>
              <w:rPr>
                <w:lang w:eastAsia="zh-CN"/>
              </w:rPr>
            </w:pPr>
            <w:r>
              <w:rPr>
                <w:lang w:eastAsia="zh-CN"/>
              </w:rPr>
              <w:t>Use Case 4: to map the native data model to the base o</w:t>
            </w:r>
            <w:r w:rsidRPr="00B0430F">
              <w:rPr>
                <w:lang w:eastAsia="zh-CN"/>
              </w:rPr>
              <w:t>ntolog</w:t>
            </w:r>
            <w:r>
              <w:rPr>
                <w:lang w:eastAsia="zh-CN"/>
              </w:rPr>
              <w:t>y</w:t>
            </w:r>
          </w:p>
        </w:tc>
      </w:tr>
      <w:tr w:rsidR="00843B21" w:rsidTr="00860CD3">
        <w:tc>
          <w:tcPr>
            <w:tcW w:w="1213" w:type="dxa"/>
            <w:shd w:val="clear" w:color="auto" w:fill="auto"/>
          </w:tcPr>
          <w:p w:rsidR="00843B21" w:rsidRDefault="00843B21" w:rsidP="008933FA">
            <w:pPr>
              <w:rPr>
                <w:lang w:eastAsia="zh-CN"/>
              </w:rPr>
            </w:pPr>
            <w:r>
              <w:rPr>
                <w:lang w:eastAsia="zh-CN"/>
              </w:rPr>
              <w:t xml:space="preserve">Security </w:t>
            </w:r>
          </w:p>
        </w:tc>
        <w:tc>
          <w:tcPr>
            <w:tcW w:w="1405" w:type="dxa"/>
            <w:shd w:val="clear" w:color="auto" w:fill="auto"/>
          </w:tcPr>
          <w:p w:rsidR="00843B21" w:rsidRDefault="00843B21" w:rsidP="008933FA">
            <w:pPr>
              <w:rPr>
                <w:lang w:eastAsia="zh-CN"/>
              </w:rPr>
            </w:pPr>
            <w:r>
              <w:rPr>
                <w:lang w:eastAsia="zh-CN"/>
              </w:rPr>
              <w:t xml:space="preserve">Application Authentication Type </w:t>
            </w:r>
          </w:p>
        </w:tc>
        <w:tc>
          <w:tcPr>
            <w:tcW w:w="3485" w:type="dxa"/>
            <w:shd w:val="clear" w:color="auto" w:fill="auto"/>
          </w:tcPr>
          <w:p w:rsidR="00843B21" w:rsidRDefault="00843B21" w:rsidP="008933FA">
            <w:pPr>
              <w:rPr>
                <w:lang w:val="en-US" w:eastAsia="zh-CN"/>
              </w:rPr>
            </w:pPr>
            <w:r w:rsidRPr="007E6287">
              <w:rPr>
                <w:lang w:val="en-US" w:eastAsia="zh-CN"/>
              </w:rPr>
              <w:t>Authentication Type :- RPK, PSK, PKI</w:t>
            </w:r>
          </w:p>
          <w:p w:rsidR="00843B21" w:rsidRPr="007E6287" w:rsidRDefault="00843B21" w:rsidP="008933FA">
            <w:pPr>
              <w:rPr>
                <w:lang w:val="en-US" w:eastAsia="zh-CN"/>
              </w:rPr>
            </w:pPr>
            <w:r>
              <w:rPr>
                <w:lang w:val="en-US" w:eastAsia="zh-CN"/>
              </w:rPr>
              <w:t xml:space="preserve">This metadata is used to establish the authentication capabilities of the connecting application and verify if the authentication type presented by the connecting application is the same as the registered metadata.  </w:t>
            </w:r>
          </w:p>
        </w:tc>
        <w:tc>
          <w:tcPr>
            <w:tcW w:w="3526" w:type="dxa"/>
            <w:shd w:val="clear" w:color="auto" w:fill="auto"/>
          </w:tcPr>
          <w:p w:rsidR="00843B21" w:rsidRDefault="00843B21" w:rsidP="008933FA">
            <w:pPr>
              <w:rPr>
                <w:lang w:eastAsia="zh-CN"/>
              </w:rPr>
            </w:pPr>
            <w:r>
              <w:rPr>
                <w:lang w:eastAsia="zh-CN"/>
              </w:rPr>
              <w:t xml:space="preserve">Use Case 1: To verify the identity of the application, comparing the presented authentication type with the registered metadata.  </w:t>
            </w:r>
          </w:p>
          <w:p w:rsidR="00843B21" w:rsidRDefault="00843B21" w:rsidP="008933FA">
            <w:pPr>
              <w:rPr>
                <w:lang w:eastAsia="zh-CN"/>
              </w:rPr>
            </w:pPr>
          </w:p>
        </w:tc>
      </w:tr>
      <w:tr w:rsidR="00843B21" w:rsidTr="00860CD3">
        <w:tc>
          <w:tcPr>
            <w:tcW w:w="1213" w:type="dxa"/>
            <w:shd w:val="clear" w:color="auto" w:fill="auto"/>
          </w:tcPr>
          <w:p w:rsidR="00843B21" w:rsidRDefault="00843B21" w:rsidP="008933FA">
            <w:pPr>
              <w:rPr>
                <w:lang w:eastAsia="zh-CN"/>
              </w:rPr>
            </w:pPr>
            <w:r>
              <w:rPr>
                <w:lang w:eastAsia="zh-CN"/>
              </w:rPr>
              <w:t xml:space="preserve">Security </w:t>
            </w:r>
          </w:p>
        </w:tc>
        <w:tc>
          <w:tcPr>
            <w:tcW w:w="1405" w:type="dxa"/>
            <w:shd w:val="clear" w:color="auto" w:fill="auto"/>
          </w:tcPr>
          <w:p w:rsidR="00843B21" w:rsidRDefault="00843B21" w:rsidP="008933FA">
            <w:pPr>
              <w:rPr>
                <w:lang w:eastAsia="zh-CN"/>
              </w:rPr>
            </w:pPr>
            <w:r>
              <w:rPr>
                <w:lang w:eastAsia="zh-CN"/>
              </w:rPr>
              <w:t xml:space="preserve">Application Issuing CA </w:t>
            </w:r>
          </w:p>
        </w:tc>
        <w:tc>
          <w:tcPr>
            <w:tcW w:w="3485" w:type="dxa"/>
            <w:shd w:val="clear" w:color="auto" w:fill="auto"/>
          </w:tcPr>
          <w:p w:rsidR="00843B21" w:rsidRDefault="00843B21" w:rsidP="008933FA">
            <w:pPr>
              <w:rPr>
                <w:lang w:eastAsia="zh-CN"/>
              </w:rPr>
            </w:pPr>
            <w:r>
              <w:rPr>
                <w:lang w:eastAsia="zh-CN"/>
              </w:rPr>
              <w:t xml:space="preserve">The URL of the issuing CA when applications are using PKI authentication. </w:t>
            </w:r>
          </w:p>
          <w:p w:rsidR="00843B21" w:rsidRDefault="00843B21" w:rsidP="008933FA">
            <w:pPr>
              <w:rPr>
                <w:lang w:eastAsia="zh-CN"/>
              </w:rPr>
            </w:pPr>
            <w:r>
              <w:rPr>
                <w:lang w:val="en-US" w:eastAsia="zh-CN"/>
              </w:rPr>
              <w:t xml:space="preserve">This metadata is used to verify that the public key URL presented by the connecting application is the same as the registered metadata.  </w:t>
            </w:r>
          </w:p>
        </w:tc>
        <w:tc>
          <w:tcPr>
            <w:tcW w:w="3526" w:type="dxa"/>
            <w:shd w:val="clear" w:color="auto" w:fill="auto"/>
          </w:tcPr>
          <w:p w:rsidR="00843B21" w:rsidRDefault="00843B21" w:rsidP="008933FA">
            <w:pPr>
              <w:rPr>
                <w:lang w:eastAsia="zh-CN"/>
              </w:rPr>
            </w:pPr>
            <w:r>
              <w:rPr>
                <w:lang w:eastAsia="zh-CN"/>
              </w:rPr>
              <w:t xml:space="preserve">Use Case 1: To verify the identity of the application, comparing the presented public Key location with the registered metadata.  </w:t>
            </w:r>
          </w:p>
          <w:p w:rsidR="00843B21" w:rsidRDefault="00843B21" w:rsidP="008933FA">
            <w:pPr>
              <w:rPr>
                <w:lang w:eastAsia="zh-CN"/>
              </w:rPr>
            </w:pPr>
          </w:p>
        </w:tc>
      </w:tr>
      <w:tr w:rsidR="00843B21" w:rsidTr="00860CD3">
        <w:tc>
          <w:tcPr>
            <w:tcW w:w="1213" w:type="dxa"/>
            <w:shd w:val="clear" w:color="auto" w:fill="auto"/>
          </w:tcPr>
          <w:p w:rsidR="00843B21" w:rsidRDefault="00843B21" w:rsidP="008933FA">
            <w:pPr>
              <w:rPr>
                <w:lang w:eastAsia="zh-CN"/>
              </w:rPr>
            </w:pPr>
            <w:r>
              <w:rPr>
                <w:lang w:eastAsia="zh-CN"/>
              </w:rPr>
              <w:t xml:space="preserve">Security </w:t>
            </w:r>
          </w:p>
        </w:tc>
        <w:tc>
          <w:tcPr>
            <w:tcW w:w="1405" w:type="dxa"/>
            <w:shd w:val="clear" w:color="auto" w:fill="auto"/>
          </w:tcPr>
          <w:p w:rsidR="00843B21" w:rsidRDefault="00843B21" w:rsidP="008933FA">
            <w:pPr>
              <w:rPr>
                <w:lang w:eastAsia="zh-CN"/>
              </w:rPr>
            </w:pPr>
            <w:r>
              <w:rPr>
                <w:lang w:eastAsia="zh-CN"/>
              </w:rPr>
              <w:t xml:space="preserve">Root CA assurance level </w:t>
            </w:r>
          </w:p>
        </w:tc>
        <w:tc>
          <w:tcPr>
            <w:tcW w:w="3485" w:type="dxa"/>
            <w:shd w:val="clear" w:color="auto" w:fill="auto"/>
          </w:tcPr>
          <w:p w:rsidR="00843B21" w:rsidRDefault="00843B21" w:rsidP="008933FA">
            <w:pPr>
              <w:rPr>
                <w:lang w:eastAsia="zh-CN"/>
              </w:rPr>
            </w:pPr>
            <w:r>
              <w:rPr>
                <w:lang w:eastAsia="zh-CN"/>
              </w:rPr>
              <w:t>The Root CA assurance level for the issuing CA</w:t>
            </w:r>
          </w:p>
          <w:p w:rsidR="00843B21" w:rsidRDefault="00843B21" w:rsidP="008933FA">
            <w:pPr>
              <w:rPr>
                <w:lang w:eastAsia="zh-CN"/>
              </w:rPr>
            </w:pPr>
            <w:r>
              <w:rPr>
                <w:lang w:val="en-US" w:eastAsia="zh-CN"/>
              </w:rPr>
              <w:t xml:space="preserve">This metadata is used to provide an indication of the assurance level for the Root CA that has validated the issuing CA according to oneM2M App-ID Registry management authority’s </w:t>
            </w:r>
            <w:r w:rsidRPr="00284470">
              <w:rPr>
                <w:lang w:val="en-US" w:eastAsia="zh-CN"/>
              </w:rPr>
              <w:t>Certification Practice Statements (CPS)</w:t>
            </w:r>
            <w:r>
              <w:rPr>
                <w:lang w:val="en-US" w:eastAsia="zh-CN"/>
              </w:rPr>
              <w:t xml:space="preserve"> and Certificate Policy (CP) </w:t>
            </w:r>
          </w:p>
        </w:tc>
        <w:tc>
          <w:tcPr>
            <w:tcW w:w="3526" w:type="dxa"/>
            <w:shd w:val="clear" w:color="auto" w:fill="auto"/>
          </w:tcPr>
          <w:p w:rsidR="00843B21" w:rsidRDefault="00843B21" w:rsidP="008933FA">
            <w:pPr>
              <w:rPr>
                <w:lang w:eastAsia="zh-CN"/>
              </w:rPr>
            </w:pPr>
            <w:r>
              <w:rPr>
                <w:lang w:eastAsia="zh-CN"/>
              </w:rPr>
              <w:t xml:space="preserve">Use Case 5: To provide the infrastructure with assurance assessment for the Root CA conformance. The infrastructure can use this to assess the level of trust of the issuing CA. </w:t>
            </w:r>
          </w:p>
        </w:tc>
      </w:tr>
      <w:tr w:rsidR="00843B21" w:rsidTr="00860CD3">
        <w:tc>
          <w:tcPr>
            <w:tcW w:w="1213" w:type="dxa"/>
            <w:shd w:val="clear" w:color="auto" w:fill="auto"/>
          </w:tcPr>
          <w:p w:rsidR="00843B21" w:rsidRDefault="00843B21" w:rsidP="008933FA">
            <w:pPr>
              <w:rPr>
                <w:lang w:eastAsia="zh-CN"/>
              </w:rPr>
            </w:pPr>
            <w:r>
              <w:rPr>
                <w:lang w:eastAsia="zh-CN"/>
              </w:rPr>
              <w:t xml:space="preserve">Security </w:t>
            </w:r>
          </w:p>
        </w:tc>
        <w:tc>
          <w:tcPr>
            <w:tcW w:w="1405" w:type="dxa"/>
            <w:shd w:val="clear" w:color="auto" w:fill="auto"/>
          </w:tcPr>
          <w:p w:rsidR="00843B21" w:rsidRDefault="00843B21" w:rsidP="008933FA">
            <w:pPr>
              <w:rPr>
                <w:lang w:eastAsia="zh-CN"/>
              </w:rPr>
            </w:pPr>
            <w:r>
              <w:rPr>
                <w:lang w:eastAsia="zh-CN"/>
              </w:rPr>
              <w:t xml:space="preserve">MAF Identity </w:t>
            </w:r>
          </w:p>
        </w:tc>
        <w:tc>
          <w:tcPr>
            <w:tcW w:w="3485" w:type="dxa"/>
            <w:shd w:val="clear" w:color="auto" w:fill="auto"/>
          </w:tcPr>
          <w:p w:rsidR="00843B21" w:rsidRDefault="00843B21" w:rsidP="008933FA">
            <w:pPr>
              <w:rPr>
                <w:lang w:eastAsia="zh-CN"/>
              </w:rPr>
            </w:pPr>
            <w:r>
              <w:rPr>
                <w:lang w:eastAsia="zh-CN"/>
              </w:rPr>
              <w:t xml:space="preserve">Where MAF is used for the App-ID instance authentication, the Identity of the MAF. </w:t>
            </w:r>
          </w:p>
          <w:p w:rsidR="00843B21" w:rsidRDefault="00843B21" w:rsidP="008933FA">
            <w:pPr>
              <w:rPr>
                <w:lang w:eastAsia="zh-CN"/>
              </w:rPr>
            </w:pPr>
            <w:r>
              <w:rPr>
                <w:lang w:eastAsia="zh-CN"/>
              </w:rPr>
              <w:t xml:space="preserve">Used to identify the MAF entity for a presented App-ID. </w:t>
            </w:r>
          </w:p>
        </w:tc>
        <w:tc>
          <w:tcPr>
            <w:tcW w:w="3526" w:type="dxa"/>
            <w:shd w:val="clear" w:color="auto" w:fill="auto"/>
          </w:tcPr>
          <w:p w:rsidR="00843B21" w:rsidRDefault="00843B21" w:rsidP="008933FA">
            <w:pPr>
              <w:rPr>
                <w:lang w:eastAsia="zh-CN"/>
              </w:rPr>
            </w:pPr>
            <w:r>
              <w:rPr>
                <w:lang w:eastAsia="zh-CN"/>
              </w:rPr>
              <w:t xml:space="preserve">Use Case 1: to provide identity for the applications associated MAF. </w:t>
            </w:r>
          </w:p>
        </w:tc>
      </w:tr>
      <w:tr w:rsidR="00843B21" w:rsidTr="00860CD3">
        <w:tc>
          <w:tcPr>
            <w:tcW w:w="1213" w:type="dxa"/>
            <w:shd w:val="clear" w:color="auto" w:fill="auto"/>
          </w:tcPr>
          <w:p w:rsidR="00843B21" w:rsidRDefault="00843B21" w:rsidP="008933FA">
            <w:pPr>
              <w:rPr>
                <w:lang w:eastAsia="zh-CN"/>
              </w:rPr>
            </w:pPr>
            <w:r>
              <w:rPr>
                <w:lang w:eastAsia="zh-CN"/>
              </w:rPr>
              <w:lastRenderedPageBreak/>
              <w:t>Security</w:t>
            </w:r>
          </w:p>
        </w:tc>
        <w:tc>
          <w:tcPr>
            <w:tcW w:w="1405" w:type="dxa"/>
            <w:shd w:val="clear" w:color="auto" w:fill="auto"/>
          </w:tcPr>
          <w:p w:rsidR="00843B21" w:rsidRDefault="00843B21" w:rsidP="008933FA">
            <w:pPr>
              <w:rPr>
                <w:lang w:eastAsia="zh-CN"/>
              </w:rPr>
            </w:pPr>
            <w:r>
              <w:rPr>
                <w:lang w:eastAsia="zh-CN"/>
              </w:rPr>
              <w:t xml:space="preserve">MEF Identity </w:t>
            </w:r>
          </w:p>
        </w:tc>
        <w:tc>
          <w:tcPr>
            <w:tcW w:w="3485" w:type="dxa"/>
            <w:shd w:val="clear" w:color="auto" w:fill="auto"/>
          </w:tcPr>
          <w:p w:rsidR="00843B21" w:rsidRDefault="00843B21" w:rsidP="008933FA">
            <w:pPr>
              <w:rPr>
                <w:lang w:eastAsia="zh-CN"/>
              </w:rPr>
            </w:pPr>
            <w:r>
              <w:rPr>
                <w:lang w:eastAsia="zh-CN"/>
              </w:rPr>
              <w:t xml:space="preserve">Where MEF is used for the App-ID instance enrolment, the Identity of the MEF. </w:t>
            </w:r>
          </w:p>
          <w:p w:rsidR="00843B21" w:rsidRDefault="00843B21" w:rsidP="008933FA">
            <w:pPr>
              <w:rPr>
                <w:lang w:eastAsia="zh-CN"/>
              </w:rPr>
            </w:pPr>
            <w:r>
              <w:rPr>
                <w:lang w:eastAsia="zh-CN"/>
              </w:rPr>
              <w:t>Used to identify the MEF entity for a presented App-ID.</w:t>
            </w:r>
          </w:p>
        </w:tc>
        <w:tc>
          <w:tcPr>
            <w:tcW w:w="3526" w:type="dxa"/>
            <w:shd w:val="clear" w:color="auto" w:fill="auto"/>
          </w:tcPr>
          <w:p w:rsidR="00843B21" w:rsidRDefault="00843B21" w:rsidP="008933FA">
            <w:pPr>
              <w:rPr>
                <w:lang w:eastAsia="zh-CN"/>
              </w:rPr>
            </w:pPr>
            <w:r>
              <w:rPr>
                <w:lang w:eastAsia="zh-CN"/>
              </w:rPr>
              <w:t xml:space="preserve">Use Case 1: to provide identity for the applications associated MEF. </w:t>
            </w:r>
          </w:p>
        </w:tc>
      </w:tr>
      <w:tr w:rsidR="00843B21" w:rsidTr="00860CD3">
        <w:tc>
          <w:tcPr>
            <w:tcW w:w="1213" w:type="dxa"/>
            <w:shd w:val="clear" w:color="auto" w:fill="auto"/>
          </w:tcPr>
          <w:p w:rsidR="00843B21" w:rsidRPr="00525E67" w:rsidRDefault="00843B21" w:rsidP="008933FA">
            <w:pPr>
              <w:rPr>
                <w:lang w:eastAsia="zh-CN"/>
              </w:rPr>
            </w:pPr>
            <w:r w:rsidRPr="00525E67">
              <w:rPr>
                <w:lang w:eastAsia="zh-CN"/>
              </w:rPr>
              <w:t xml:space="preserve">Test &amp; Compliance </w:t>
            </w:r>
          </w:p>
        </w:tc>
        <w:tc>
          <w:tcPr>
            <w:tcW w:w="1405" w:type="dxa"/>
            <w:shd w:val="clear" w:color="auto" w:fill="auto"/>
          </w:tcPr>
          <w:p w:rsidR="00843B21" w:rsidRPr="00525E67" w:rsidRDefault="00843B21" w:rsidP="008933FA">
            <w:pPr>
              <w:rPr>
                <w:lang w:eastAsia="zh-CN"/>
              </w:rPr>
            </w:pPr>
            <w:r w:rsidRPr="00525E67">
              <w:rPr>
                <w:lang w:eastAsia="zh-CN"/>
              </w:rPr>
              <w:t>Test and compliance entity name</w:t>
            </w:r>
          </w:p>
        </w:tc>
        <w:tc>
          <w:tcPr>
            <w:tcW w:w="3485" w:type="dxa"/>
            <w:shd w:val="clear" w:color="auto" w:fill="auto"/>
          </w:tcPr>
          <w:p w:rsidR="00843B21" w:rsidRDefault="00843B21" w:rsidP="008933FA">
            <w:pPr>
              <w:rPr>
                <w:lang w:eastAsia="zh-CN"/>
              </w:rPr>
            </w:pPr>
            <w:r w:rsidRPr="00525E67">
              <w:rPr>
                <w:lang w:eastAsia="zh-CN"/>
              </w:rPr>
              <w:t>The name of the test and compliance organisation that have verified the registered application identity. Note</w:t>
            </w:r>
            <w:r>
              <w:rPr>
                <w:lang w:eastAsia="zh-CN"/>
              </w:rPr>
              <w:t xml:space="preserve"> that</w:t>
            </w:r>
            <w:r w:rsidRPr="00525E67">
              <w:rPr>
                <w:lang w:eastAsia="zh-CN"/>
              </w:rPr>
              <w:t xml:space="preserve"> this could be one or more entities</w:t>
            </w:r>
            <w:r>
              <w:rPr>
                <w:lang w:eastAsia="zh-CN"/>
              </w:rPr>
              <w:t>,</w:t>
            </w:r>
            <w:r w:rsidRPr="00525E67">
              <w:rPr>
                <w:lang w:eastAsia="zh-CN"/>
              </w:rPr>
              <w:t xml:space="preserve"> i.e. oneM2M compliance and </w:t>
            </w:r>
            <w:r>
              <w:rPr>
                <w:lang w:eastAsia="zh-CN"/>
              </w:rPr>
              <w:t xml:space="preserve">/ </w:t>
            </w:r>
            <w:r w:rsidRPr="00525E67">
              <w:rPr>
                <w:lang w:eastAsia="zh-CN"/>
              </w:rPr>
              <w:t>or an industry specific compliance body</w:t>
            </w:r>
            <w:r>
              <w:rPr>
                <w:lang w:eastAsia="zh-CN"/>
              </w:rPr>
              <w:t>,</w:t>
            </w:r>
            <w:r w:rsidRPr="00525E67">
              <w:rPr>
                <w:lang w:eastAsia="zh-CN"/>
              </w:rPr>
              <w:t xml:space="preserve"> e.g. healthcare. </w:t>
            </w:r>
          </w:p>
          <w:p w:rsidR="00843B21" w:rsidRPr="00525E67" w:rsidRDefault="00843B21" w:rsidP="008933FA">
            <w:pPr>
              <w:rPr>
                <w:lang w:eastAsia="zh-CN"/>
              </w:rPr>
            </w:pPr>
            <w:r>
              <w:rPr>
                <w:lang w:eastAsia="zh-CN"/>
              </w:rPr>
              <w:t xml:space="preserve">This metadata can be used to determine if a connecting application has the relevant test and compliance to support the service. </w:t>
            </w:r>
          </w:p>
        </w:tc>
        <w:tc>
          <w:tcPr>
            <w:tcW w:w="3526" w:type="dxa"/>
            <w:shd w:val="clear" w:color="auto" w:fill="auto"/>
          </w:tcPr>
          <w:p w:rsidR="00843B21" w:rsidRDefault="00843B21" w:rsidP="008933FA">
            <w:pPr>
              <w:rPr>
                <w:lang w:eastAsia="zh-CN"/>
              </w:rPr>
            </w:pPr>
            <w:r>
              <w:rPr>
                <w:lang w:eastAsia="zh-CN"/>
              </w:rPr>
              <w:t>Use Case 2: Allow the infrastructure to determine test and compliance.</w:t>
            </w:r>
          </w:p>
        </w:tc>
      </w:tr>
      <w:tr w:rsidR="00843B21" w:rsidTr="00860CD3">
        <w:tc>
          <w:tcPr>
            <w:tcW w:w="1213" w:type="dxa"/>
            <w:shd w:val="clear" w:color="auto" w:fill="auto"/>
          </w:tcPr>
          <w:p w:rsidR="00843B21" w:rsidRPr="00525E67" w:rsidRDefault="00843B21" w:rsidP="008933FA">
            <w:pPr>
              <w:rPr>
                <w:lang w:eastAsia="zh-CN"/>
              </w:rPr>
            </w:pPr>
            <w:r w:rsidRPr="00525E67">
              <w:rPr>
                <w:lang w:eastAsia="zh-CN"/>
              </w:rPr>
              <w:t>Test &amp; Compliance</w:t>
            </w:r>
          </w:p>
        </w:tc>
        <w:tc>
          <w:tcPr>
            <w:tcW w:w="1405" w:type="dxa"/>
            <w:shd w:val="clear" w:color="auto" w:fill="auto"/>
          </w:tcPr>
          <w:p w:rsidR="00843B21" w:rsidRPr="00525E67" w:rsidRDefault="00843B21" w:rsidP="008933FA">
            <w:pPr>
              <w:rPr>
                <w:lang w:eastAsia="zh-CN"/>
              </w:rPr>
            </w:pPr>
            <w:r w:rsidRPr="00525E67">
              <w:rPr>
                <w:lang w:eastAsia="zh-CN"/>
              </w:rPr>
              <w:t>Test and compliance certificate</w:t>
            </w:r>
          </w:p>
        </w:tc>
        <w:tc>
          <w:tcPr>
            <w:tcW w:w="3485" w:type="dxa"/>
            <w:shd w:val="clear" w:color="auto" w:fill="auto"/>
          </w:tcPr>
          <w:p w:rsidR="00843B21" w:rsidRPr="00525E67" w:rsidRDefault="00843B21" w:rsidP="008933FA">
            <w:pPr>
              <w:rPr>
                <w:lang w:eastAsia="zh-CN"/>
              </w:rPr>
            </w:pPr>
            <w:r w:rsidRPr="00525E67">
              <w:rPr>
                <w:lang w:eastAsia="zh-CN"/>
              </w:rPr>
              <w:t xml:space="preserve">The </w:t>
            </w:r>
            <w:r>
              <w:rPr>
                <w:lang w:eastAsia="zh-CN"/>
              </w:rPr>
              <w:t xml:space="preserve">compliance </w:t>
            </w:r>
            <w:r w:rsidRPr="00525E67">
              <w:rPr>
                <w:lang w:eastAsia="zh-CN"/>
              </w:rPr>
              <w:t xml:space="preserve">certification reference identity for this specific application </w:t>
            </w:r>
          </w:p>
        </w:tc>
        <w:tc>
          <w:tcPr>
            <w:tcW w:w="3526" w:type="dxa"/>
            <w:shd w:val="clear" w:color="auto" w:fill="auto"/>
          </w:tcPr>
          <w:p w:rsidR="00843B21" w:rsidRDefault="00843B21" w:rsidP="008933FA">
            <w:pPr>
              <w:rPr>
                <w:lang w:eastAsia="zh-CN"/>
              </w:rPr>
            </w:pPr>
            <w:r>
              <w:rPr>
                <w:lang w:eastAsia="zh-CN"/>
              </w:rPr>
              <w:t>Use Case 2: Allow the infrastructure to determine test and compliance.</w:t>
            </w:r>
          </w:p>
        </w:tc>
      </w:tr>
      <w:tr w:rsidR="00843B21" w:rsidTr="00860CD3">
        <w:tc>
          <w:tcPr>
            <w:tcW w:w="1213" w:type="dxa"/>
            <w:shd w:val="clear" w:color="auto" w:fill="auto"/>
          </w:tcPr>
          <w:p w:rsidR="00843B21" w:rsidRPr="00525E67" w:rsidRDefault="00843B21" w:rsidP="008933FA">
            <w:pPr>
              <w:rPr>
                <w:lang w:eastAsia="zh-CN"/>
              </w:rPr>
            </w:pPr>
            <w:r>
              <w:rPr>
                <w:lang w:eastAsia="zh-CN"/>
              </w:rPr>
              <w:t xml:space="preserve">Revocation </w:t>
            </w:r>
          </w:p>
        </w:tc>
        <w:tc>
          <w:tcPr>
            <w:tcW w:w="1405" w:type="dxa"/>
            <w:shd w:val="clear" w:color="auto" w:fill="auto"/>
          </w:tcPr>
          <w:p w:rsidR="00843B21" w:rsidRPr="00525E67" w:rsidRDefault="00843B21" w:rsidP="008933FA">
            <w:pPr>
              <w:rPr>
                <w:lang w:eastAsia="zh-CN"/>
              </w:rPr>
            </w:pPr>
            <w:r>
              <w:rPr>
                <w:lang w:eastAsia="zh-CN"/>
              </w:rPr>
              <w:t xml:space="preserve">App-ID Revocation </w:t>
            </w:r>
          </w:p>
        </w:tc>
        <w:tc>
          <w:tcPr>
            <w:tcW w:w="3485" w:type="dxa"/>
            <w:shd w:val="clear" w:color="auto" w:fill="auto"/>
          </w:tcPr>
          <w:p w:rsidR="00843B21" w:rsidRDefault="00843B21" w:rsidP="008933FA">
            <w:pPr>
              <w:rPr>
                <w:lang w:eastAsia="zh-CN"/>
              </w:rPr>
            </w:pPr>
            <w:r>
              <w:rPr>
                <w:lang w:eastAsia="zh-CN"/>
              </w:rPr>
              <w:t xml:space="preserve">The specific reason code for why the App-ID was revoked. </w:t>
            </w:r>
          </w:p>
          <w:p w:rsidR="00843B21" w:rsidRPr="00525E67" w:rsidRDefault="00843B21" w:rsidP="008933FA">
            <w:pPr>
              <w:rPr>
                <w:lang w:eastAsia="zh-CN"/>
              </w:rPr>
            </w:pPr>
            <w:r>
              <w:rPr>
                <w:lang w:eastAsia="zh-CN"/>
              </w:rPr>
              <w:t>Used to manage the full lifecycle of the App-ID to end of Life, and / or other reason for the App-ID to be revoked; for example if the App-ID software version has been compromised or faulty and is known to cause issues. This can be used to prevent these applications from obtaining service.</w:t>
            </w:r>
          </w:p>
        </w:tc>
        <w:tc>
          <w:tcPr>
            <w:tcW w:w="3526" w:type="dxa"/>
            <w:shd w:val="clear" w:color="auto" w:fill="auto"/>
          </w:tcPr>
          <w:p w:rsidR="00843B21" w:rsidRDefault="00843B21" w:rsidP="008933FA">
            <w:pPr>
              <w:rPr>
                <w:lang w:eastAsia="zh-CN"/>
              </w:rPr>
            </w:pPr>
            <w:r>
              <w:rPr>
                <w:lang w:eastAsia="zh-CN"/>
              </w:rPr>
              <w:t xml:space="preserve">Use Case 6 (new contribution): to indicate that the App-ID is revoked with a reason code to allow the infrastructure to enforce accordingly.  </w:t>
            </w:r>
          </w:p>
        </w:tc>
      </w:tr>
      <w:tr w:rsidR="00843B21" w:rsidTr="00860CD3">
        <w:tc>
          <w:tcPr>
            <w:tcW w:w="1213" w:type="dxa"/>
            <w:shd w:val="clear" w:color="auto" w:fill="auto"/>
          </w:tcPr>
          <w:p w:rsidR="00843B21" w:rsidRDefault="00843B21" w:rsidP="008933FA">
            <w:pPr>
              <w:rPr>
                <w:lang w:eastAsia="zh-CN"/>
              </w:rPr>
            </w:pPr>
            <w:r>
              <w:rPr>
                <w:lang w:eastAsia="zh-CN"/>
              </w:rPr>
              <w:t>Instance</w:t>
            </w:r>
          </w:p>
        </w:tc>
        <w:tc>
          <w:tcPr>
            <w:tcW w:w="1405" w:type="dxa"/>
            <w:shd w:val="clear" w:color="auto" w:fill="auto"/>
          </w:tcPr>
          <w:p w:rsidR="00843B21" w:rsidRDefault="00843B21" w:rsidP="008933FA">
            <w:pPr>
              <w:rPr>
                <w:lang w:eastAsia="zh-CN"/>
              </w:rPr>
            </w:pPr>
            <w:r>
              <w:rPr>
                <w:lang w:eastAsia="zh-CN"/>
              </w:rPr>
              <w:t>AE-ID Range</w:t>
            </w:r>
          </w:p>
        </w:tc>
        <w:tc>
          <w:tcPr>
            <w:tcW w:w="3485" w:type="dxa"/>
            <w:shd w:val="clear" w:color="auto" w:fill="auto"/>
          </w:tcPr>
          <w:p w:rsidR="00843B21" w:rsidRDefault="00843B21" w:rsidP="008933FA">
            <w:pPr>
              <w:rPr>
                <w:lang w:eastAsia="zh-CN"/>
              </w:rPr>
            </w:pPr>
            <w:r>
              <w:rPr>
                <w:lang w:eastAsia="zh-CN"/>
              </w:rPr>
              <w:t xml:space="preserve">The Range of AE-ID’s that are valid for this App-ID. </w:t>
            </w:r>
          </w:p>
          <w:p w:rsidR="00843B21" w:rsidRDefault="00843B21" w:rsidP="008933FA">
            <w:pPr>
              <w:rPr>
                <w:lang w:eastAsia="zh-CN"/>
              </w:rPr>
            </w:pPr>
            <w:r>
              <w:rPr>
                <w:lang w:eastAsia="zh-CN"/>
              </w:rPr>
              <w:t xml:space="preserve">Provides a range of valid AE-ID’s that are valid and associated with this App-ID. </w:t>
            </w:r>
          </w:p>
        </w:tc>
        <w:tc>
          <w:tcPr>
            <w:tcW w:w="3526" w:type="dxa"/>
            <w:shd w:val="clear" w:color="auto" w:fill="auto"/>
          </w:tcPr>
          <w:p w:rsidR="00843B21" w:rsidRDefault="00843B21" w:rsidP="008933FA">
            <w:pPr>
              <w:rPr>
                <w:lang w:eastAsia="zh-CN"/>
              </w:rPr>
            </w:pPr>
            <w:r>
              <w:rPr>
                <w:lang w:eastAsia="zh-CN"/>
              </w:rPr>
              <w:t xml:space="preserve">Use Case 1: To verify the unique instance identity of the application with the registered metadata.  </w:t>
            </w:r>
          </w:p>
          <w:p w:rsidR="00843B21" w:rsidRDefault="00843B21" w:rsidP="008933FA">
            <w:pPr>
              <w:rPr>
                <w:lang w:eastAsia="zh-CN"/>
              </w:rPr>
            </w:pPr>
          </w:p>
        </w:tc>
      </w:tr>
      <w:tr w:rsidR="00843B21" w:rsidTr="00860CD3">
        <w:tc>
          <w:tcPr>
            <w:tcW w:w="1213" w:type="dxa"/>
            <w:shd w:val="clear" w:color="auto" w:fill="auto"/>
          </w:tcPr>
          <w:p w:rsidR="00843B21" w:rsidRDefault="00843B21" w:rsidP="008933FA">
            <w:pPr>
              <w:rPr>
                <w:lang w:eastAsia="zh-CN"/>
              </w:rPr>
            </w:pPr>
            <w:r>
              <w:rPr>
                <w:lang w:eastAsia="zh-CN"/>
              </w:rPr>
              <w:t>Instance</w:t>
            </w:r>
          </w:p>
        </w:tc>
        <w:tc>
          <w:tcPr>
            <w:tcW w:w="1405" w:type="dxa"/>
            <w:shd w:val="clear" w:color="auto" w:fill="auto"/>
          </w:tcPr>
          <w:p w:rsidR="00843B21" w:rsidRDefault="00843B21" w:rsidP="008933FA">
            <w:pPr>
              <w:rPr>
                <w:lang w:eastAsia="zh-CN"/>
              </w:rPr>
            </w:pPr>
            <w:r>
              <w:rPr>
                <w:lang w:eastAsia="zh-CN"/>
              </w:rPr>
              <w:t>Revoked AE-ID(s)</w:t>
            </w:r>
          </w:p>
        </w:tc>
        <w:tc>
          <w:tcPr>
            <w:tcW w:w="3485" w:type="dxa"/>
            <w:shd w:val="clear" w:color="auto" w:fill="auto"/>
          </w:tcPr>
          <w:p w:rsidR="00843B21" w:rsidRDefault="00843B21" w:rsidP="008933FA">
            <w:pPr>
              <w:rPr>
                <w:lang w:eastAsia="zh-CN"/>
              </w:rPr>
            </w:pPr>
            <w:r>
              <w:rPr>
                <w:lang w:eastAsia="zh-CN"/>
              </w:rPr>
              <w:t xml:space="preserve">Revoked AE-ID identities. List of the AE-ID’s that have been revoked including the specific reason codes. Used to prevent an AE-ID from being authenticated. </w:t>
            </w:r>
          </w:p>
          <w:p w:rsidR="00843B21" w:rsidRDefault="00843B21" w:rsidP="008933FA">
            <w:pPr>
              <w:rPr>
                <w:lang w:eastAsia="zh-CN"/>
              </w:rPr>
            </w:pPr>
            <w:r>
              <w:rPr>
                <w:lang w:eastAsia="zh-CN"/>
              </w:rPr>
              <w:t>Used to manage the full lifecycle of the individual AE-ID to end of Life, and / or other reason for the AE-ID to be revoked; for example if the AE-ID software has been compromised or faulty and is known to cause issues. This can be used to prevent a specific unique instance of an application identity from obtaining service.</w:t>
            </w:r>
          </w:p>
        </w:tc>
        <w:tc>
          <w:tcPr>
            <w:tcW w:w="3526" w:type="dxa"/>
            <w:shd w:val="clear" w:color="auto" w:fill="auto"/>
          </w:tcPr>
          <w:p w:rsidR="00843B21" w:rsidRDefault="00843B21" w:rsidP="008933FA">
            <w:pPr>
              <w:rPr>
                <w:lang w:eastAsia="zh-CN"/>
              </w:rPr>
            </w:pPr>
            <w:r>
              <w:rPr>
                <w:lang w:eastAsia="zh-CN"/>
              </w:rPr>
              <w:t xml:space="preserve">Use Case 6 (new contribution): to indicate that the AE-ID is revoked with a reason code to allow the infrastructure to enforce accordingly.  </w:t>
            </w:r>
          </w:p>
        </w:tc>
      </w:tr>
    </w:tbl>
    <w:p w:rsidR="00860CD3" w:rsidRPr="00B71604" w:rsidRDefault="00860CD3" w:rsidP="00860CD3">
      <w:pPr>
        <w:pStyle w:val="NormalParagraph"/>
        <w:rPr>
          <w:rFonts w:ascii="Times New Roman" w:hAnsi="Times New Roman"/>
          <w:b/>
        </w:rPr>
      </w:pPr>
      <w:r w:rsidRPr="00B71604">
        <w:rPr>
          <w:rFonts w:ascii="Times New Roman" w:hAnsi="Times New Roman"/>
          <w:b/>
        </w:rPr>
        <w:t xml:space="preserve">Figure </w:t>
      </w:r>
      <w:r>
        <w:rPr>
          <w:rFonts w:ascii="Times New Roman" w:hAnsi="Times New Roman"/>
          <w:b/>
        </w:rPr>
        <w:t>8</w:t>
      </w:r>
      <w:r w:rsidRPr="00B71604">
        <w:rPr>
          <w:rFonts w:ascii="Times New Roman" w:hAnsi="Times New Roman"/>
          <w:b/>
        </w:rPr>
        <w:t>.</w:t>
      </w:r>
      <w:r>
        <w:rPr>
          <w:rFonts w:ascii="Times New Roman" w:hAnsi="Times New Roman"/>
          <w:b/>
        </w:rPr>
        <w:t>2</w:t>
      </w:r>
      <w:r w:rsidRPr="00B71604">
        <w:rPr>
          <w:rFonts w:ascii="Times New Roman" w:hAnsi="Times New Roman"/>
          <w:b/>
        </w:rPr>
        <w:t xml:space="preserve">-1: </w:t>
      </w:r>
      <w:r>
        <w:rPr>
          <w:rFonts w:ascii="Times New Roman" w:hAnsi="Times New Roman"/>
          <w:b/>
        </w:rPr>
        <w:t>App-ID Metadata</w:t>
      </w:r>
    </w:p>
    <w:p w:rsidR="00843B21" w:rsidRDefault="00843B21" w:rsidP="00843B21">
      <w:pPr>
        <w:rPr>
          <w:lang w:eastAsia="zh-CN"/>
        </w:rPr>
      </w:pPr>
    </w:p>
    <w:p w:rsidR="00843B21" w:rsidRPr="009C24DA" w:rsidRDefault="00843B21" w:rsidP="00843B21">
      <w:pPr>
        <w:pStyle w:val="NO"/>
        <w:keepNext/>
        <w:spacing w:before="120"/>
        <w:ind w:left="1134" w:hanging="1134"/>
        <w:outlineLvl w:val="2"/>
        <w:rPr>
          <w:rFonts w:eastAsia="Calibri"/>
        </w:rPr>
      </w:pPr>
    </w:p>
    <w:p w:rsidR="00BF4E4A" w:rsidRPr="00EA211F" w:rsidRDefault="00BF4E4A" w:rsidP="00BF4E4A">
      <w:pPr>
        <w:tabs>
          <w:tab w:val="left" w:pos="284"/>
        </w:tabs>
        <w:overflowPunct/>
        <w:autoSpaceDE/>
        <w:autoSpaceDN/>
        <w:adjustRightInd/>
        <w:spacing w:before="120" w:after="0"/>
        <w:textAlignment w:val="auto"/>
        <w:rPr>
          <w:lang w:eastAsia="zh-CN"/>
        </w:rPr>
      </w:pPr>
    </w:p>
    <w:p w:rsidR="00BF4E4A" w:rsidRPr="00EA211F" w:rsidRDefault="00BF4E4A" w:rsidP="00BF4E4A">
      <w:pPr>
        <w:tabs>
          <w:tab w:val="left" w:pos="284"/>
        </w:tabs>
        <w:overflowPunct/>
        <w:autoSpaceDE/>
        <w:autoSpaceDN/>
        <w:adjustRightInd/>
        <w:spacing w:before="120" w:after="0"/>
        <w:textAlignment w:val="auto"/>
        <w:rPr>
          <w:lang w:eastAsia="zh-CN"/>
        </w:rPr>
      </w:pPr>
    </w:p>
    <w:p w:rsidR="00BF4E4A" w:rsidRPr="00EA211F" w:rsidRDefault="00B007B6" w:rsidP="00BF4E4A">
      <w:pPr>
        <w:pStyle w:val="Heading1"/>
      </w:pPr>
      <w:bookmarkStart w:id="152" w:name="_Toc431220827"/>
      <w:bookmarkStart w:id="153" w:name="_Toc451960275"/>
      <w:bookmarkStart w:id="154" w:name="_Toc508958797"/>
      <w:r>
        <w:rPr>
          <w:lang w:eastAsia="zh-CN"/>
        </w:rPr>
        <w:t>9</w:t>
      </w:r>
      <w:r w:rsidR="00BF4E4A" w:rsidRPr="00EA211F">
        <w:tab/>
        <w:t>Available Options</w:t>
      </w:r>
      <w:bookmarkEnd w:id="152"/>
      <w:bookmarkEnd w:id="153"/>
      <w:bookmarkEnd w:id="154"/>
    </w:p>
    <w:p w:rsidR="00BF4E4A" w:rsidRPr="00EA211F" w:rsidRDefault="00B007B6" w:rsidP="00BF4E4A">
      <w:pPr>
        <w:pStyle w:val="Heading2"/>
        <w:rPr>
          <w:lang w:val="en-US"/>
        </w:rPr>
      </w:pPr>
      <w:bookmarkStart w:id="155" w:name="_Toc431220828"/>
      <w:bookmarkStart w:id="156" w:name="_Toc451960276"/>
      <w:bookmarkStart w:id="157" w:name="_Toc508958798"/>
      <w:r>
        <w:rPr>
          <w:lang w:val="en-US" w:eastAsia="zh-CN"/>
        </w:rPr>
        <w:t>9</w:t>
      </w:r>
      <w:r w:rsidR="00BF4E4A" w:rsidRPr="00EA211F">
        <w:rPr>
          <w:lang w:val="en-US"/>
        </w:rPr>
        <w:t>.1</w:t>
      </w:r>
      <w:r w:rsidR="00BF4E4A" w:rsidRPr="00EA211F">
        <w:rPr>
          <w:lang w:val="en-US"/>
        </w:rPr>
        <w:tab/>
        <w:t>Review of Existing Technology</w:t>
      </w:r>
      <w:bookmarkEnd w:id="155"/>
      <w:bookmarkEnd w:id="156"/>
      <w:r w:rsidR="00CB5D36">
        <w:rPr>
          <w:lang w:val="en-US"/>
        </w:rPr>
        <w:t xml:space="preserve"> for use in the functionality</w:t>
      </w:r>
      <w:bookmarkEnd w:id="145"/>
      <w:bookmarkEnd w:id="157"/>
      <w:r w:rsidR="00CB5D36">
        <w:rPr>
          <w:lang w:val="en-US"/>
        </w:rPr>
        <w:t xml:space="preserve"> </w:t>
      </w:r>
    </w:p>
    <w:p w:rsidR="00BF4E4A" w:rsidRPr="00EA211F" w:rsidRDefault="00B007B6" w:rsidP="00BF4E4A">
      <w:pPr>
        <w:pStyle w:val="Heading3"/>
        <w:rPr>
          <w:lang w:val="en-US"/>
        </w:rPr>
      </w:pPr>
      <w:bookmarkStart w:id="158" w:name="_Toc431220829"/>
      <w:bookmarkStart w:id="159" w:name="_Toc451960277"/>
      <w:bookmarkStart w:id="160" w:name="_Toc492019265"/>
      <w:bookmarkStart w:id="161" w:name="_Toc508958799"/>
      <w:r>
        <w:rPr>
          <w:lang w:val="en-US" w:eastAsia="zh-CN"/>
        </w:rPr>
        <w:t>9</w:t>
      </w:r>
      <w:r w:rsidR="00BF4E4A" w:rsidRPr="00EA211F">
        <w:rPr>
          <w:lang w:val="en-US"/>
        </w:rPr>
        <w:t>.1.1</w:t>
      </w:r>
      <w:r w:rsidR="00BF4E4A" w:rsidRPr="00EA211F">
        <w:rPr>
          <w:lang w:val="en-US"/>
        </w:rPr>
        <w:tab/>
      </w:r>
      <w:bookmarkEnd w:id="158"/>
      <w:bookmarkEnd w:id="159"/>
      <w:bookmarkEnd w:id="160"/>
      <w:r w:rsidR="005202D0">
        <w:rPr>
          <w:lang w:val="en-US"/>
        </w:rPr>
        <w:t>Digital Letter of Approval</w:t>
      </w:r>
      <w:bookmarkEnd w:id="161"/>
    </w:p>
    <w:p w:rsidR="00BF4E4A" w:rsidRPr="00EA211F" w:rsidRDefault="00B007B6" w:rsidP="00BF4E4A">
      <w:pPr>
        <w:pStyle w:val="Heading4"/>
        <w:rPr>
          <w:lang w:val="en-US"/>
        </w:rPr>
      </w:pPr>
      <w:bookmarkStart w:id="162" w:name="_Toc431220830"/>
      <w:bookmarkStart w:id="163" w:name="_Toc451960278"/>
      <w:bookmarkStart w:id="164" w:name="_Toc508958800"/>
      <w:bookmarkStart w:id="165" w:name="_Toc492019266"/>
      <w:r>
        <w:rPr>
          <w:lang w:val="en-US" w:eastAsia="zh-CN"/>
        </w:rPr>
        <w:t>9</w:t>
      </w:r>
      <w:r w:rsidR="00BF4E4A" w:rsidRPr="00EA211F">
        <w:rPr>
          <w:lang w:val="en-US"/>
        </w:rPr>
        <w:t>.1.1.1</w:t>
      </w:r>
      <w:r w:rsidR="00BF4E4A" w:rsidRPr="00EA211F">
        <w:rPr>
          <w:lang w:val="en-US"/>
        </w:rPr>
        <w:tab/>
        <w:t xml:space="preserve">Introduction to </w:t>
      </w:r>
      <w:r w:rsidR="005202D0">
        <w:rPr>
          <w:lang w:val="en-US"/>
        </w:rPr>
        <w:t xml:space="preserve">DLOA </w:t>
      </w:r>
      <w:r w:rsidR="00BF4E4A" w:rsidRPr="00EA211F">
        <w:rPr>
          <w:lang w:val="en-US"/>
        </w:rPr>
        <w:t>Technology</w:t>
      </w:r>
      <w:bookmarkEnd w:id="162"/>
      <w:bookmarkEnd w:id="163"/>
      <w:bookmarkEnd w:id="164"/>
      <w:r w:rsidR="00CB5D36">
        <w:rPr>
          <w:lang w:val="en-US"/>
        </w:rPr>
        <w:t xml:space="preserve"> </w:t>
      </w:r>
      <w:bookmarkEnd w:id="165"/>
    </w:p>
    <w:p w:rsidR="005202D0" w:rsidRPr="00721808" w:rsidRDefault="005202D0" w:rsidP="005202D0">
      <w:pPr>
        <w:pStyle w:val="NormalParagraph"/>
        <w:rPr>
          <w:rFonts w:ascii="Times New Roman" w:hAnsi="Times New Roman"/>
          <w:sz w:val="20"/>
          <w:szCs w:val="20"/>
        </w:rPr>
      </w:pPr>
      <w:r w:rsidRPr="00721808">
        <w:rPr>
          <w:rFonts w:ascii="Times New Roman" w:hAnsi="Times New Roman"/>
          <w:sz w:val="20"/>
          <w:szCs w:val="20"/>
        </w:rPr>
        <w:t>The DLOA (Digital Letter of Approval) is a digital representation of a Letter of Approval, signed by a DLOA Authority. The DLOA is an XML document as defined in GlobalPlatform DLOA [i.10]. This method is largely used by GlobalPlatform and GSMA to verify all the certifications (e.g. functional conformance, security certification, and accreditation) related to a component.</w:t>
      </w:r>
    </w:p>
    <w:p w:rsidR="00BF4E4A" w:rsidRPr="00721808" w:rsidRDefault="005202D0" w:rsidP="005202D0">
      <w:r w:rsidRPr="009A0B89">
        <w:t xml:space="preserve">The DLOA Registrar (figure </w:t>
      </w:r>
      <w:r w:rsidRPr="00721808">
        <w:t>9.1</w:t>
      </w:r>
      <w:r w:rsidRPr="009A0B89">
        <w:t>) is a role that stores DLOAs and provides an interface to enable authorised Management System to retrieve them. In the context of M2M systems, DLOA Registrar could be defined (i.e. a well-known URL could be defined), containing all the valid (not expired and not revoked) DLOAs delivered by the DLOA Authority. A DLOA authority could be a certification body (e.g. GCF) which should be recognised by M2M ecosystem.</w:t>
      </w:r>
    </w:p>
    <w:p w:rsidR="005202D0" w:rsidRDefault="005202D0" w:rsidP="005202D0">
      <w:pPr>
        <w:pStyle w:val="NormalParagraph"/>
      </w:pPr>
      <w:r>
        <w:rPr>
          <w:noProof/>
        </w:rPr>
        <mc:AlternateContent>
          <mc:Choice Requires="wpc">
            <w:drawing>
              <wp:inline distT="0" distB="0" distL="0" distR="0" wp14:anchorId="37F6AECB" wp14:editId="0D9C61E3">
                <wp:extent cx="5486400" cy="698400"/>
                <wp:effectExtent l="0" t="0" r="0" b="0"/>
                <wp:docPr id="9" name="Zone de dessin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Rectangle 11"/>
                        <wps:cNvSpPr/>
                        <wps:spPr>
                          <a:xfrm>
                            <a:off x="1265344" y="106072"/>
                            <a:ext cx="923576" cy="4368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14C" w:rsidRPr="00B71604" w:rsidRDefault="0001014C" w:rsidP="005202D0">
                              <w:pPr>
                                <w:jc w:val="center"/>
                                <w:rPr>
                                  <w:lang w:val="fr-FR"/>
                                </w:rPr>
                              </w:pPr>
                              <w:r>
                                <w:rPr>
                                  <w:lang w:val="fr-FR"/>
                                </w:rPr>
                                <w:t>DLOA 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64120" y="100765"/>
                            <a:ext cx="923290" cy="436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014C" w:rsidRDefault="0001014C" w:rsidP="005202D0">
                              <w:pPr>
                                <w:pStyle w:val="NormalWeb"/>
                                <w:jc w:val="center"/>
                              </w:pPr>
                              <w:r>
                                <w:rPr>
                                  <w:color w:val="008080"/>
                                  <w:sz w:val="20"/>
                                  <w:szCs w:val="20"/>
                                  <w:u w:val="single"/>
                                  <w:lang w:val="fr-FR"/>
                                </w:rPr>
                                <w:t>Management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Connecteur droit avec flèche 13"/>
                        <wps:cNvCnPr>
                          <a:stCxn id="11" idx="3"/>
                        </wps:cNvCnPr>
                        <wps:spPr>
                          <a:xfrm>
                            <a:off x="2188920" y="324496"/>
                            <a:ext cx="1375200" cy="242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14" name="Zone de texte 14"/>
                        <wps:cNvSpPr txBox="1"/>
                        <wps:spPr>
                          <a:xfrm>
                            <a:off x="2527320" y="181267"/>
                            <a:ext cx="828130" cy="2401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014C" w:rsidRPr="00B71604" w:rsidRDefault="0001014C" w:rsidP="005202D0">
                              <w:pPr>
                                <w:rPr>
                                  <w:sz w:val="14"/>
                                  <w:lang w:val="fr-FR"/>
                                </w:rPr>
                              </w:pPr>
                              <w:r w:rsidRPr="00B71604">
                                <w:rPr>
                                  <w:sz w:val="14"/>
                                  <w:lang w:val="fr-FR"/>
                                </w:rPr>
                                <w:t xml:space="preserve">DLOA </w:t>
                              </w:r>
                              <w:r w:rsidRPr="00B71604">
                                <w:rPr>
                                  <w:sz w:val="14"/>
                                </w:rPr>
                                <w:t>retrieval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xmlns:w16se="http://schemas.microsoft.com/office/word/2015/wordml/symex" xmlns:cx1="http://schemas.microsoft.com/office/drawing/2015/9/8/chartex" xmlns:cx="http://schemas.microsoft.com/office/drawing/2014/chartex">
            <w:pict>
              <v:group w14:anchorId="37F6AECB" id="Zone de dessin 9" o:spid="_x0000_s1026" editas="canvas" style="width:6in;height:55pt;mso-position-horizontal-relative:char;mso-position-vertical-relative:line" coordsize="54864,6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">
                <v:shape id="_x0000_s1027" type="#_x0000_t75" style="position:absolute;width:54864;height:6978;visibility:visible;mso-wrap-style:square">
                  <v:fill o:detectmouseclick="t"/>
                  <v:path o:connecttype="none"/>
                </v:shape>
                <v:rect id="Rectangle 11" o:spid="_x0000_s1028" style="position:absolute;left:12653;top:1060;width:9236;height:4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rsidR="0001014C" w:rsidRPr="00B71604" w:rsidRDefault="0001014C" w:rsidP="005202D0">
                        <w:pPr>
                          <w:jc w:val="center"/>
                          <w:rPr>
                            <w:lang w:val="fr-FR"/>
                          </w:rPr>
                        </w:pPr>
                        <w:r>
                          <w:rPr>
                            <w:lang w:val="fr-FR"/>
                          </w:rPr>
                          <w:t>DLOA Registrar</w:t>
                        </w:r>
                      </w:p>
                    </w:txbxContent>
                  </v:textbox>
                </v:rect>
                <v:rect id="Rectangle 12" o:spid="_x0000_s1029" style="position:absolute;left:35641;top:1007;width:9233;height:4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5b9bd5 [3204]" strokecolor="#1f4d78 [1604]" strokeweight="1pt">
                  <v:textbox>
                    <w:txbxContent>
                      <w:p w:rsidR="0001014C" w:rsidRDefault="0001014C" w:rsidP="005202D0">
                        <w:pPr>
                          <w:pStyle w:val="NormalWeb"/>
                          <w:jc w:val="center"/>
                        </w:pPr>
                        <w:r>
                          <w:rPr>
                            <w:color w:val="008080"/>
                            <w:sz w:val="20"/>
                            <w:szCs w:val="20"/>
                            <w:u w:val="single"/>
                            <w:lang w:val="fr-FR"/>
                          </w:rPr>
                          <w:t>Management system</w:t>
                        </w:r>
                      </w:p>
                    </w:txbxContent>
                  </v:textbox>
                </v:rect>
                <v:shapetype id="_x0000_t32" coordsize="21600,21600" o:spt="32" o:oned="t" path="m,l21600,21600e" filled="f">
                  <v:path arrowok="t" fillok="f" o:connecttype="none"/>
                  <o:lock v:ext="edit" shapetype="t"/>
                </v:shapetype>
                <v:shape id="Connecteur droit avec flèche 13" o:spid="_x0000_s1030" type="#_x0000_t32" style="position:absolute;left:21889;top:3244;width:13752;height: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" strokecolor="#5b9bd5 [3204]" strokeweight=".5pt">
                  <v:stroke startarrow="open" endarrow="open" joinstyle="miter"/>
                </v:shape>
                <v:shapetype id="_x0000_t202" coordsize="21600,21600" o:spt="202" path="m,l,21600r21600,l21600,xe">
                  <v:stroke joinstyle="miter"/>
                  <v:path gradientshapeok="t" o:connecttype="rect"/>
                </v:shapetype>
                <v:shape id="Zone de texte 14" o:spid="_x0000_s1031" type="#_x0000_t202" style="position:absolute;left:25273;top:1812;width:8281;height:2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rsidR="0001014C" w:rsidRPr="00B71604" w:rsidRDefault="0001014C" w:rsidP="005202D0">
                        <w:pPr>
                          <w:rPr>
                            <w:sz w:val="14"/>
                            <w:lang w:val="fr-FR"/>
                          </w:rPr>
                        </w:pPr>
                        <w:r w:rsidRPr="00B71604">
                          <w:rPr>
                            <w:sz w:val="14"/>
                            <w:lang w:val="fr-FR"/>
                          </w:rPr>
                          <w:t xml:space="preserve">DLOA </w:t>
                        </w:r>
                        <w:r w:rsidRPr="00B71604">
                          <w:rPr>
                            <w:sz w:val="14"/>
                          </w:rPr>
                          <w:t>retrieval</w:t>
                        </w:r>
                      </w:p>
                    </w:txbxContent>
                  </v:textbox>
                </v:shape>
                <w10:anchorlock/>
              </v:group>
            </w:pict>
          </mc:Fallback>
        </mc:AlternateContent>
      </w:r>
    </w:p>
    <w:p w:rsidR="005202D0" w:rsidRPr="00721808" w:rsidRDefault="005202D0" w:rsidP="005202D0">
      <w:pPr>
        <w:pStyle w:val="NormalParagraph"/>
        <w:rPr>
          <w:rFonts w:ascii="Times New Roman" w:hAnsi="Times New Roman"/>
          <w:b/>
        </w:rPr>
      </w:pPr>
      <w:r w:rsidRPr="00721808">
        <w:rPr>
          <w:rFonts w:ascii="Times New Roman" w:hAnsi="Times New Roman"/>
          <w:b/>
        </w:rPr>
        <w:t>Figure 9.1</w:t>
      </w:r>
      <w:r w:rsidR="009A0B89" w:rsidRPr="00721808">
        <w:rPr>
          <w:rFonts w:ascii="Times New Roman" w:hAnsi="Times New Roman"/>
          <w:b/>
        </w:rPr>
        <w:t>-1</w:t>
      </w:r>
      <w:r w:rsidRPr="00721808">
        <w:rPr>
          <w:rFonts w:ascii="Times New Roman" w:hAnsi="Times New Roman"/>
          <w:b/>
        </w:rPr>
        <w:t>: DLOA retrieval</w:t>
      </w:r>
    </w:p>
    <w:p w:rsidR="005202D0" w:rsidRPr="00721808" w:rsidRDefault="005202D0" w:rsidP="005202D0">
      <w:pPr>
        <w:pStyle w:val="NormalParagraph"/>
        <w:rPr>
          <w:rFonts w:ascii="Times New Roman" w:hAnsi="Times New Roman"/>
        </w:rPr>
      </w:pPr>
      <w:r w:rsidRPr="00721808">
        <w:rPr>
          <w:rFonts w:ascii="Times New Roman" w:hAnsi="Times New Roman"/>
        </w:rPr>
        <w:t>The figure above shows the link between the DLOA Registrar which stores all the valid DLOAs and the Management System.</w:t>
      </w:r>
    </w:p>
    <w:p w:rsidR="005202D0" w:rsidRPr="00721808" w:rsidRDefault="005202D0" w:rsidP="005202D0">
      <w:pPr>
        <w:pStyle w:val="NormalParagraph"/>
        <w:rPr>
          <w:rFonts w:ascii="Times New Roman" w:hAnsi="Times New Roman"/>
        </w:rPr>
      </w:pPr>
      <w:r w:rsidRPr="00721808">
        <w:rPr>
          <w:rFonts w:ascii="Times New Roman" w:hAnsi="Times New Roman"/>
        </w:rPr>
        <w:t>In the context of M2M/IoT, a Management System is any authorised system (e.g. a M2M Service Provider, ARF) interested in verifying the level of certification, evaluation, approval, qualification, or validation of a M2M/IoT component (e.g. Device, Server, etc).</w:t>
      </w:r>
    </w:p>
    <w:p w:rsidR="005202D0" w:rsidRPr="00721808" w:rsidRDefault="00E67951" w:rsidP="005202D0">
      <w:pPr>
        <w:pStyle w:val="NormalParagraph"/>
        <w:rPr>
          <w:rFonts w:ascii="Times New Roman" w:hAnsi="Times New Roman"/>
        </w:rPr>
      </w:pPr>
      <w:r>
        <w:rPr>
          <w:rFonts w:ascii="Times New Roman" w:hAnsi="Times New Roman"/>
        </w:rPr>
        <w:t>T</w:t>
      </w:r>
      <w:r w:rsidR="005202D0" w:rsidRPr="00721808">
        <w:rPr>
          <w:rFonts w:ascii="Times New Roman" w:hAnsi="Times New Roman"/>
        </w:rPr>
        <w:t xml:space="preserve">able </w:t>
      </w:r>
      <w:r>
        <w:rPr>
          <w:rFonts w:ascii="Times New Roman" w:hAnsi="Times New Roman"/>
        </w:rPr>
        <w:t xml:space="preserve">9.1-1 below </w:t>
      </w:r>
      <w:r w:rsidR="005202D0" w:rsidRPr="00721808">
        <w:rPr>
          <w:rFonts w:ascii="Times New Roman" w:hAnsi="Times New Roman"/>
        </w:rPr>
        <w:t>describes the potential fields that a DLOA could contain.</w:t>
      </w:r>
    </w:p>
    <w:tbl>
      <w:tblPr>
        <w:tblStyle w:val="TableGrid"/>
        <w:tblW w:w="9067" w:type="dxa"/>
        <w:tblLook w:val="04A0" w:firstRow="1" w:lastRow="0" w:firstColumn="1" w:lastColumn="0" w:noHBand="0" w:noVBand="1"/>
      </w:tblPr>
      <w:tblGrid>
        <w:gridCol w:w="2306"/>
        <w:gridCol w:w="6761"/>
      </w:tblGrid>
      <w:tr w:rsidR="005202D0" w:rsidRPr="009A0B89" w:rsidTr="003266C9">
        <w:trPr>
          <w:trHeight w:val="232"/>
          <w:tblHeader/>
        </w:trPr>
        <w:tc>
          <w:tcPr>
            <w:tcW w:w="2306" w:type="dxa"/>
            <w:shd w:val="clear" w:color="auto" w:fill="DE002B"/>
            <w:vAlign w:val="center"/>
          </w:tcPr>
          <w:p w:rsidR="005202D0" w:rsidRPr="00721808" w:rsidRDefault="005202D0" w:rsidP="003266C9">
            <w:pPr>
              <w:pStyle w:val="TableHeader"/>
              <w:rPr>
                <w:rFonts w:ascii="Times New Roman" w:hAnsi="Times New Roman" w:cs="Times New Roman"/>
                <w:sz w:val="20"/>
                <w:szCs w:val="20"/>
              </w:rPr>
            </w:pPr>
            <w:r w:rsidRPr="00721808">
              <w:rPr>
                <w:rFonts w:ascii="Times New Roman" w:hAnsi="Times New Roman" w:cs="Times New Roman"/>
                <w:sz w:val="20"/>
                <w:szCs w:val="20"/>
              </w:rPr>
              <w:t>Field</w:t>
            </w:r>
          </w:p>
        </w:tc>
        <w:tc>
          <w:tcPr>
            <w:tcW w:w="6761" w:type="dxa"/>
            <w:shd w:val="clear" w:color="auto" w:fill="DE002B"/>
            <w:vAlign w:val="center"/>
          </w:tcPr>
          <w:p w:rsidR="005202D0" w:rsidRPr="00721808" w:rsidRDefault="005202D0" w:rsidP="003266C9">
            <w:pPr>
              <w:pStyle w:val="TableHeader"/>
              <w:rPr>
                <w:rFonts w:ascii="Times New Roman" w:hAnsi="Times New Roman" w:cs="Times New Roman"/>
                <w:sz w:val="20"/>
                <w:szCs w:val="20"/>
              </w:rPr>
            </w:pPr>
            <w:r w:rsidRPr="00721808">
              <w:rPr>
                <w:rFonts w:ascii="Times New Roman" w:hAnsi="Times New Roman" w:cs="Times New Roman"/>
                <w:sz w:val="20"/>
                <w:szCs w:val="20"/>
              </w:rPr>
              <w:t>Description</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Authority_Label</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 xml:space="preserve">This field contains the DLOA Authority Identifier (e.g. OID) </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LOA_Identifier</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This field contains the identifier of the LOA assigned by the DLOA Authority.</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LOA_Scope</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This field indicates the scope of the certification, evaluation, approval, qualification, or validation covered by the LOA.</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Platform_Identifier</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This field contains the identifier of the certified element (e.g. platform unique name and manufacturer name)</w:t>
            </w:r>
          </w:p>
          <w:p w:rsidR="005202D0" w:rsidRPr="00721808" w:rsidRDefault="005202D0" w:rsidP="003266C9">
            <w:pPr>
              <w:pStyle w:val="TableText"/>
              <w:rPr>
                <w:rFonts w:ascii="Times New Roman" w:hAnsi="Times New Roman"/>
                <w:szCs w:val="20"/>
              </w:rPr>
            </w:pP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Issuance_Date</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This field contains the date of issuance of the related LOA.</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Expiration_Date</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Expiration date of the LOA</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LOA_Url</w:t>
            </w:r>
          </w:p>
        </w:tc>
        <w:tc>
          <w:tcPr>
            <w:tcW w:w="6761"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This field contains the URL where the original LOA as issued by the DLOA Authority can be retrieved.</w:t>
            </w:r>
          </w:p>
        </w:tc>
      </w:tr>
      <w:tr w:rsidR="005202D0" w:rsidRPr="009A0B89" w:rsidTr="003266C9">
        <w:tc>
          <w:tcPr>
            <w:tcW w:w="2306" w:type="dxa"/>
          </w:tcPr>
          <w:p w:rsidR="005202D0" w:rsidRPr="00721808" w:rsidRDefault="005202D0" w:rsidP="003266C9">
            <w:pPr>
              <w:pStyle w:val="TableText"/>
              <w:rPr>
                <w:rFonts w:ascii="Times New Roman" w:hAnsi="Times New Roman"/>
                <w:szCs w:val="20"/>
              </w:rPr>
            </w:pPr>
            <w:r w:rsidRPr="00721808">
              <w:rPr>
                <w:rFonts w:ascii="Times New Roman" w:hAnsi="Times New Roman"/>
                <w:szCs w:val="20"/>
              </w:rPr>
              <w:t>Signature</w:t>
            </w:r>
          </w:p>
        </w:tc>
        <w:tc>
          <w:tcPr>
            <w:tcW w:w="6761" w:type="dxa"/>
          </w:tcPr>
          <w:p w:rsidR="005202D0" w:rsidRPr="00721808" w:rsidRDefault="005202D0" w:rsidP="003266C9">
            <w:pPr>
              <w:pStyle w:val="TableText"/>
              <w:rPr>
                <w:rFonts w:ascii="Times New Roman" w:hAnsi="Times New Roman"/>
                <w:szCs w:val="20"/>
                <w:lang w:val="en-US"/>
              </w:rPr>
            </w:pPr>
            <w:r w:rsidRPr="00721808">
              <w:rPr>
                <w:rFonts w:ascii="Times New Roman" w:hAnsi="Times New Roman"/>
                <w:szCs w:val="20"/>
                <w:lang w:val="en-US"/>
              </w:rPr>
              <w:t xml:space="preserve">The signature of the DLOA as defined in </w:t>
            </w:r>
            <w:r w:rsidRPr="00721808">
              <w:rPr>
                <w:rFonts w:ascii="Times New Roman" w:hAnsi="Times New Roman"/>
                <w:szCs w:val="20"/>
              </w:rPr>
              <w:t>GlobalPlatform DLOA [i.10]</w:t>
            </w:r>
            <w:r w:rsidRPr="00721808">
              <w:rPr>
                <w:rFonts w:ascii="Times New Roman" w:hAnsi="Times New Roman"/>
                <w:szCs w:val="20"/>
                <w:lang w:val="en-US"/>
              </w:rPr>
              <w:t>.</w:t>
            </w:r>
          </w:p>
          <w:p w:rsidR="005202D0" w:rsidRPr="00721808" w:rsidRDefault="005202D0" w:rsidP="003266C9">
            <w:pPr>
              <w:pStyle w:val="TableText"/>
              <w:rPr>
                <w:rFonts w:ascii="Times New Roman" w:hAnsi="Times New Roman"/>
                <w:szCs w:val="20"/>
                <w:lang w:val="en-US"/>
              </w:rPr>
            </w:pPr>
          </w:p>
        </w:tc>
      </w:tr>
    </w:tbl>
    <w:p w:rsidR="005202D0" w:rsidRPr="00721808" w:rsidRDefault="005202D0" w:rsidP="005202D0">
      <w:pPr>
        <w:rPr>
          <w:lang w:val="x-none" w:eastAsia="zh-CN"/>
        </w:rPr>
      </w:pPr>
    </w:p>
    <w:p w:rsidR="005202D0" w:rsidRPr="00721808" w:rsidRDefault="00E67951" w:rsidP="00721808">
      <w:pPr>
        <w:pStyle w:val="TableCaption"/>
        <w:numPr>
          <w:ilvl w:val="0"/>
          <w:numId w:val="0"/>
        </w:numPr>
        <w:ind w:left="360"/>
        <w:jc w:val="left"/>
        <w:rPr>
          <w:rFonts w:ascii="Times New Roman" w:hAnsi="Times New Roman" w:cs="Times New Roman"/>
          <w:sz w:val="20"/>
          <w:lang w:val="en-US"/>
        </w:rPr>
      </w:pPr>
      <w:r>
        <w:rPr>
          <w:rFonts w:ascii="Times New Roman" w:hAnsi="Times New Roman" w:cs="Times New Roman"/>
          <w:sz w:val="20"/>
          <w:lang w:val="en-US"/>
        </w:rPr>
        <w:lastRenderedPageBreak/>
        <w:t>Table 9.1-1</w:t>
      </w:r>
      <w:r w:rsidR="005202D0" w:rsidRPr="00721808">
        <w:rPr>
          <w:rFonts w:ascii="Times New Roman" w:hAnsi="Times New Roman" w:cs="Times New Roman"/>
          <w:sz w:val="20"/>
          <w:lang w:val="en-US"/>
        </w:rPr>
        <w:t xml:space="preserve">: </w:t>
      </w:r>
      <w:r>
        <w:rPr>
          <w:rFonts w:ascii="Times New Roman" w:hAnsi="Times New Roman" w:cs="Times New Roman"/>
          <w:sz w:val="20"/>
          <w:lang w:val="en-US"/>
        </w:rPr>
        <w:t>DLOA Potential Fields</w:t>
      </w:r>
    </w:p>
    <w:p w:rsidR="005202D0" w:rsidRPr="00721808" w:rsidRDefault="005202D0" w:rsidP="005202D0">
      <w:pPr>
        <w:rPr>
          <w:sz w:val="22"/>
          <w:szCs w:val="22"/>
          <w:lang w:val="x-none" w:eastAsia="zh-CN"/>
        </w:rPr>
      </w:pPr>
    </w:p>
    <w:p w:rsidR="00BF4E4A" w:rsidRPr="00EA211F" w:rsidRDefault="00B007B6" w:rsidP="00BF4E4A">
      <w:pPr>
        <w:pStyle w:val="Heading2"/>
        <w:rPr>
          <w:lang w:val="en-US" w:eastAsia="zh-CN"/>
        </w:rPr>
      </w:pPr>
      <w:bookmarkStart w:id="166" w:name="_Toc421711124"/>
      <w:bookmarkStart w:id="167" w:name="_Toc451960302"/>
      <w:bookmarkStart w:id="168" w:name="_Toc508958801"/>
      <w:bookmarkStart w:id="169" w:name="_Toc492019267"/>
      <w:r>
        <w:rPr>
          <w:lang w:val="en-US" w:eastAsia="zh-CN"/>
        </w:rPr>
        <w:t>9</w:t>
      </w:r>
      <w:r w:rsidR="00BF4E4A" w:rsidRPr="00EA211F">
        <w:rPr>
          <w:rFonts w:hint="eastAsia"/>
          <w:lang w:val="en-US" w:eastAsia="zh-CN"/>
        </w:rPr>
        <w:t>.</w:t>
      </w:r>
      <w:r w:rsidR="00CB5D36">
        <w:rPr>
          <w:lang w:val="en-US" w:eastAsia="zh-CN"/>
        </w:rPr>
        <w:t>2</w:t>
      </w:r>
      <w:r w:rsidR="00BF4E4A" w:rsidRPr="00EA211F">
        <w:rPr>
          <w:rFonts w:hint="eastAsia"/>
          <w:lang w:val="en-US" w:eastAsia="zh-CN"/>
        </w:rPr>
        <w:tab/>
      </w:r>
      <w:bookmarkEnd w:id="166"/>
      <w:r w:rsidR="00BF4E4A" w:rsidRPr="00EA211F">
        <w:rPr>
          <w:rFonts w:hint="eastAsia"/>
          <w:lang w:val="en-US" w:eastAsia="zh-CN"/>
        </w:rPr>
        <w:t>A</w:t>
      </w:r>
      <w:r w:rsidR="00BF4E4A" w:rsidRPr="00EA211F">
        <w:rPr>
          <w:lang w:val="en-US" w:eastAsia="zh-CN"/>
        </w:rPr>
        <w:t xml:space="preserve"> </w:t>
      </w:r>
      <w:r w:rsidR="00BF4E4A" w:rsidRPr="00EA211F">
        <w:rPr>
          <w:rFonts w:hint="eastAsia"/>
          <w:lang w:val="en-US" w:eastAsia="zh-CN"/>
        </w:rPr>
        <w:t>S</w:t>
      </w:r>
      <w:r w:rsidR="00BF4E4A" w:rsidRPr="00EA211F">
        <w:rPr>
          <w:lang w:val="en-US" w:eastAsia="zh-CN"/>
        </w:rPr>
        <w:t>olution for providing</w:t>
      </w:r>
      <w:r w:rsidR="005202D0">
        <w:rPr>
          <w:lang w:val="en-US" w:eastAsia="zh-CN"/>
        </w:rPr>
        <w:t xml:space="preserve"> DLOA</w:t>
      </w:r>
      <w:r w:rsidR="00BF4E4A" w:rsidRPr="00EA211F">
        <w:rPr>
          <w:lang w:val="en-US" w:eastAsia="zh-CN"/>
        </w:rPr>
        <w:t xml:space="preserve"> </w:t>
      </w:r>
      <w:bookmarkEnd w:id="167"/>
      <w:r w:rsidR="00CB5D36">
        <w:rPr>
          <w:lang w:val="en-US" w:eastAsia="zh-CN"/>
        </w:rPr>
        <w:t>Functionality</w:t>
      </w:r>
      <w:bookmarkEnd w:id="168"/>
      <w:r w:rsidR="00CB5D36">
        <w:rPr>
          <w:lang w:val="en-US" w:eastAsia="zh-CN"/>
        </w:rPr>
        <w:t xml:space="preserve"> </w:t>
      </w:r>
      <w:bookmarkEnd w:id="169"/>
    </w:p>
    <w:p w:rsidR="00BF4E4A" w:rsidRPr="00CB5D36" w:rsidRDefault="00B007B6" w:rsidP="00BF4E4A">
      <w:pPr>
        <w:pStyle w:val="Heading3"/>
        <w:rPr>
          <w:szCs w:val="28"/>
          <w:lang w:val="en-GB"/>
        </w:rPr>
      </w:pPr>
      <w:bookmarkStart w:id="170" w:name="_Toc421711125"/>
      <w:bookmarkStart w:id="171" w:name="_Toc451960303"/>
      <w:bookmarkStart w:id="172" w:name="_Toc508958802"/>
      <w:bookmarkStart w:id="173" w:name="_Toc492019268"/>
      <w:r>
        <w:rPr>
          <w:szCs w:val="28"/>
          <w:lang w:val="en-US" w:eastAsia="zh-CN"/>
        </w:rPr>
        <w:t>9</w:t>
      </w:r>
      <w:r w:rsidR="00BF4E4A" w:rsidRPr="00EA211F">
        <w:rPr>
          <w:szCs w:val="28"/>
        </w:rPr>
        <w:t>.</w:t>
      </w:r>
      <w:r w:rsidR="00CB5D36">
        <w:rPr>
          <w:rFonts w:hint="eastAsia"/>
          <w:szCs w:val="28"/>
          <w:lang w:eastAsia="zh-CN"/>
        </w:rPr>
        <w:t>2</w:t>
      </w:r>
      <w:r w:rsidR="00BF4E4A" w:rsidRPr="00EA211F">
        <w:rPr>
          <w:rFonts w:hint="eastAsia"/>
          <w:szCs w:val="28"/>
        </w:rPr>
        <w:t>.</w:t>
      </w:r>
      <w:r w:rsidR="00BF4E4A" w:rsidRPr="00EA211F">
        <w:rPr>
          <w:rFonts w:hint="eastAsia"/>
          <w:szCs w:val="28"/>
          <w:lang w:eastAsia="zh-CN"/>
        </w:rPr>
        <w:t>1</w:t>
      </w:r>
      <w:r w:rsidR="00BF4E4A" w:rsidRPr="00EA211F">
        <w:rPr>
          <w:rFonts w:hint="eastAsia"/>
          <w:szCs w:val="28"/>
        </w:rPr>
        <w:tab/>
      </w:r>
      <w:bookmarkEnd w:id="170"/>
      <w:r w:rsidR="00BF4E4A" w:rsidRPr="00EA211F">
        <w:rPr>
          <w:rFonts w:hint="eastAsia"/>
          <w:szCs w:val="28"/>
        </w:rPr>
        <w:t xml:space="preserve">General procedure for </w:t>
      </w:r>
      <w:bookmarkEnd w:id="171"/>
      <w:r w:rsidR="00CB5D36">
        <w:rPr>
          <w:szCs w:val="28"/>
          <w:lang w:val="en-GB"/>
        </w:rPr>
        <w:t xml:space="preserve">providing </w:t>
      </w:r>
      <w:r w:rsidR="005202D0">
        <w:rPr>
          <w:szCs w:val="28"/>
          <w:lang w:val="en-GB"/>
        </w:rPr>
        <w:t xml:space="preserve">DLOA </w:t>
      </w:r>
      <w:r w:rsidR="00CB5D36">
        <w:rPr>
          <w:szCs w:val="28"/>
          <w:lang w:val="en-GB"/>
        </w:rPr>
        <w:t>functionality</w:t>
      </w:r>
      <w:bookmarkEnd w:id="172"/>
      <w:r w:rsidR="00CB5D36">
        <w:rPr>
          <w:szCs w:val="28"/>
          <w:lang w:val="en-GB"/>
        </w:rPr>
        <w:t xml:space="preserve"> </w:t>
      </w:r>
      <w:bookmarkEnd w:id="173"/>
    </w:p>
    <w:p w:rsidR="005202D0" w:rsidRPr="00721808" w:rsidRDefault="005202D0" w:rsidP="005202D0">
      <w:pPr>
        <w:pStyle w:val="NormalParagraph"/>
        <w:rPr>
          <w:rFonts w:ascii="Times New Roman" w:hAnsi="Times New Roman"/>
          <w:sz w:val="20"/>
          <w:szCs w:val="20"/>
        </w:rPr>
      </w:pPr>
      <w:r w:rsidRPr="00721808">
        <w:rPr>
          <w:rFonts w:ascii="Times New Roman" w:hAnsi="Times New Roman"/>
          <w:sz w:val="20"/>
          <w:szCs w:val="20"/>
        </w:rPr>
        <w:t>The ARF may obtain all the certifications related to a component (e.g. service, application, application) via the DLOA Registrar. According to the result, the ARF determines which services are appropriate for the request.</w:t>
      </w:r>
    </w:p>
    <w:p w:rsidR="00713540" w:rsidRPr="00EA211F" w:rsidRDefault="00713540" w:rsidP="00713540">
      <w:pPr>
        <w:rPr>
          <w:lang w:eastAsia="zh-CN"/>
        </w:rPr>
      </w:pPr>
    </w:p>
    <w:p w:rsidR="00DF05A9" w:rsidRPr="00EA211F" w:rsidRDefault="00DF05A9" w:rsidP="00713540">
      <w:pPr>
        <w:keepNext/>
        <w:rPr>
          <w:lang w:val="en-US" w:eastAsia="zh-CN"/>
        </w:rPr>
      </w:pPr>
    </w:p>
    <w:p w:rsidR="00713540" w:rsidRPr="00EA211F" w:rsidRDefault="00BB451A" w:rsidP="00713540">
      <w:pPr>
        <w:pStyle w:val="Heading1"/>
        <w:rPr>
          <w:lang w:eastAsia="zh-CN"/>
        </w:rPr>
      </w:pPr>
      <w:bookmarkStart w:id="174" w:name="_Toc372315988"/>
      <w:bookmarkStart w:id="175" w:name="_Toc431220855"/>
      <w:bookmarkStart w:id="176" w:name="_Toc451960336"/>
      <w:bookmarkStart w:id="177" w:name="_Toc492019274"/>
      <w:bookmarkStart w:id="178" w:name="_Toc508958803"/>
      <w:bookmarkStart w:id="179" w:name="OLE_LINK5"/>
      <w:bookmarkStart w:id="180" w:name="OLE_LINK6"/>
      <w:r>
        <w:rPr>
          <w:lang w:eastAsia="zh-CN"/>
        </w:rPr>
        <w:t>10</w:t>
      </w:r>
      <w:r w:rsidR="00713540" w:rsidRPr="00EA211F">
        <w:tab/>
        <w:t>Conclusions and recommendations</w:t>
      </w:r>
      <w:bookmarkEnd w:id="174"/>
      <w:bookmarkEnd w:id="175"/>
      <w:bookmarkEnd w:id="176"/>
      <w:bookmarkEnd w:id="177"/>
      <w:bookmarkEnd w:id="178"/>
    </w:p>
    <w:p w:rsidR="003732D9" w:rsidRPr="00EA211F" w:rsidRDefault="003732D9" w:rsidP="003732D9">
      <w:pPr>
        <w:rPr>
          <w:lang w:eastAsia="zh-CN"/>
        </w:rPr>
      </w:pPr>
      <w:r w:rsidRPr="00EA211F">
        <w:t xml:space="preserve">The present document offers an overview of the </w:t>
      </w:r>
      <w:r w:rsidRPr="00EA211F">
        <w:rPr>
          <w:rFonts w:hint="eastAsia"/>
          <w:lang w:eastAsia="zh-CN"/>
        </w:rPr>
        <w:t xml:space="preserve">use cases, requirements, architecture proposals and available solutions for </w:t>
      </w:r>
      <w:r w:rsidR="004C05A1">
        <w:rPr>
          <w:lang w:val="en-US"/>
        </w:rPr>
        <w:t xml:space="preserve">an App-ID Registry Function. </w:t>
      </w:r>
    </w:p>
    <w:p w:rsidR="003732D9" w:rsidRPr="00EA211F" w:rsidRDefault="003732D9" w:rsidP="003732D9">
      <w:r w:rsidRPr="00EA211F">
        <w:rPr>
          <w:rFonts w:hint="eastAsia"/>
          <w:lang w:eastAsia="zh-CN"/>
        </w:rPr>
        <w:t xml:space="preserve">Some of the content </w:t>
      </w:r>
      <w:r w:rsidR="00635A41">
        <w:rPr>
          <w:lang w:eastAsia="zh-CN"/>
        </w:rPr>
        <w:t xml:space="preserve">within this TR </w:t>
      </w:r>
      <w:r w:rsidR="0001014C" w:rsidRPr="00EA211F">
        <w:rPr>
          <w:rFonts w:hint="eastAsia"/>
          <w:lang w:eastAsia="zh-CN"/>
        </w:rPr>
        <w:t>ha</w:t>
      </w:r>
      <w:r w:rsidR="0001014C">
        <w:rPr>
          <w:lang w:eastAsia="zh-CN"/>
        </w:rPr>
        <w:t>s</w:t>
      </w:r>
      <w:r w:rsidR="0001014C" w:rsidRPr="00EA211F">
        <w:rPr>
          <w:rFonts w:hint="eastAsia"/>
          <w:lang w:eastAsia="zh-CN"/>
        </w:rPr>
        <w:t xml:space="preserve"> </w:t>
      </w:r>
      <w:r w:rsidRPr="00EA211F">
        <w:rPr>
          <w:rFonts w:hint="eastAsia"/>
          <w:lang w:eastAsia="zh-CN"/>
        </w:rPr>
        <w:t xml:space="preserve">been normalized as Release </w:t>
      </w:r>
      <w:r w:rsidR="00A26EF8">
        <w:rPr>
          <w:lang w:eastAsia="zh-CN"/>
        </w:rPr>
        <w:t>2</w:t>
      </w:r>
      <w:r w:rsidR="00A26EF8" w:rsidRPr="00EA211F">
        <w:rPr>
          <w:rFonts w:hint="eastAsia"/>
          <w:lang w:eastAsia="zh-CN"/>
        </w:rPr>
        <w:t xml:space="preserve"> </w:t>
      </w:r>
      <w:r w:rsidRPr="00EA211F">
        <w:t>Technical Specification</w:t>
      </w:r>
      <w:r w:rsidRPr="00EA211F">
        <w:rPr>
          <w:rFonts w:hint="eastAsia"/>
          <w:lang w:eastAsia="zh-CN"/>
        </w:rPr>
        <w:t xml:space="preserve">. </w:t>
      </w:r>
      <w:r w:rsidR="0001014C" w:rsidRPr="00EA211F">
        <w:rPr>
          <w:rFonts w:hint="eastAsia"/>
          <w:lang w:eastAsia="zh-CN"/>
        </w:rPr>
        <w:t>Other</w:t>
      </w:r>
      <w:r w:rsidR="0001014C">
        <w:rPr>
          <w:lang w:eastAsia="zh-CN"/>
        </w:rPr>
        <w:t xml:space="preserve"> content</w:t>
      </w:r>
      <w:r w:rsidR="0001014C" w:rsidRPr="00EA211F">
        <w:rPr>
          <w:rFonts w:hint="eastAsia"/>
          <w:lang w:eastAsia="zh-CN"/>
        </w:rPr>
        <w:t xml:space="preserve"> </w:t>
      </w:r>
      <w:r w:rsidRPr="00EA211F">
        <w:t>may be used to facilitate future normative work resulting in oneM2M Technical Specifications.</w:t>
      </w:r>
    </w:p>
    <w:bookmarkEnd w:id="179"/>
    <w:bookmarkEnd w:id="180"/>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p>
    <w:p w:rsidR="00713540" w:rsidRPr="00EA211F" w:rsidRDefault="00713540" w:rsidP="00713540">
      <w:pPr>
        <w:rPr>
          <w:rStyle w:val="Guidance"/>
          <w:rFonts w:ascii="Arial" w:hAnsi="Arial" w:cs="Arial"/>
          <w:sz w:val="18"/>
          <w:szCs w:val="18"/>
          <w:lang w:eastAsia="zh-CN"/>
        </w:rPr>
      </w:pPr>
      <w:bookmarkStart w:id="181" w:name="_Toc406425241"/>
      <w:bookmarkStart w:id="182" w:name="_Toc408583326"/>
      <w:bookmarkStart w:id="183" w:name="_Toc408583770"/>
      <w:bookmarkStart w:id="184" w:name="_Toc416336734"/>
      <w:bookmarkStart w:id="185" w:name="_Toc406425240"/>
      <w:bookmarkStart w:id="186" w:name="_Toc408583325"/>
      <w:bookmarkStart w:id="187" w:name="_Toc408583769"/>
      <w:bookmarkStart w:id="188" w:name="_Toc416336733"/>
    </w:p>
    <w:p w:rsidR="00713540" w:rsidRPr="00EA211F" w:rsidRDefault="00713540" w:rsidP="00713540">
      <w:pPr>
        <w:pStyle w:val="Heading1"/>
      </w:pPr>
      <w:bookmarkStart w:id="189" w:name="_Toc300919400"/>
      <w:bookmarkStart w:id="190" w:name="_Toc431220862"/>
      <w:bookmarkStart w:id="191" w:name="_Toc451960350"/>
      <w:bookmarkStart w:id="192" w:name="_Toc508958804"/>
      <w:bookmarkEnd w:id="181"/>
      <w:bookmarkEnd w:id="182"/>
      <w:bookmarkEnd w:id="183"/>
      <w:bookmarkEnd w:id="184"/>
      <w:bookmarkEnd w:id="185"/>
      <w:bookmarkEnd w:id="186"/>
      <w:bookmarkEnd w:id="187"/>
      <w:bookmarkEnd w:id="188"/>
      <w:r w:rsidRPr="00EA211F">
        <w:lastRenderedPageBreak/>
        <w:t>History</w:t>
      </w:r>
      <w:bookmarkEnd w:id="189"/>
      <w:bookmarkEnd w:id="190"/>
      <w:bookmarkEnd w:id="191"/>
      <w:bookmarkEnd w:id="192"/>
    </w:p>
    <w:p w:rsidR="00713540" w:rsidRPr="00EA211F" w:rsidRDefault="00713540" w:rsidP="00713540">
      <w:pPr>
        <w:keepNext/>
        <w:rPr>
          <w:rFonts w:ascii="Arial" w:hAnsi="Arial" w:cs="Arial"/>
          <w:i/>
          <w:color w:val="0000FF"/>
          <w:sz w:val="18"/>
          <w:szCs w:val="18"/>
        </w:rPr>
      </w:pPr>
    </w:p>
    <w:tbl>
      <w:tblPr>
        <w:tblW w:w="0" w:type="auto"/>
        <w:jc w:val="center"/>
        <w:tblLayout w:type="fixed"/>
        <w:tblCellMar>
          <w:left w:w="28" w:type="dxa"/>
          <w:right w:w="28" w:type="dxa"/>
        </w:tblCellMar>
        <w:tblLook w:val="04A0" w:firstRow="1" w:lastRow="0" w:firstColumn="1" w:lastColumn="0" w:noHBand="0" w:noVBand="1"/>
      </w:tblPr>
      <w:tblGrid>
        <w:gridCol w:w="1247"/>
        <w:gridCol w:w="1588"/>
        <w:gridCol w:w="6804"/>
      </w:tblGrid>
      <w:tr w:rsidR="00713540" w:rsidRPr="00EA211F" w:rsidTr="00994C8E">
        <w:trPr>
          <w:cantSplit/>
          <w:jc w:val="center"/>
        </w:trPr>
        <w:tc>
          <w:tcPr>
            <w:tcW w:w="9639" w:type="dxa"/>
            <w:gridSpan w:val="3"/>
            <w:tcBorders>
              <w:top w:val="single" w:sz="6" w:space="0" w:color="auto"/>
              <w:left w:val="single" w:sz="6" w:space="0" w:color="auto"/>
              <w:bottom w:val="single" w:sz="6" w:space="0" w:color="auto"/>
              <w:right w:val="single" w:sz="6" w:space="0" w:color="auto"/>
            </w:tcBorders>
            <w:hideMark/>
          </w:tcPr>
          <w:p w:rsidR="00713540" w:rsidRPr="00EA211F" w:rsidRDefault="00713540" w:rsidP="00994C8E">
            <w:pPr>
              <w:keepNext/>
              <w:spacing w:before="60" w:after="60"/>
              <w:jc w:val="center"/>
              <w:rPr>
                <w:b/>
                <w:sz w:val="24"/>
              </w:rPr>
            </w:pPr>
            <w:r w:rsidRPr="00EA211F">
              <w:rPr>
                <w:b/>
                <w:sz w:val="24"/>
              </w:rPr>
              <w:t>Publication history</w:t>
            </w:r>
          </w:p>
        </w:tc>
      </w:tr>
      <w:tr w:rsidR="00713540" w:rsidRPr="00EA211F" w:rsidTr="00994C8E">
        <w:trPr>
          <w:cantSplit/>
          <w:jc w:val="center"/>
        </w:trPr>
        <w:tc>
          <w:tcPr>
            <w:tcW w:w="1247" w:type="dxa"/>
            <w:tcBorders>
              <w:top w:val="single" w:sz="6" w:space="0" w:color="auto"/>
              <w:left w:val="single" w:sz="6" w:space="0" w:color="auto"/>
              <w:bottom w:val="single" w:sz="6" w:space="0" w:color="auto"/>
              <w:right w:val="single" w:sz="6" w:space="0" w:color="auto"/>
            </w:tcBorders>
            <w:hideMark/>
          </w:tcPr>
          <w:p w:rsidR="00713540" w:rsidRPr="00EA211F" w:rsidRDefault="00713540" w:rsidP="001B3671">
            <w:pPr>
              <w:pStyle w:val="FP"/>
              <w:keepNext/>
              <w:spacing w:before="80" w:after="80"/>
              <w:ind w:left="57"/>
            </w:pPr>
            <w:r w:rsidRPr="00EA211F">
              <w:t>V.</w:t>
            </w:r>
            <w:r w:rsidR="00CB5D36">
              <w:t>0</w:t>
            </w:r>
            <w:r w:rsidR="001B3671">
              <w:t>.0.</w:t>
            </w:r>
            <w:r w:rsidR="00CB5D36">
              <w:t>1</w:t>
            </w:r>
          </w:p>
        </w:tc>
        <w:tc>
          <w:tcPr>
            <w:tcW w:w="1588" w:type="dxa"/>
            <w:tcBorders>
              <w:top w:val="single" w:sz="6" w:space="0" w:color="auto"/>
              <w:left w:val="single" w:sz="6" w:space="0" w:color="auto"/>
              <w:bottom w:val="single" w:sz="6" w:space="0" w:color="auto"/>
              <w:right w:val="single" w:sz="6" w:space="0" w:color="auto"/>
            </w:tcBorders>
            <w:hideMark/>
          </w:tcPr>
          <w:p w:rsidR="00713540" w:rsidRPr="00EA211F" w:rsidRDefault="00B42E8B" w:rsidP="00B42E8B">
            <w:pPr>
              <w:pStyle w:val="FP"/>
              <w:keepNext/>
              <w:spacing w:before="80" w:after="80"/>
              <w:ind w:left="57"/>
            </w:pPr>
            <w:r>
              <w:t>21</w:t>
            </w:r>
            <w:r w:rsidR="001B3671">
              <w:t>-</w:t>
            </w:r>
            <w:r>
              <w:t>Sep</w:t>
            </w:r>
            <w:r w:rsidR="001B3671">
              <w:t>-201</w:t>
            </w:r>
            <w:r w:rsidR="00CB5D36">
              <w:t>7</w:t>
            </w:r>
          </w:p>
        </w:tc>
        <w:tc>
          <w:tcPr>
            <w:tcW w:w="6804" w:type="dxa"/>
            <w:tcBorders>
              <w:top w:val="single" w:sz="6" w:space="0" w:color="auto"/>
              <w:left w:val="nil"/>
              <w:bottom w:val="single" w:sz="6" w:space="0" w:color="auto"/>
              <w:right w:val="single" w:sz="6" w:space="0" w:color="auto"/>
            </w:tcBorders>
            <w:hideMark/>
          </w:tcPr>
          <w:p w:rsidR="00713540" w:rsidRPr="00EA211F" w:rsidRDefault="00B42E8B" w:rsidP="00994C8E">
            <w:pPr>
              <w:pStyle w:val="FP"/>
              <w:keepNext/>
              <w:tabs>
                <w:tab w:val="left" w:pos="3118"/>
              </w:tabs>
              <w:spacing w:before="80" w:after="80"/>
              <w:ind w:left="57"/>
            </w:pPr>
            <w:r>
              <w:t>Initial Baseline for TR</w:t>
            </w:r>
          </w:p>
        </w:tc>
      </w:tr>
      <w:tr w:rsidR="00350C19" w:rsidRPr="00EA211F" w:rsidTr="00994C8E">
        <w:trPr>
          <w:cantSplit/>
          <w:jc w:val="center"/>
        </w:trPr>
        <w:tc>
          <w:tcPr>
            <w:tcW w:w="1247" w:type="dxa"/>
            <w:tcBorders>
              <w:top w:val="single" w:sz="6" w:space="0" w:color="auto"/>
              <w:left w:val="single" w:sz="6" w:space="0" w:color="auto"/>
              <w:bottom w:val="single" w:sz="6" w:space="0" w:color="auto"/>
              <w:right w:val="single" w:sz="6" w:space="0" w:color="auto"/>
            </w:tcBorders>
          </w:tcPr>
          <w:p w:rsidR="00350C19" w:rsidRPr="00EA211F" w:rsidRDefault="00350C19" w:rsidP="00350C19">
            <w:pPr>
              <w:pStyle w:val="FP"/>
              <w:keepNext/>
              <w:spacing w:before="80" w:after="80"/>
              <w:ind w:left="57"/>
            </w:pPr>
            <w:r>
              <w:t>V.0.0.2</w:t>
            </w:r>
          </w:p>
        </w:tc>
        <w:tc>
          <w:tcPr>
            <w:tcW w:w="1588" w:type="dxa"/>
            <w:tcBorders>
              <w:top w:val="single" w:sz="6" w:space="0" w:color="auto"/>
              <w:left w:val="single" w:sz="6" w:space="0" w:color="auto"/>
              <w:bottom w:val="single" w:sz="6" w:space="0" w:color="auto"/>
              <w:right w:val="single" w:sz="6" w:space="0" w:color="auto"/>
            </w:tcBorders>
          </w:tcPr>
          <w:p w:rsidR="00350C19" w:rsidRPr="00EA211F" w:rsidRDefault="00350C19" w:rsidP="00350C19">
            <w:pPr>
              <w:pStyle w:val="FP"/>
              <w:keepNext/>
              <w:spacing w:before="80" w:after="80"/>
              <w:ind w:left="57"/>
            </w:pPr>
            <w:r>
              <w:t>11-Oct-</w:t>
            </w:r>
            <w:r w:rsidR="009F6828">
              <w:t>20</w:t>
            </w:r>
            <w:r>
              <w:t>17</w:t>
            </w:r>
          </w:p>
        </w:tc>
        <w:tc>
          <w:tcPr>
            <w:tcW w:w="6804" w:type="dxa"/>
            <w:tcBorders>
              <w:top w:val="single" w:sz="6" w:space="0" w:color="auto"/>
              <w:left w:val="nil"/>
              <w:bottom w:val="single" w:sz="6" w:space="0" w:color="auto"/>
              <w:right w:val="single" w:sz="6" w:space="0" w:color="auto"/>
            </w:tcBorders>
          </w:tcPr>
          <w:p w:rsidR="00350C19" w:rsidRPr="00EA211F" w:rsidRDefault="00350C19" w:rsidP="00350C19">
            <w:pPr>
              <w:pStyle w:val="FP"/>
              <w:keepNext/>
              <w:tabs>
                <w:tab w:val="left" w:pos="3118"/>
              </w:tabs>
              <w:spacing w:before="80" w:after="80"/>
              <w:ind w:left="57"/>
            </w:pPr>
            <w:r>
              <w:t>New Baseline with agreed text for scope and use cases</w:t>
            </w:r>
          </w:p>
        </w:tc>
      </w:tr>
      <w:tr w:rsidR="00713540" w:rsidRPr="00EA211F" w:rsidTr="00994C8E">
        <w:trPr>
          <w:cantSplit/>
          <w:jc w:val="center"/>
        </w:trPr>
        <w:tc>
          <w:tcPr>
            <w:tcW w:w="1247" w:type="dxa"/>
            <w:tcBorders>
              <w:top w:val="single" w:sz="6" w:space="0" w:color="auto"/>
              <w:left w:val="single" w:sz="6" w:space="0" w:color="auto"/>
              <w:bottom w:val="single" w:sz="6" w:space="0" w:color="auto"/>
              <w:right w:val="single" w:sz="6" w:space="0" w:color="auto"/>
            </w:tcBorders>
          </w:tcPr>
          <w:p w:rsidR="00713540" w:rsidRPr="00EA211F" w:rsidRDefault="00B67849" w:rsidP="00994C8E">
            <w:pPr>
              <w:pStyle w:val="FP"/>
              <w:keepNext/>
              <w:spacing w:before="80" w:after="80"/>
              <w:ind w:left="57"/>
            </w:pPr>
            <w:r>
              <w:t>V.0.0.3</w:t>
            </w:r>
          </w:p>
        </w:tc>
        <w:tc>
          <w:tcPr>
            <w:tcW w:w="1588" w:type="dxa"/>
            <w:tcBorders>
              <w:top w:val="single" w:sz="6" w:space="0" w:color="auto"/>
              <w:left w:val="single" w:sz="6" w:space="0" w:color="auto"/>
              <w:bottom w:val="single" w:sz="6" w:space="0" w:color="auto"/>
              <w:right w:val="single" w:sz="6" w:space="0" w:color="auto"/>
            </w:tcBorders>
          </w:tcPr>
          <w:p w:rsidR="00713540" w:rsidRPr="00EA211F" w:rsidRDefault="009F6828" w:rsidP="0019768F">
            <w:pPr>
              <w:pStyle w:val="FP"/>
              <w:keepNext/>
              <w:spacing w:before="80" w:after="80"/>
              <w:ind w:left="57"/>
            </w:pPr>
            <w:r>
              <w:t>4-Dec-20</w:t>
            </w:r>
            <w:r w:rsidR="00B67849">
              <w:t>17</w:t>
            </w:r>
          </w:p>
        </w:tc>
        <w:tc>
          <w:tcPr>
            <w:tcW w:w="6804" w:type="dxa"/>
            <w:tcBorders>
              <w:top w:val="single" w:sz="6" w:space="0" w:color="auto"/>
              <w:left w:val="nil"/>
              <w:bottom w:val="single" w:sz="6" w:space="0" w:color="auto"/>
              <w:right w:val="single" w:sz="6" w:space="0" w:color="auto"/>
            </w:tcBorders>
          </w:tcPr>
          <w:p w:rsidR="00713540" w:rsidRPr="00EA211F" w:rsidRDefault="00B67849" w:rsidP="00994C8E">
            <w:pPr>
              <w:pStyle w:val="FP"/>
              <w:keepNext/>
              <w:tabs>
                <w:tab w:val="left" w:pos="3261"/>
                <w:tab w:val="left" w:pos="4395"/>
              </w:tabs>
              <w:spacing w:before="80" w:after="80"/>
              <w:ind w:left="57"/>
            </w:pPr>
            <w:r>
              <w:t>Update with approved contributions at TP32</w:t>
            </w:r>
          </w:p>
        </w:tc>
      </w:tr>
      <w:tr w:rsidR="00713540" w:rsidRPr="00EA211F" w:rsidTr="00994C8E">
        <w:trPr>
          <w:cantSplit/>
          <w:jc w:val="center"/>
        </w:trPr>
        <w:tc>
          <w:tcPr>
            <w:tcW w:w="1247" w:type="dxa"/>
            <w:tcBorders>
              <w:top w:val="single" w:sz="6" w:space="0" w:color="auto"/>
              <w:left w:val="single" w:sz="6" w:space="0" w:color="auto"/>
              <w:bottom w:val="single" w:sz="6" w:space="0" w:color="auto"/>
              <w:right w:val="single" w:sz="6" w:space="0" w:color="auto"/>
            </w:tcBorders>
          </w:tcPr>
          <w:p w:rsidR="00713540" w:rsidRPr="00EA211F" w:rsidRDefault="00E67951" w:rsidP="00994C8E">
            <w:pPr>
              <w:pStyle w:val="FP"/>
              <w:spacing w:before="80" w:after="80"/>
              <w:ind w:left="57"/>
            </w:pPr>
            <w:r>
              <w:t>V.0.0.4</w:t>
            </w:r>
          </w:p>
        </w:tc>
        <w:tc>
          <w:tcPr>
            <w:tcW w:w="1588" w:type="dxa"/>
            <w:tcBorders>
              <w:top w:val="single" w:sz="6" w:space="0" w:color="auto"/>
              <w:left w:val="single" w:sz="6" w:space="0" w:color="auto"/>
              <w:bottom w:val="single" w:sz="6" w:space="0" w:color="auto"/>
              <w:right w:val="single" w:sz="6" w:space="0" w:color="auto"/>
            </w:tcBorders>
          </w:tcPr>
          <w:p w:rsidR="00713540" w:rsidRPr="00EA211F" w:rsidRDefault="00E67951" w:rsidP="00994C8E">
            <w:pPr>
              <w:pStyle w:val="FP"/>
              <w:spacing w:before="80" w:after="80"/>
              <w:ind w:left="57"/>
            </w:pPr>
            <w:r>
              <w:t>16-Mar-2018</w:t>
            </w:r>
          </w:p>
        </w:tc>
        <w:tc>
          <w:tcPr>
            <w:tcW w:w="6804" w:type="dxa"/>
            <w:tcBorders>
              <w:top w:val="single" w:sz="6" w:space="0" w:color="auto"/>
              <w:left w:val="nil"/>
              <w:bottom w:val="single" w:sz="6" w:space="0" w:color="auto"/>
              <w:right w:val="single" w:sz="6" w:space="0" w:color="auto"/>
            </w:tcBorders>
          </w:tcPr>
          <w:p w:rsidR="00713540" w:rsidRPr="00EA211F" w:rsidRDefault="00E67951" w:rsidP="00994C8E">
            <w:pPr>
              <w:pStyle w:val="FP"/>
              <w:tabs>
                <w:tab w:val="left" w:pos="3261"/>
                <w:tab w:val="left" w:pos="4395"/>
              </w:tabs>
              <w:spacing w:before="80" w:after="80"/>
              <w:ind w:left="57"/>
            </w:pPr>
            <w:r>
              <w:t>Update to include DLOA and Edits for Final Approval</w:t>
            </w:r>
          </w:p>
        </w:tc>
      </w:tr>
      <w:tr w:rsidR="00713540" w:rsidRPr="00EA211F" w:rsidTr="00994C8E">
        <w:trPr>
          <w:cantSplit/>
          <w:jc w:val="center"/>
        </w:trPr>
        <w:tc>
          <w:tcPr>
            <w:tcW w:w="1247" w:type="dxa"/>
            <w:tcBorders>
              <w:top w:val="single" w:sz="6" w:space="0" w:color="auto"/>
              <w:left w:val="single" w:sz="6" w:space="0" w:color="auto"/>
              <w:bottom w:val="single" w:sz="6" w:space="0" w:color="auto"/>
              <w:right w:val="single" w:sz="6" w:space="0" w:color="auto"/>
            </w:tcBorders>
          </w:tcPr>
          <w:p w:rsidR="00713540" w:rsidRPr="00EA211F" w:rsidRDefault="00713540" w:rsidP="00994C8E">
            <w:pPr>
              <w:pStyle w:val="FP"/>
              <w:spacing w:before="80" w:after="80"/>
              <w:ind w:left="57"/>
            </w:pPr>
          </w:p>
        </w:tc>
        <w:tc>
          <w:tcPr>
            <w:tcW w:w="1588" w:type="dxa"/>
            <w:tcBorders>
              <w:top w:val="single" w:sz="6" w:space="0" w:color="auto"/>
              <w:left w:val="single" w:sz="6" w:space="0" w:color="auto"/>
              <w:bottom w:val="single" w:sz="6" w:space="0" w:color="auto"/>
              <w:right w:val="single" w:sz="6" w:space="0" w:color="auto"/>
            </w:tcBorders>
          </w:tcPr>
          <w:p w:rsidR="00713540" w:rsidRPr="00EA211F" w:rsidRDefault="00713540" w:rsidP="00994C8E">
            <w:pPr>
              <w:pStyle w:val="FP"/>
              <w:spacing w:before="80" w:after="80"/>
              <w:ind w:left="57"/>
            </w:pPr>
          </w:p>
        </w:tc>
        <w:tc>
          <w:tcPr>
            <w:tcW w:w="6804" w:type="dxa"/>
            <w:tcBorders>
              <w:top w:val="single" w:sz="6" w:space="0" w:color="auto"/>
              <w:left w:val="nil"/>
              <w:bottom w:val="single" w:sz="6" w:space="0" w:color="auto"/>
              <w:right w:val="single" w:sz="6" w:space="0" w:color="auto"/>
            </w:tcBorders>
          </w:tcPr>
          <w:p w:rsidR="00713540" w:rsidRPr="00EA211F" w:rsidRDefault="00713540" w:rsidP="00994C8E">
            <w:pPr>
              <w:pStyle w:val="FP"/>
              <w:tabs>
                <w:tab w:val="left" w:pos="3261"/>
                <w:tab w:val="left" w:pos="4395"/>
              </w:tabs>
              <w:spacing w:before="80" w:after="80"/>
              <w:ind w:left="57"/>
            </w:pPr>
          </w:p>
        </w:tc>
      </w:tr>
    </w:tbl>
    <w:p w:rsidR="00713540" w:rsidRPr="00EA211F" w:rsidRDefault="00713540" w:rsidP="00713540"/>
    <w:p w:rsidR="00713540" w:rsidRPr="00EA211F" w:rsidRDefault="00713540" w:rsidP="00713540"/>
    <w:p w:rsidR="00713540" w:rsidRPr="007A732A" w:rsidRDefault="00713540" w:rsidP="00713540"/>
    <w:p w:rsidR="00713540" w:rsidRPr="00B34B13" w:rsidRDefault="00713540" w:rsidP="00713540"/>
    <w:p w:rsidR="005A280F" w:rsidRPr="00713540" w:rsidRDefault="005A280F" w:rsidP="00713540"/>
    <w:sectPr w:rsidR="005A280F" w:rsidRPr="00713540" w:rsidSect="0019768F">
      <w:headerReference w:type="default" r:id="rId25"/>
      <w:footerReference w:type="default" r:id="rId26"/>
      <w:footnotePr>
        <w:numRestart w:val="eachSect"/>
      </w:footnotePr>
      <w:pgSz w:w="11907" w:h="16840"/>
      <w:pgMar w:top="-810" w:right="1134" w:bottom="1134" w:left="1134" w:header="851" w:footer="34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EB9" w:rsidRDefault="00AB6EB9">
      <w:r>
        <w:separator/>
      </w:r>
    </w:p>
  </w:endnote>
  <w:endnote w:type="continuationSeparator" w:id="0">
    <w:p w:rsidR="00AB6EB9" w:rsidRDefault="00AB6EB9">
      <w:r>
        <w:continuationSeparator/>
      </w:r>
    </w:p>
  </w:endnote>
  <w:endnote w:type="continuationNotice" w:id="1">
    <w:p w:rsidR="00AB6EB9" w:rsidRDefault="00AB6EB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atangChe">
    <w:panose1 w:val="02030609000101010101"/>
    <w:charset w:val="81"/>
    <w:family w:val="modern"/>
    <w:pitch w:val="fixed"/>
    <w:sig w:usb0="B00002AF" w:usb1="69D77CFB" w:usb2="00000030" w:usb3="00000000" w:csb0="0008009F" w:csb1="00000000"/>
  </w:font>
  <w:font w:name="Myriad Pro">
    <w:altName w:val="Corbel"/>
    <w:panose1 w:val="020B0503030403020204"/>
    <w:charset w:val="00"/>
    <w:family w:val="swiss"/>
    <w:notTrueType/>
    <w:pitch w:val="variable"/>
    <w:sig w:usb0="20000287" w:usb1="00000001" w:usb2="00000000" w:usb3="00000000" w:csb0="0000019F" w:csb1="00000000"/>
  </w:font>
  <w:font w:name="Helvetica">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014C" w:rsidRPr="003C00E6" w:rsidRDefault="0001014C" w:rsidP="00325EA3">
    <w:pPr>
      <w:pStyle w:val="Footer"/>
      <w:tabs>
        <w:tab w:val="center" w:pos="4678"/>
        <w:tab w:val="right" w:pos="9214"/>
      </w:tabs>
      <w:jc w:val="both"/>
      <w:rPr>
        <w:rFonts w:ascii="Times New Roman" w:eastAsia="Calibri" w:hAnsi="Times New Roman"/>
        <w:sz w:val="16"/>
        <w:szCs w:val="16"/>
        <w:lang w:val="en-US"/>
      </w:rPr>
    </w:pPr>
  </w:p>
  <w:p w:rsidR="0001014C" w:rsidRPr="00861D0F" w:rsidRDefault="0001014C" w:rsidP="00294EEF">
    <w:pPr>
      <w:pStyle w:val="oneM2M-PageFoot"/>
      <w:pBdr>
        <w:top w:val="none" w:sz="0" w:space="0" w:color="auto"/>
        <w:left w:val="none" w:sz="0" w:space="0" w:color="auto"/>
        <w:bottom w:val="none" w:sz="0" w:space="0" w:color="auto"/>
        <w:right w:val="none" w:sz="0" w:space="0" w:color="auto"/>
      </w:pBdr>
      <w:tabs>
        <w:tab w:val="left" w:pos="7371"/>
      </w:tabs>
    </w:pPr>
    <w:r>
      <w:t xml:space="preserve">© </w:t>
    </w:r>
    <w:r w:rsidRPr="00232F4D">
      <w:rPr>
        <w:sz w:val="20"/>
      </w:rPr>
      <w:fldChar w:fldCharType="begin"/>
    </w:r>
    <w:r w:rsidRPr="00232F4D">
      <w:rPr>
        <w:sz w:val="20"/>
      </w:rPr>
      <w:instrText xml:space="preserve"> DATE  \@ "yyyy"  \* MERGEFORMAT </w:instrText>
    </w:r>
    <w:r w:rsidRPr="00232F4D">
      <w:rPr>
        <w:sz w:val="20"/>
      </w:rPr>
      <w:fldChar w:fldCharType="separate"/>
    </w:r>
    <w:r w:rsidR="004E6F1B">
      <w:rPr>
        <w:noProof/>
        <w:sz w:val="20"/>
      </w:rPr>
      <w:t>2018</w:t>
    </w:r>
    <w:r w:rsidRPr="00232F4D">
      <w:rPr>
        <w:sz w:val="20"/>
      </w:rPr>
      <w:fldChar w:fldCharType="end"/>
    </w:r>
    <w:r>
      <w:t xml:space="preserve"> oneM2M Partners</w:t>
    </w:r>
    <w:r>
      <w:tab/>
      <w:t xml:space="preserve">                                                                                                   </w:t>
    </w:r>
    <w:r w:rsidRPr="00861D0F">
      <w:t xml:space="preserve">Page </w:t>
    </w:r>
    <w:r w:rsidRPr="00861D0F">
      <w:rPr>
        <w:rStyle w:val="PageNumber"/>
        <w:szCs w:val="20"/>
      </w:rPr>
      <w:fldChar w:fldCharType="begin"/>
    </w:r>
    <w:r w:rsidRPr="00861D0F">
      <w:rPr>
        <w:rStyle w:val="PageNumber"/>
        <w:szCs w:val="20"/>
      </w:rPr>
      <w:instrText xml:space="preserve"> PAGE </w:instrText>
    </w:r>
    <w:r w:rsidRPr="00861D0F">
      <w:rPr>
        <w:rStyle w:val="PageNumber"/>
        <w:szCs w:val="20"/>
      </w:rPr>
      <w:fldChar w:fldCharType="separate"/>
    </w:r>
    <w:r w:rsidR="004E6F1B">
      <w:rPr>
        <w:rStyle w:val="PageNumber"/>
        <w:noProof/>
        <w:szCs w:val="20"/>
      </w:rPr>
      <w:t>1</w:t>
    </w:r>
    <w:r w:rsidRPr="00861D0F">
      <w:rPr>
        <w:rStyle w:val="PageNumber"/>
        <w:szCs w:val="20"/>
      </w:rPr>
      <w:fldChar w:fldCharType="end"/>
    </w:r>
    <w:r w:rsidRPr="00861D0F">
      <w:rPr>
        <w:rStyle w:val="PageNumber"/>
        <w:szCs w:val="20"/>
      </w:rPr>
      <w:t xml:space="preserve"> (o</w:t>
    </w:r>
    <w:r>
      <w:rPr>
        <w:rStyle w:val="PageNumber"/>
        <w:szCs w:val="20"/>
      </w:rPr>
      <w:t>f</w:t>
    </w:r>
    <w:r w:rsidRPr="00861D0F">
      <w:rPr>
        <w:rStyle w:val="PageNumber"/>
        <w:szCs w:val="20"/>
      </w:rPr>
      <w:t xml:space="preserve"> </w:t>
    </w:r>
    <w:r w:rsidRPr="00861D0F">
      <w:rPr>
        <w:rStyle w:val="PageNumber"/>
        <w:szCs w:val="20"/>
      </w:rPr>
      <w:fldChar w:fldCharType="begin"/>
    </w:r>
    <w:r w:rsidRPr="00861D0F">
      <w:rPr>
        <w:rStyle w:val="PageNumber"/>
        <w:szCs w:val="20"/>
      </w:rPr>
      <w:instrText xml:space="preserve"> NUMPAGES </w:instrText>
    </w:r>
    <w:r w:rsidRPr="00861D0F">
      <w:rPr>
        <w:rStyle w:val="PageNumber"/>
        <w:szCs w:val="20"/>
      </w:rPr>
      <w:fldChar w:fldCharType="separate"/>
    </w:r>
    <w:r w:rsidR="004E6F1B">
      <w:rPr>
        <w:rStyle w:val="PageNumber"/>
        <w:noProof/>
        <w:szCs w:val="20"/>
      </w:rPr>
      <w:t>32</w:t>
    </w:r>
    <w:r w:rsidRPr="00861D0F">
      <w:rPr>
        <w:rStyle w:val="PageNumber"/>
        <w:szCs w:val="20"/>
      </w:rPr>
      <w:fldChar w:fldCharType="end"/>
    </w:r>
    <w:r w:rsidRPr="00861D0F">
      <w:rPr>
        <w:rStyle w:val="PageNumber"/>
        <w:szCs w:val="20"/>
      </w:rPr>
      <w:t>)</w:t>
    </w:r>
    <w:r w:rsidRPr="00861D0F">
      <w:tab/>
    </w:r>
  </w:p>
  <w:p w:rsidR="0001014C" w:rsidRPr="00424964" w:rsidRDefault="0001014C" w:rsidP="00325EA3">
    <w:pPr>
      <w:pStyle w:val="Footer"/>
      <w:tabs>
        <w:tab w:val="center" w:pos="4678"/>
        <w:tab w:val="right" w:pos="9214"/>
      </w:tabs>
      <w:jc w:val="both"/>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EB9" w:rsidRDefault="00AB6EB9">
      <w:r>
        <w:separator/>
      </w:r>
    </w:p>
  </w:footnote>
  <w:footnote w:type="continuationSeparator" w:id="0">
    <w:p w:rsidR="00AB6EB9" w:rsidRDefault="00AB6EB9">
      <w:r>
        <w:continuationSeparator/>
      </w:r>
    </w:p>
  </w:footnote>
  <w:footnote w:type="continuationNotice" w:id="1">
    <w:p w:rsidR="00AB6EB9" w:rsidRDefault="00AB6EB9">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68"/>
      <w:gridCol w:w="1569"/>
    </w:tblGrid>
    <w:tr w:rsidR="0001014C" w:rsidRPr="00183D55" w:rsidTr="00294EEF">
      <w:trPr>
        <w:trHeight w:val="831"/>
      </w:trPr>
      <w:tc>
        <w:tcPr>
          <w:tcW w:w="8068" w:type="dxa"/>
        </w:tcPr>
        <w:p w:rsidR="0001014C" w:rsidRPr="00A9388B" w:rsidRDefault="0001014C" w:rsidP="00410253">
          <w:pPr>
            <w:pStyle w:val="oneM2M-PageHead"/>
          </w:pPr>
        </w:p>
      </w:tc>
      <w:tc>
        <w:tcPr>
          <w:tcW w:w="1569" w:type="dxa"/>
        </w:tcPr>
        <w:p w:rsidR="0001014C" w:rsidRPr="00183D55" w:rsidRDefault="0001014C" w:rsidP="00410253">
          <w:pPr>
            <w:pStyle w:val="Header"/>
            <w:jc w:val="right"/>
          </w:pPr>
        </w:p>
      </w:tc>
    </w:tr>
  </w:tbl>
  <w:p w:rsidR="0001014C" w:rsidRDefault="0001014C" w:rsidP="00294EEF">
    <w:pPr>
      <w:pStyle w:val="Heade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01EB3AE9"/>
    <w:multiLevelType w:val="hybridMultilevel"/>
    <w:tmpl w:val="FCC0E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5B61D0"/>
    <w:multiLevelType w:val="hybridMultilevel"/>
    <w:tmpl w:val="FCC0E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4913F3"/>
    <w:multiLevelType w:val="hybridMultilevel"/>
    <w:tmpl w:val="16226654"/>
    <w:lvl w:ilvl="0" w:tplc="08090001">
      <w:start w:val="1"/>
      <w:numFmt w:val="bullet"/>
      <w:lvlText w:val=""/>
      <w:lvlJc w:val="left"/>
      <w:pPr>
        <w:ind w:left="420" w:hanging="420"/>
      </w:pPr>
      <w:rPr>
        <w:rFonts w:ascii="Symbol" w:hAnsi="Symbol" w:hint="default"/>
      </w:rPr>
    </w:lvl>
    <w:lvl w:ilvl="1" w:tplc="0AFA5F82">
      <w:start w:val="10"/>
      <w:numFmt w:val="bullet"/>
      <w:lvlText w:val="-"/>
      <w:lvlJc w:val="left"/>
      <w:pPr>
        <w:ind w:left="840" w:hanging="420"/>
      </w:pPr>
      <w:rPr>
        <w:rFonts w:ascii="Times New Roman" w:eastAsia="Times New Roman"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5E84C6A"/>
    <w:multiLevelType w:val="hybridMultilevel"/>
    <w:tmpl w:val="F1B415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8F44A6"/>
    <w:multiLevelType w:val="hybridMultilevel"/>
    <w:tmpl w:val="ACEC5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97C0E33"/>
    <w:multiLevelType w:val="hybridMultilevel"/>
    <w:tmpl w:val="F1B415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9C45ED9"/>
    <w:multiLevelType w:val="hybridMultilevel"/>
    <w:tmpl w:val="FCBC7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E703F9"/>
    <w:multiLevelType w:val="hybridMultilevel"/>
    <w:tmpl w:val="23E20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BA17AB"/>
    <w:multiLevelType w:val="hybridMultilevel"/>
    <w:tmpl w:val="8BE2C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5257A4"/>
    <w:multiLevelType w:val="hybridMultilevel"/>
    <w:tmpl w:val="1CC2A136"/>
    <w:lvl w:ilvl="0" w:tplc="BE7C51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D2A24CF"/>
    <w:multiLevelType w:val="hybridMultilevel"/>
    <w:tmpl w:val="C23C225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0F1D0939"/>
    <w:multiLevelType w:val="hybridMultilevel"/>
    <w:tmpl w:val="F2484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1D64D6"/>
    <w:multiLevelType w:val="hybridMultilevel"/>
    <w:tmpl w:val="51C8FC8A"/>
    <w:lvl w:ilvl="0" w:tplc="0432307A">
      <w:start w:val="7"/>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510609"/>
    <w:multiLevelType w:val="hybridMultilevel"/>
    <w:tmpl w:val="C11E3BDE"/>
    <w:lvl w:ilvl="0" w:tplc="04090001">
      <w:start w:val="8"/>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3A633F"/>
    <w:multiLevelType w:val="hybridMultilevel"/>
    <w:tmpl w:val="C6D8BE52"/>
    <w:lvl w:ilvl="0" w:tplc="04090001">
      <w:start w:val="2015"/>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282060"/>
    <w:multiLevelType w:val="hybridMultilevel"/>
    <w:tmpl w:val="89761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F64A50"/>
    <w:multiLevelType w:val="multilevel"/>
    <w:tmpl w:val="4A06212A"/>
    <w:lvl w:ilvl="0">
      <w:start w:val="1"/>
      <w:numFmt w:val="decimal"/>
      <w:lvlText w:val="%1"/>
      <w:lvlJc w:val="left"/>
      <w:pPr>
        <w:ind w:left="645" w:hanging="645"/>
      </w:pPr>
      <w:rPr>
        <w:rFonts w:ascii="Times New Roman" w:hAnsi="Times New Roman" w:cs="Times New Roman"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1AD22B46"/>
    <w:multiLevelType w:val="hybridMultilevel"/>
    <w:tmpl w:val="8F7C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C842629"/>
    <w:multiLevelType w:val="hybridMultilevel"/>
    <w:tmpl w:val="7514F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D9C1809"/>
    <w:multiLevelType w:val="hybridMultilevel"/>
    <w:tmpl w:val="7D3AA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5C5AE2"/>
    <w:multiLevelType w:val="multilevel"/>
    <w:tmpl w:val="999A1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1F1F204A"/>
    <w:multiLevelType w:val="hybridMultilevel"/>
    <w:tmpl w:val="D4541A9A"/>
    <w:lvl w:ilvl="0" w:tplc="08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1F2A3ED0"/>
    <w:multiLevelType w:val="multilevel"/>
    <w:tmpl w:val="C15EAAE2"/>
    <w:lvl w:ilvl="0">
      <w:start w:val="6"/>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21BB3542"/>
    <w:multiLevelType w:val="hybridMultilevel"/>
    <w:tmpl w:val="D0F4B1D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2096B59"/>
    <w:multiLevelType w:val="hybridMultilevel"/>
    <w:tmpl w:val="2292B9C2"/>
    <w:lvl w:ilvl="0" w:tplc="04090003">
      <w:start w:val="1"/>
      <w:numFmt w:val="bullet"/>
      <w:lvlText w:val="o"/>
      <w:lvlJc w:val="left"/>
      <w:pPr>
        <w:ind w:left="1556" w:hanging="420"/>
      </w:pPr>
      <w:rPr>
        <w:rFonts w:ascii="Courier New" w:hAnsi="Courier New" w:cs="Courier New" w:hint="default"/>
      </w:rPr>
    </w:lvl>
    <w:lvl w:ilvl="1" w:tplc="04090003" w:tentative="1">
      <w:start w:val="1"/>
      <w:numFmt w:val="bullet"/>
      <w:lvlText w:val=""/>
      <w:lvlJc w:val="left"/>
      <w:pPr>
        <w:ind w:left="1976" w:hanging="420"/>
      </w:pPr>
      <w:rPr>
        <w:rFonts w:ascii="Wingdings" w:hAnsi="Wingdings" w:hint="default"/>
      </w:rPr>
    </w:lvl>
    <w:lvl w:ilvl="2" w:tplc="04090005" w:tentative="1">
      <w:start w:val="1"/>
      <w:numFmt w:val="bullet"/>
      <w:lvlText w:val=""/>
      <w:lvlJc w:val="left"/>
      <w:pPr>
        <w:ind w:left="2396" w:hanging="420"/>
      </w:pPr>
      <w:rPr>
        <w:rFonts w:ascii="Wingdings" w:hAnsi="Wingdings" w:hint="default"/>
      </w:rPr>
    </w:lvl>
    <w:lvl w:ilvl="3" w:tplc="04090001" w:tentative="1">
      <w:start w:val="1"/>
      <w:numFmt w:val="bullet"/>
      <w:lvlText w:val=""/>
      <w:lvlJc w:val="left"/>
      <w:pPr>
        <w:ind w:left="2816" w:hanging="420"/>
      </w:pPr>
      <w:rPr>
        <w:rFonts w:ascii="Wingdings" w:hAnsi="Wingdings" w:hint="default"/>
      </w:rPr>
    </w:lvl>
    <w:lvl w:ilvl="4" w:tplc="04090003" w:tentative="1">
      <w:start w:val="1"/>
      <w:numFmt w:val="bullet"/>
      <w:lvlText w:val=""/>
      <w:lvlJc w:val="left"/>
      <w:pPr>
        <w:ind w:left="3236" w:hanging="420"/>
      </w:pPr>
      <w:rPr>
        <w:rFonts w:ascii="Wingdings" w:hAnsi="Wingdings" w:hint="default"/>
      </w:rPr>
    </w:lvl>
    <w:lvl w:ilvl="5" w:tplc="04090005" w:tentative="1">
      <w:start w:val="1"/>
      <w:numFmt w:val="bullet"/>
      <w:lvlText w:val=""/>
      <w:lvlJc w:val="left"/>
      <w:pPr>
        <w:ind w:left="3656" w:hanging="420"/>
      </w:pPr>
      <w:rPr>
        <w:rFonts w:ascii="Wingdings" w:hAnsi="Wingdings" w:hint="default"/>
      </w:rPr>
    </w:lvl>
    <w:lvl w:ilvl="6" w:tplc="04090001" w:tentative="1">
      <w:start w:val="1"/>
      <w:numFmt w:val="bullet"/>
      <w:lvlText w:val=""/>
      <w:lvlJc w:val="left"/>
      <w:pPr>
        <w:ind w:left="4076" w:hanging="420"/>
      </w:pPr>
      <w:rPr>
        <w:rFonts w:ascii="Wingdings" w:hAnsi="Wingdings" w:hint="default"/>
      </w:rPr>
    </w:lvl>
    <w:lvl w:ilvl="7" w:tplc="04090003" w:tentative="1">
      <w:start w:val="1"/>
      <w:numFmt w:val="bullet"/>
      <w:lvlText w:val=""/>
      <w:lvlJc w:val="left"/>
      <w:pPr>
        <w:ind w:left="4496" w:hanging="420"/>
      </w:pPr>
      <w:rPr>
        <w:rFonts w:ascii="Wingdings" w:hAnsi="Wingdings" w:hint="default"/>
      </w:rPr>
    </w:lvl>
    <w:lvl w:ilvl="8" w:tplc="04090005" w:tentative="1">
      <w:start w:val="1"/>
      <w:numFmt w:val="bullet"/>
      <w:lvlText w:val=""/>
      <w:lvlJc w:val="left"/>
      <w:pPr>
        <w:ind w:left="4916" w:hanging="420"/>
      </w:pPr>
      <w:rPr>
        <w:rFonts w:ascii="Wingdings" w:hAnsi="Wingdings" w:hint="default"/>
      </w:rPr>
    </w:lvl>
  </w:abstractNum>
  <w:abstractNum w:abstractNumId="29" w15:restartNumberingAfterBreak="0">
    <w:nsid w:val="24C60595"/>
    <w:multiLevelType w:val="hybridMultilevel"/>
    <w:tmpl w:val="8A3E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284DF2"/>
    <w:multiLevelType w:val="multilevel"/>
    <w:tmpl w:val="A4BC6A28"/>
    <w:lvl w:ilvl="0">
      <w:start w:val="5"/>
      <w:numFmt w:val="decimal"/>
      <w:lvlText w:val="%1"/>
      <w:lvlJc w:val="left"/>
      <w:pPr>
        <w:ind w:left="450" w:hanging="450"/>
      </w:pPr>
      <w:rPr>
        <w:rFonts w:hint="default"/>
      </w:rPr>
    </w:lvl>
    <w:lvl w:ilvl="1">
      <w:start w:val="6"/>
      <w:numFmt w:val="decimal"/>
      <w:lvlText w:val="%1.%2"/>
      <w:lvlJc w:val="left"/>
      <w:pPr>
        <w:ind w:left="720" w:hanging="720"/>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A0416C2"/>
    <w:multiLevelType w:val="hybridMultilevel"/>
    <w:tmpl w:val="891C611C"/>
    <w:lvl w:ilvl="0" w:tplc="04090001">
      <w:start w:val="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2CA5787B"/>
    <w:multiLevelType w:val="hybridMultilevel"/>
    <w:tmpl w:val="A7AE4C4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4" w15:restartNumberingAfterBreak="0">
    <w:nsid w:val="2CAF78F4"/>
    <w:multiLevelType w:val="hybridMultilevel"/>
    <w:tmpl w:val="177A0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CB443B0"/>
    <w:multiLevelType w:val="hybridMultilevel"/>
    <w:tmpl w:val="0F103E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DB3302"/>
    <w:multiLevelType w:val="hybridMultilevel"/>
    <w:tmpl w:val="17DCA1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FF460E2"/>
    <w:multiLevelType w:val="hybridMultilevel"/>
    <w:tmpl w:val="FCC0E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0657AD"/>
    <w:multiLevelType w:val="hybridMultilevel"/>
    <w:tmpl w:val="7E8AD7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F47C8B"/>
    <w:multiLevelType w:val="hybridMultilevel"/>
    <w:tmpl w:val="597C6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3E81C0E"/>
    <w:multiLevelType w:val="multilevel"/>
    <w:tmpl w:val="999A1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35122C1C"/>
    <w:multiLevelType w:val="hybridMultilevel"/>
    <w:tmpl w:val="EDE62CF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C0451B"/>
    <w:multiLevelType w:val="hybridMultilevel"/>
    <w:tmpl w:val="B9547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36F22D4A"/>
    <w:multiLevelType w:val="hybridMultilevel"/>
    <w:tmpl w:val="480C6970"/>
    <w:lvl w:ilvl="0" w:tplc="6728FD88">
      <w:start w:val="1"/>
      <w:numFmt w:val="bullet"/>
      <w:lvlText w:val="•"/>
      <w:lvlJc w:val="left"/>
      <w:pPr>
        <w:tabs>
          <w:tab w:val="num" w:pos="720"/>
        </w:tabs>
        <w:ind w:left="720" w:hanging="360"/>
      </w:pPr>
      <w:rPr>
        <w:rFonts w:ascii="Arial" w:hAnsi="Arial" w:hint="default"/>
      </w:rPr>
    </w:lvl>
    <w:lvl w:ilvl="1" w:tplc="0636C7D8" w:tentative="1">
      <w:start w:val="1"/>
      <w:numFmt w:val="bullet"/>
      <w:lvlText w:val="•"/>
      <w:lvlJc w:val="left"/>
      <w:pPr>
        <w:tabs>
          <w:tab w:val="num" w:pos="1440"/>
        </w:tabs>
        <w:ind w:left="1440" w:hanging="360"/>
      </w:pPr>
      <w:rPr>
        <w:rFonts w:ascii="Arial" w:hAnsi="Arial" w:hint="default"/>
      </w:rPr>
    </w:lvl>
    <w:lvl w:ilvl="2" w:tplc="50181712" w:tentative="1">
      <w:start w:val="1"/>
      <w:numFmt w:val="bullet"/>
      <w:lvlText w:val="•"/>
      <w:lvlJc w:val="left"/>
      <w:pPr>
        <w:tabs>
          <w:tab w:val="num" w:pos="2160"/>
        </w:tabs>
        <w:ind w:left="2160" w:hanging="360"/>
      </w:pPr>
      <w:rPr>
        <w:rFonts w:ascii="Arial" w:hAnsi="Arial" w:hint="default"/>
      </w:rPr>
    </w:lvl>
    <w:lvl w:ilvl="3" w:tplc="5ACA7E18" w:tentative="1">
      <w:start w:val="1"/>
      <w:numFmt w:val="bullet"/>
      <w:lvlText w:val="•"/>
      <w:lvlJc w:val="left"/>
      <w:pPr>
        <w:tabs>
          <w:tab w:val="num" w:pos="2880"/>
        </w:tabs>
        <w:ind w:left="2880" w:hanging="360"/>
      </w:pPr>
      <w:rPr>
        <w:rFonts w:ascii="Arial" w:hAnsi="Arial" w:hint="default"/>
      </w:rPr>
    </w:lvl>
    <w:lvl w:ilvl="4" w:tplc="DBCEF61E" w:tentative="1">
      <w:start w:val="1"/>
      <w:numFmt w:val="bullet"/>
      <w:lvlText w:val="•"/>
      <w:lvlJc w:val="left"/>
      <w:pPr>
        <w:tabs>
          <w:tab w:val="num" w:pos="3600"/>
        </w:tabs>
        <w:ind w:left="3600" w:hanging="360"/>
      </w:pPr>
      <w:rPr>
        <w:rFonts w:ascii="Arial" w:hAnsi="Arial" w:hint="default"/>
      </w:rPr>
    </w:lvl>
    <w:lvl w:ilvl="5" w:tplc="7C264A76" w:tentative="1">
      <w:start w:val="1"/>
      <w:numFmt w:val="bullet"/>
      <w:lvlText w:val="•"/>
      <w:lvlJc w:val="left"/>
      <w:pPr>
        <w:tabs>
          <w:tab w:val="num" w:pos="4320"/>
        </w:tabs>
        <w:ind w:left="4320" w:hanging="360"/>
      </w:pPr>
      <w:rPr>
        <w:rFonts w:ascii="Arial" w:hAnsi="Arial" w:hint="default"/>
      </w:rPr>
    </w:lvl>
    <w:lvl w:ilvl="6" w:tplc="134EFAF6" w:tentative="1">
      <w:start w:val="1"/>
      <w:numFmt w:val="bullet"/>
      <w:lvlText w:val="•"/>
      <w:lvlJc w:val="left"/>
      <w:pPr>
        <w:tabs>
          <w:tab w:val="num" w:pos="5040"/>
        </w:tabs>
        <w:ind w:left="5040" w:hanging="360"/>
      </w:pPr>
      <w:rPr>
        <w:rFonts w:ascii="Arial" w:hAnsi="Arial" w:hint="default"/>
      </w:rPr>
    </w:lvl>
    <w:lvl w:ilvl="7" w:tplc="5994D5B8" w:tentative="1">
      <w:start w:val="1"/>
      <w:numFmt w:val="bullet"/>
      <w:lvlText w:val="•"/>
      <w:lvlJc w:val="left"/>
      <w:pPr>
        <w:tabs>
          <w:tab w:val="num" w:pos="5760"/>
        </w:tabs>
        <w:ind w:left="5760" w:hanging="360"/>
      </w:pPr>
      <w:rPr>
        <w:rFonts w:ascii="Arial" w:hAnsi="Arial" w:hint="default"/>
      </w:rPr>
    </w:lvl>
    <w:lvl w:ilvl="8" w:tplc="A468C054"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383A5819"/>
    <w:multiLevelType w:val="hybridMultilevel"/>
    <w:tmpl w:val="E79C11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958302D"/>
    <w:multiLevelType w:val="hybridMultilevel"/>
    <w:tmpl w:val="E2D6CAB6"/>
    <w:lvl w:ilvl="0" w:tplc="38E0658A">
      <w:start w:val="1"/>
      <w:numFmt w:val="bullet"/>
      <w:lvlText w:val="•"/>
      <w:lvlJc w:val="left"/>
      <w:pPr>
        <w:tabs>
          <w:tab w:val="num" w:pos="720"/>
        </w:tabs>
        <w:ind w:left="720" w:hanging="360"/>
      </w:pPr>
      <w:rPr>
        <w:rFonts w:ascii="Arial" w:hAnsi="Arial" w:hint="default"/>
      </w:rPr>
    </w:lvl>
    <w:lvl w:ilvl="1" w:tplc="E8A0CF5C" w:tentative="1">
      <w:start w:val="1"/>
      <w:numFmt w:val="bullet"/>
      <w:lvlText w:val="•"/>
      <w:lvlJc w:val="left"/>
      <w:pPr>
        <w:tabs>
          <w:tab w:val="num" w:pos="1440"/>
        </w:tabs>
        <w:ind w:left="1440" w:hanging="360"/>
      </w:pPr>
      <w:rPr>
        <w:rFonts w:ascii="Arial" w:hAnsi="Arial" w:hint="default"/>
      </w:rPr>
    </w:lvl>
    <w:lvl w:ilvl="2" w:tplc="AF76F6A8" w:tentative="1">
      <w:start w:val="1"/>
      <w:numFmt w:val="bullet"/>
      <w:lvlText w:val="•"/>
      <w:lvlJc w:val="left"/>
      <w:pPr>
        <w:tabs>
          <w:tab w:val="num" w:pos="2160"/>
        </w:tabs>
        <w:ind w:left="2160" w:hanging="360"/>
      </w:pPr>
      <w:rPr>
        <w:rFonts w:ascii="Arial" w:hAnsi="Arial" w:hint="default"/>
      </w:rPr>
    </w:lvl>
    <w:lvl w:ilvl="3" w:tplc="3F6447E0" w:tentative="1">
      <w:start w:val="1"/>
      <w:numFmt w:val="bullet"/>
      <w:lvlText w:val="•"/>
      <w:lvlJc w:val="left"/>
      <w:pPr>
        <w:tabs>
          <w:tab w:val="num" w:pos="2880"/>
        </w:tabs>
        <w:ind w:left="2880" w:hanging="360"/>
      </w:pPr>
      <w:rPr>
        <w:rFonts w:ascii="Arial" w:hAnsi="Arial" w:hint="default"/>
      </w:rPr>
    </w:lvl>
    <w:lvl w:ilvl="4" w:tplc="B28AF8D8" w:tentative="1">
      <w:start w:val="1"/>
      <w:numFmt w:val="bullet"/>
      <w:lvlText w:val="•"/>
      <w:lvlJc w:val="left"/>
      <w:pPr>
        <w:tabs>
          <w:tab w:val="num" w:pos="3600"/>
        </w:tabs>
        <w:ind w:left="3600" w:hanging="360"/>
      </w:pPr>
      <w:rPr>
        <w:rFonts w:ascii="Arial" w:hAnsi="Arial" w:hint="default"/>
      </w:rPr>
    </w:lvl>
    <w:lvl w:ilvl="5" w:tplc="27AEBA38" w:tentative="1">
      <w:start w:val="1"/>
      <w:numFmt w:val="bullet"/>
      <w:lvlText w:val="•"/>
      <w:lvlJc w:val="left"/>
      <w:pPr>
        <w:tabs>
          <w:tab w:val="num" w:pos="4320"/>
        </w:tabs>
        <w:ind w:left="4320" w:hanging="360"/>
      </w:pPr>
      <w:rPr>
        <w:rFonts w:ascii="Arial" w:hAnsi="Arial" w:hint="default"/>
      </w:rPr>
    </w:lvl>
    <w:lvl w:ilvl="6" w:tplc="9A44C6FC" w:tentative="1">
      <w:start w:val="1"/>
      <w:numFmt w:val="bullet"/>
      <w:lvlText w:val="•"/>
      <w:lvlJc w:val="left"/>
      <w:pPr>
        <w:tabs>
          <w:tab w:val="num" w:pos="5040"/>
        </w:tabs>
        <w:ind w:left="5040" w:hanging="360"/>
      </w:pPr>
      <w:rPr>
        <w:rFonts w:ascii="Arial" w:hAnsi="Arial" w:hint="default"/>
      </w:rPr>
    </w:lvl>
    <w:lvl w:ilvl="7" w:tplc="3000CE3E" w:tentative="1">
      <w:start w:val="1"/>
      <w:numFmt w:val="bullet"/>
      <w:lvlText w:val="•"/>
      <w:lvlJc w:val="left"/>
      <w:pPr>
        <w:tabs>
          <w:tab w:val="num" w:pos="5760"/>
        </w:tabs>
        <w:ind w:left="5760" w:hanging="360"/>
      </w:pPr>
      <w:rPr>
        <w:rFonts w:ascii="Arial" w:hAnsi="Arial" w:hint="default"/>
      </w:rPr>
    </w:lvl>
    <w:lvl w:ilvl="8" w:tplc="AE3E2800"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3A6F6D0D"/>
    <w:multiLevelType w:val="hybridMultilevel"/>
    <w:tmpl w:val="CD222F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3AAF1AEB"/>
    <w:multiLevelType w:val="hybridMultilevel"/>
    <w:tmpl w:val="BEB49F1E"/>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3DA47DA6"/>
    <w:multiLevelType w:val="hybridMultilevel"/>
    <w:tmpl w:val="44F85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20454C5"/>
    <w:multiLevelType w:val="multilevel"/>
    <w:tmpl w:val="AD4483E2"/>
    <w:lvl w:ilvl="0">
      <w:start w:val="1"/>
      <w:numFmt w:val="upperLetter"/>
      <w:lvlText w:val="%1."/>
      <w:lvlJc w:val="left"/>
      <w:pPr>
        <w:ind w:left="720" w:hanging="360"/>
      </w:pPr>
    </w:lvl>
    <w:lvl w:ilvl="1">
      <w:start w:val="1"/>
      <w:numFmt w:val="bullet"/>
      <w:lvlText w:val=""/>
      <w:lvlJc w:val="left"/>
      <w:pPr>
        <w:ind w:left="1080" w:hanging="360"/>
      </w:pPr>
      <w:rPr>
        <w:rFonts w:ascii="Symbol" w:hAnsi="Symbol" w:hint="default"/>
        <w:b w:val="0"/>
      </w:rPr>
    </w:lvl>
    <w:lvl w:ilvl="2">
      <w:start w:val="1"/>
      <w:numFmt w:val="lowerLetter"/>
      <w:lvlText w:val="%1.%2.%3."/>
      <w:lvlJc w:val="left"/>
      <w:pPr>
        <w:ind w:left="1440" w:hanging="360"/>
      </w:pPr>
      <w:rPr>
        <w:b w:val="0"/>
      </w:rPr>
    </w:lvl>
    <w:lvl w:ilvl="3">
      <w:start w:val="1"/>
      <w:numFmt w:val="decimal"/>
      <w:lvlText w:val="%1.%2.%3.%4."/>
      <w:lvlJc w:val="left"/>
      <w:pPr>
        <w:tabs>
          <w:tab w:val="num" w:pos="2250"/>
        </w:tabs>
        <w:ind w:left="1890" w:hanging="360"/>
      </w:pPr>
    </w:lvl>
    <w:lvl w:ilvl="4">
      <w:start w:val="1"/>
      <w:numFmt w:val="lowerRoman"/>
      <w:lvlText w:val="%1.%2.%3.%4.%5."/>
      <w:lvlJc w:val="left"/>
      <w:pPr>
        <w:ind w:left="2160" w:hanging="360"/>
      </w:pPr>
    </w:lvl>
    <w:lvl w:ilvl="5">
      <w:start w:val="1"/>
      <w:numFmt w:val="bullet"/>
      <w:lvlText w:val=""/>
      <w:lvlJc w:val="left"/>
      <w:pPr>
        <w:ind w:left="2520" w:hanging="360"/>
      </w:pPr>
      <w:rPr>
        <w:rFonts w:ascii="Wingdings" w:hAnsi="Wingdings"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400696C"/>
    <w:multiLevelType w:val="hybridMultilevel"/>
    <w:tmpl w:val="28C8D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6C00205"/>
    <w:multiLevelType w:val="multilevel"/>
    <w:tmpl w:val="B16869E6"/>
    <w:lvl w:ilvl="0">
      <w:start w:val="1"/>
      <w:numFmt w:val="decimal"/>
      <w:lvlText w:val="%1"/>
      <w:lvlJc w:val="left"/>
      <w:pPr>
        <w:ind w:left="645" w:hanging="645"/>
      </w:pPr>
      <w:rPr>
        <w:rFonts w:hint="default"/>
        <w:sz w:val="20"/>
        <w:szCs w:val="20"/>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48F943A1"/>
    <w:multiLevelType w:val="hybridMultilevel"/>
    <w:tmpl w:val="5AE6B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B6D48D8"/>
    <w:multiLevelType w:val="hybridMultilevel"/>
    <w:tmpl w:val="77186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D4C184E"/>
    <w:multiLevelType w:val="hybridMultilevel"/>
    <w:tmpl w:val="2660B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F0C3A14"/>
    <w:multiLevelType w:val="multilevel"/>
    <w:tmpl w:val="F7F042A6"/>
    <w:lvl w:ilvl="0">
      <w:start w:val="1"/>
      <w:numFmt w:val="upperLetter"/>
      <w:lvlText w:val="%1."/>
      <w:lvlJc w:val="left"/>
      <w:pPr>
        <w:ind w:left="720" w:hanging="360"/>
      </w:pPr>
    </w:lvl>
    <w:lvl w:ilvl="1">
      <w:start w:val="1"/>
      <w:numFmt w:val="decimal"/>
      <w:lvlText w:val="%1.%2."/>
      <w:lvlJc w:val="left"/>
      <w:pPr>
        <w:ind w:left="1080" w:hanging="360"/>
      </w:pPr>
      <w:rPr>
        <w:b w:val="0"/>
      </w:rPr>
    </w:lvl>
    <w:lvl w:ilvl="2">
      <w:start w:val="1"/>
      <w:numFmt w:val="lowerLetter"/>
      <w:lvlText w:val="%1.%2.%3."/>
      <w:lvlJc w:val="left"/>
      <w:pPr>
        <w:ind w:left="1440" w:hanging="360"/>
      </w:pPr>
      <w:rPr>
        <w:b w:val="0"/>
      </w:rPr>
    </w:lvl>
    <w:lvl w:ilvl="3">
      <w:start w:val="1"/>
      <w:numFmt w:val="decimal"/>
      <w:lvlText w:val="%1.%2.%3.%4."/>
      <w:lvlJc w:val="left"/>
      <w:pPr>
        <w:tabs>
          <w:tab w:val="num" w:pos="2250"/>
        </w:tabs>
        <w:ind w:left="1890" w:hanging="360"/>
      </w:pPr>
    </w:lvl>
    <w:lvl w:ilvl="4">
      <w:start w:val="1"/>
      <w:numFmt w:val="lowerRoman"/>
      <w:lvlText w:val="%1.%2.%3.%4.%5."/>
      <w:lvlJc w:val="left"/>
      <w:pPr>
        <w:ind w:left="2160" w:hanging="360"/>
      </w:pPr>
    </w:lvl>
    <w:lvl w:ilvl="5">
      <w:start w:val="1"/>
      <w:numFmt w:val="bullet"/>
      <w:lvlText w:val=""/>
      <w:lvlJc w:val="left"/>
      <w:pPr>
        <w:ind w:left="2520" w:hanging="360"/>
      </w:pPr>
      <w:rPr>
        <w:rFonts w:ascii="Wingdings" w:hAnsi="Wingdings" w:hint="default"/>
      </w:r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06449D9"/>
    <w:multiLevelType w:val="hybridMultilevel"/>
    <w:tmpl w:val="BA9690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508C4A8A"/>
    <w:multiLevelType w:val="multilevel"/>
    <w:tmpl w:val="8D3A7DCE"/>
    <w:lvl w:ilvl="0">
      <w:start w:val="5"/>
      <w:numFmt w:val="decimal"/>
      <w:lvlText w:val="%1"/>
      <w:lvlJc w:val="left"/>
      <w:pPr>
        <w:ind w:left="645" w:hanging="645"/>
      </w:pPr>
      <w:rPr>
        <w:rFonts w:hint="default"/>
      </w:rPr>
    </w:lvl>
    <w:lvl w:ilvl="1">
      <w:start w:val="6"/>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1027BEC"/>
    <w:multiLevelType w:val="hybridMultilevel"/>
    <w:tmpl w:val="B548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124232D"/>
    <w:multiLevelType w:val="hybridMultilevel"/>
    <w:tmpl w:val="84F8ADA0"/>
    <w:lvl w:ilvl="0" w:tplc="60ECD74E">
      <w:start w:val="1"/>
      <w:numFmt w:val="decimal"/>
      <w:lvlText w:val="%1."/>
      <w:lvlJc w:val="left"/>
      <w:pPr>
        <w:ind w:left="720" w:hanging="360"/>
      </w:pPr>
      <w:rPr>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531E6D53"/>
    <w:multiLevelType w:val="hybridMultilevel"/>
    <w:tmpl w:val="92C036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8C75C4"/>
    <w:multiLevelType w:val="multilevel"/>
    <w:tmpl w:val="B9E2BEF4"/>
    <w:lvl w:ilvl="0">
      <w:start w:val="1"/>
      <w:numFmt w:val="decimal"/>
      <w:pStyle w:val="TableCaption"/>
      <w:suff w:val="nothing"/>
      <w:lvlText w:val="Table %1"/>
      <w:lvlJc w:val="left"/>
      <w:pPr>
        <w:ind w:left="4470" w:hanging="360"/>
      </w:pPr>
      <w:rPr>
        <w:rFonts w:ascii="Times New Roman" w:hAnsi="Times New Roman" w:cs="Times New Roman" w:hint="default"/>
        <w:b/>
        <w:i w:val="0"/>
        <w:color w:val="auto"/>
        <w:sz w:val="22"/>
      </w:rPr>
    </w:lvl>
    <w:lvl w:ilvl="1">
      <w:start w:val="1"/>
      <w:numFmt w:val="lowerLetter"/>
      <w:lvlText w:val="%2."/>
      <w:lvlJc w:val="left"/>
      <w:pPr>
        <w:tabs>
          <w:tab w:val="num" w:pos="5550"/>
        </w:tabs>
        <w:ind w:left="5550" w:hanging="360"/>
      </w:pPr>
      <w:rPr>
        <w:rFonts w:hint="default"/>
      </w:rPr>
    </w:lvl>
    <w:lvl w:ilvl="2">
      <w:start w:val="1"/>
      <w:numFmt w:val="lowerRoman"/>
      <w:lvlText w:val="%3."/>
      <w:lvlJc w:val="right"/>
      <w:pPr>
        <w:tabs>
          <w:tab w:val="num" w:pos="6270"/>
        </w:tabs>
        <w:ind w:left="6270" w:hanging="180"/>
      </w:pPr>
      <w:rPr>
        <w:rFonts w:hint="default"/>
      </w:rPr>
    </w:lvl>
    <w:lvl w:ilvl="3">
      <w:start w:val="1"/>
      <w:numFmt w:val="decimal"/>
      <w:lvlText w:val="%4."/>
      <w:lvlJc w:val="left"/>
      <w:pPr>
        <w:tabs>
          <w:tab w:val="num" w:pos="6990"/>
        </w:tabs>
        <w:ind w:left="6990" w:hanging="360"/>
      </w:pPr>
      <w:rPr>
        <w:rFonts w:hint="default"/>
      </w:rPr>
    </w:lvl>
    <w:lvl w:ilvl="4">
      <w:start w:val="1"/>
      <w:numFmt w:val="lowerLetter"/>
      <w:lvlText w:val="%5."/>
      <w:lvlJc w:val="left"/>
      <w:pPr>
        <w:tabs>
          <w:tab w:val="num" w:pos="7710"/>
        </w:tabs>
        <w:ind w:left="7710" w:hanging="360"/>
      </w:pPr>
      <w:rPr>
        <w:rFonts w:hint="default"/>
      </w:rPr>
    </w:lvl>
    <w:lvl w:ilvl="5">
      <w:start w:val="1"/>
      <w:numFmt w:val="lowerRoman"/>
      <w:lvlText w:val="%6."/>
      <w:lvlJc w:val="right"/>
      <w:pPr>
        <w:tabs>
          <w:tab w:val="num" w:pos="8430"/>
        </w:tabs>
        <w:ind w:left="8430" w:hanging="180"/>
      </w:pPr>
      <w:rPr>
        <w:rFonts w:hint="default"/>
      </w:rPr>
    </w:lvl>
    <w:lvl w:ilvl="6">
      <w:start w:val="1"/>
      <w:numFmt w:val="decimal"/>
      <w:lvlText w:val="%7."/>
      <w:lvlJc w:val="left"/>
      <w:pPr>
        <w:tabs>
          <w:tab w:val="num" w:pos="9150"/>
        </w:tabs>
        <w:ind w:left="9150" w:hanging="360"/>
      </w:pPr>
      <w:rPr>
        <w:rFonts w:hint="default"/>
      </w:rPr>
    </w:lvl>
    <w:lvl w:ilvl="7">
      <w:start w:val="1"/>
      <w:numFmt w:val="lowerLetter"/>
      <w:lvlText w:val="%8."/>
      <w:lvlJc w:val="left"/>
      <w:pPr>
        <w:tabs>
          <w:tab w:val="num" w:pos="9870"/>
        </w:tabs>
        <w:ind w:left="9870" w:hanging="360"/>
      </w:pPr>
      <w:rPr>
        <w:rFonts w:hint="default"/>
      </w:rPr>
    </w:lvl>
    <w:lvl w:ilvl="8">
      <w:start w:val="1"/>
      <w:numFmt w:val="lowerRoman"/>
      <w:lvlText w:val="%9."/>
      <w:lvlJc w:val="right"/>
      <w:pPr>
        <w:tabs>
          <w:tab w:val="num" w:pos="10590"/>
        </w:tabs>
        <w:ind w:left="10590" w:hanging="180"/>
      </w:pPr>
      <w:rPr>
        <w:rFonts w:hint="default"/>
      </w:rPr>
    </w:lvl>
  </w:abstractNum>
  <w:abstractNum w:abstractNumId="64" w15:restartNumberingAfterBreak="0">
    <w:nsid w:val="56607A23"/>
    <w:multiLevelType w:val="hybridMultilevel"/>
    <w:tmpl w:val="C00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7B0115"/>
    <w:multiLevelType w:val="multilevel"/>
    <w:tmpl w:val="999A1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6" w15:restartNumberingAfterBreak="0">
    <w:nsid w:val="56900E26"/>
    <w:multiLevelType w:val="hybridMultilevel"/>
    <w:tmpl w:val="DCE6F9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98224F5"/>
    <w:multiLevelType w:val="hybridMultilevel"/>
    <w:tmpl w:val="613489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9FD7ACF"/>
    <w:multiLevelType w:val="hybridMultilevel"/>
    <w:tmpl w:val="E0CA4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5B440886"/>
    <w:multiLevelType w:val="hybridMultilevel"/>
    <w:tmpl w:val="76506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5BD426A4"/>
    <w:multiLevelType w:val="multilevel"/>
    <w:tmpl w:val="999A1E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1" w15:restartNumberingAfterBreak="0">
    <w:nsid w:val="5C91762C"/>
    <w:multiLevelType w:val="hybridMultilevel"/>
    <w:tmpl w:val="8BE2C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E231F4D"/>
    <w:multiLevelType w:val="multilevel"/>
    <w:tmpl w:val="2BA606CA"/>
    <w:lvl w:ilvl="0">
      <w:start w:val="1"/>
      <w:numFmt w:val="decimal"/>
      <w:lvlText w:val="%1."/>
      <w:lvlJc w:val="left"/>
      <w:pPr>
        <w:ind w:left="420" w:hanging="420"/>
      </w:pPr>
    </w:lvl>
    <w:lvl w:ilvl="1">
      <w:start w:val="5"/>
      <w:numFmt w:val="decimal"/>
      <w:isLgl/>
      <w:lvlText w:val="%1.%2"/>
      <w:lvlJc w:val="left"/>
      <w:pPr>
        <w:ind w:left="1140" w:hanging="1140"/>
      </w:pPr>
      <w:rPr>
        <w:rFonts w:hint="default"/>
      </w:rPr>
    </w:lvl>
    <w:lvl w:ilvl="2">
      <w:start w:val="4"/>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15:restartNumberingAfterBreak="0">
    <w:nsid w:val="602C55D8"/>
    <w:multiLevelType w:val="hybridMultilevel"/>
    <w:tmpl w:val="3E84B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1A54994"/>
    <w:multiLevelType w:val="hybridMultilevel"/>
    <w:tmpl w:val="EB281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D812F7"/>
    <w:multiLevelType w:val="hybridMultilevel"/>
    <w:tmpl w:val="796462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64166FC4"/>
    <w:multiLevelType w:val="hybridMultilevel"/>
    <w:tmpl w:val="53100ABA"/>
    <w:lvl w:ilvl="0" w:tplc="08090001">
      <w:start w:val="1"/>
      <w:numFmt w:val="bullet"/>
      <w:lvlText w:val=""/>
      <w:lvlJc w:val="left"/>
      <w:pPr>
        <w:ind w:left="420" w:hanging="420"/>
      </w:pPr>
      <w:rPr>
        <w:rFonts w:ascii="Symbol" w:hAnsi="Symbol"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66162C97"/>
    <w:multiLevelType w:val="hybridMultilevel"/>
    <w:tmpl w:val="C6DC98C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8376471"/>
    <w:multiLevelType w:val="hybridMultilevel"/>
    <w:tmpl w:val="1B1C8232"/>
    <w:lvl w:ilvl="0" w:tplc="04090001">
      <w:start w:val="1"/>
      <w:numFmt w:val="bullet"/>
      <w:lvlText w:val=""/>
      <w:lvlJc w:val="left"/>
      <w:pPr>
        <w:ind w:left="1212" w:hanging="360"/>
      </w:pPr>
      <w:rPr>
        <w:rFonts w:ascii="Symbol" w:hAnsi="Symbol"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9" w15:restartNumberingAfterBreak="0">
    <w:nsid w:val="699B3E4E"/>
    <w:multiLevelType w:val="hybridMultilevel"/>
    <w:tmpl w:val="EA7EA2F4"/>
    <w:lvl w:ilvl="0" w:tplc="08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0" w15:restartNumberingAfterBreak="0">
    <w:nsid w:val="69C57562"/>
    <w:multiLevelType w:val="multilevel"/>
    <w:tmpl w:val="CFC20058"/>
    <w:lvl w:ilvl="0">
      <w:start w:val="5"/>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1" w15:restartNumberingAfterBreak="0">
    <w:nsid w:val="6B4E633F"/>
    <w:multiLevelType w:val="hybridMultilevel"/>
    <w:tmpl w:val="6E3C9104"/>
    <w:lvl w:ilvl="0" w:tplc="08090001">
      <w:start w:val="1"/>
      <w:numFmt w:val="bullet"/>
      <w:lvlText w:val=""/>
      <w:lvlJc w:val="left"/>
      <w:pPr>
        <w:ind w:left="420" w:hanging="420"/>
      </w:pPr>
      <w:rPr>
        <w:rFonts w:ascii="Symbol" w:hAnsi="Symbol" w:hint="default"/>
      </w:rPr>
    </w:lvl>
    <w:lvl w:ilvl="1" w:tplc="0AFA5F82">
      <w:start w:val="10"/>
      <w:numFmt w:val="bullet"/>
      <w:lvlText w:val="-"/>
      <w:lvlJc w:val="left"/>
      <w:pPr>
        <w:ind w:left="840" w:hanging="420"/>
      </w:pPr>
      <w:rPr>
        <w:rFonts w:ascii="Times New Roman" w:eastAsia="Times New Roman"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6C147B5E"/>
    <w:multiLevelType w:val="hybridMultilevel"/>
    <w:tmpl w:val="17BC06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D010E33"/>
    <w:multiLevelType w:val="hybridMultilevel"/>
    <w:tmpl w:val="FA30B6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6D034F88"/>
    <w:multiLevelType w:val="hybridMultilevel"/>
    <w:tmpl w:val="D2348C7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5" w15:restartNumberingAfterBreak="0">
    <w:nsid w:val="6DAD5B9D"/>
    <w:multiLevelType w:val="multilevel"/>
    <w:tmpl w:val="B16869E6"/>
    <w:lvl w:ilvl="0">
      <w:start w:val="1"/>
      <w:numFmt w:val="decimal"/>
      <w:lvlText w:val="%1"/>
      <w:lvlJc w:val="left"/>
      <w:pPr>
        <w:ind w:left="645" w:hanging="645"/>
      </w:pPr>
      <w:rPr>
        <w:rFonts w:hint="default"/>
        <w:sz w:val="20"/>
        <w:szCs w:val="20"/>
      </w:rPr>
    </w:lvl>
    <w:lvl w:ilvl="1">
      <w:start w:val="5"/>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6" w15:restartNumberingAfterBreak="0">
    <w:nsid w:val="6E0B6A68"/>
    <w:multiLevelType w:val="hybridMultilevel"/>
    <w:tmpl w:val="03787D60"/>
    <w:lvl w:ilvl="0" w:tplc="0432307A">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EE649DA"/>
    <w:multiLevelType w:val="hybridMultilevel"/>
    <w:tmpl w:val="E618BE72"/>
    <w:lvl w:ilvl="0" w:tplc="7A5ECFBA">
      <w:start w:val="1"/>
      <w:numFmt w:val="bullet"/>
      <w:lvlText w:val=""/>
      <w:lvlJc w:val="left"/>
      <w:pPr>
        <w:ind w:left="704" w:hanging="420"/>
      </w:pPr>
      <w:rPr>
        <w:rFonts w:ascii="Symbol" w:hAnsi="Symbo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8" w15:restartNumberingAfterBreak="0">
    <w:nsid w:val="6FA859FE"/>
    <w:multiLevelType w:val="hybridMultilevel"/>
    <w:tmpl w:val="434C2720"/>
    <w:lvl w:ilvl="0" w:tplc="908608A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0595CE4"/>
    <w:multiLevelType w:val="hybridMultilevel"/>
    <w:tmpl w:val="B9547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38F75CC"/>
    <w:multiLevelType w:val="multilevel"/>
    <w:tmpl w:val="C2085D52"/>
    <w:lvl w:ilvl="0">
      <w:start w:val="1"/>
      <w:numFmt w:val="decimal"/>
      <w:lvlText w:val="%1."/>
      <w:lvlJc w:val="left"/>
      <w:pPr>
        <w:ind w:left="420" w:hanging="420"/>
      </w:pPr>
    </w:lvl>
    <w:lvl w:ilvl="1">
      <w:start w:val="1"/>
      <w:numFmt w:val="lowerLetter"/>
      <w:lvlText w:val="%2)"/>
      <w:lvlJc w:val="left"/>
      <w:pPr>
        <w:ind w:left="1140" w:hanging="1140"/>
      </w:pPr>
      <w:rPr>
        <w:rFonts w:hint="default"/>
      </w:rPr>
    </w:lvl>
    <w:lvl w:ilvl="2">
      <w:start w:val="4"/>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2" w15:restartNumberingAfterBreak="0">
    <w:nsid w:val="75005B7E"/>
    <w:multiLevelType w:val="hybridMultilevel"/>
    <w:tmpl w:val="93CA50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4" w15:restartNumberingAfterBreak="0">
    <w:nsid w:val="799E67B0"/>
    <w:multiLevelType w:val="hybridMultilevel"/>
    <w:tmpl w:val="3EA473D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A9B4FB3"/>
    <w:multiLevelType w:val="multilevel"/>
    <w:tmpl w:val="2BA606CA"/>
    <w:lvl w:ilvl="0">
      <w:start w:val="1"/>
      <w:numFmt w:val="decimal"/>
      <w:lvlText w:val="%1."/>
      <w:lvlJc w:val="left"/>
      <w:pPr>
        <w:ind w:left="420" w:hanging="420"/>
      </w:pPr>
    </w:lvl>
    <w:lvl w:ilvl="1">
      <w:start w:val="5"/>
      <w:numFmt w:val="decimal"/>
      <w:isLgl/>
      <w:lvlText w:val="%1.%2"/>
      <w:lvlJc w:val="left"/>
      <w:pPr>
        <w:ind w:left="1140" w:hanging="1140"/>
      </w:pPr>
      <w:rPr>
        <w:rFonts w:hint="default"/>
      </w:rPr>
    </w:lvl>
    <w:lvl w:ilvl="2">
      <w:start w:val="4"/>
      <w:numFmt w:val="decimal"/>
      <w:isLgl/>
      <w:lvlText w:val="%1.%2.%3"/>
      <w:lvlJc w:val="left"/>
      <w:pPr>
        <w:ind w:left="1140" w:hanging="1140"/>
      </w:pPr>
      <w:rPr>
        <w:rFonts w:hint="default"/>
      </w:rPr>
    </w:lvl>
    <w:lvl w:ilvl="3">
      <w:start w:val="1"/>
      <w:numFmt w:val="decimal"/>
      <w:isLgl/>
      <w:lvlText w:val="%1.%2.%3.%4"/>
      <w:lvlJc w:val="left"/>
      <w:pPr>
        <w:ind w:left="1140" w:hanging="11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6" w15:restartNumberingAfterBreak="0">
    <w:nsid w:val="7B6F3076"/>
    <w:multiLevelType w:val="hybridMultilevel"/>
    <w:tmpl w:val="870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BC04EF0"/>
    <w:multiLevelType w:val="hybridMultilevel"/>
    <w:tmpl w:val="1788229E"/>
    <w:lvl w:ilvl="0" w:tplc="04090001">
      <w:start w:val="1"/>
      <w:numFmt w:val="bullet"/>
      <w:lvlText w:val=""/>
      <w:lvlJc w:val="left"/>
      <w:pPr>
        <w:ind w:left="2348" w:hanging="360"/>
      </w:pPr>
      <w:rPr>
        <w:rFonts w:ascii="Symbol" w:hAnsi="Symbol" w:hint="default"/>
      </w:rPr>
    </w:lvl>
    <w:lvl w:ilvl="1" w:tplc="04090003">
      <w:start w:val="1"/>
      <w:numFmt w:val="bullet"/>
      <w:lvlText w:val="o"/>
      <w:lvlJc w:val="left"/>
      <w:pPr>
        <w:ind w:left="3068" w:hanging="360"/>
      </w:pPr>
      <w:rPr>
        <w:rFonts w:ascii="Courier New" w:hAnsi="Courier New" w:cs="Courier New" w:hint="default"/>
      </w:rPr>
    </w:lvl>
    <w:lvl w:ilvl="2" w:tplc="04090005">
      <w:start w:val="1"/>
      <w:numFmt w:val="bullet"/>
      <w:lvlText w:val=""/>
      <w:lvlJc w:val="left"/>
      <w:pPr>
        <w:ind w:left="3788" w:hanging="360"/>
      </w:pPr>
      <w:rPr>
        <w:rFonts w:ascii="Wingdings" w:hAnsi="Wingdings" w:hint="default"/>
      </w:rPr>
    </w:lvl>
    <w:lvl w:ilvl="3" w:tplc="04090001" w:tentative="1">
      <w:start w:val="1"/>
      <w:numFmt w:val="bullet"/>
      <w:lvlText w:val=""/>
      <w:lvlJc w:val="left"/>
      <w:pPr>
        <w:ind w:left="4508" w:hanging="360"/>
      </w:pPr>
      <w:rPr>
        <w:rFonts w:ascii="Symbol" w:hAnsi="Symbol" w:hint="default"/>
      </w:rPr>
    </w:lvl>
    <w:lvl w:ilvl="4" w:tplc="04090003" w:tentative="1">
      <w:start w:val="1"/>
      <w:numFmt w:val="bullet"/>
      <w:lvlText w:val="o"/>
      <w:lvlJc w:val="left"/>
      <w:pPr>
        <w:ind w:left="5228" w:hanging="360"/>
      </w:pPr>
      <w:rPr>
        <w:rFonts w:ascii="Courier New" w:hAnsi="Courier New" w:cs="Courier New" w:hint="default"/>
      </w:rPr>
    </w:lvl>
    <w:lvl w:ilvl="5" w:tplc="04090005" w:tentative="1">
      <w:start w:val="1"/>
      <w:numFmt w:val="bullet"/>
      <w:lvlText w:val=""/>
      <w:lvlJc w:val="left"/>
      <w:pPr>
        <w:ind w:left="5948" w:hanging="360"/>
      </w:pPr>
      <w:rPr>
        <w:rFonts w:ascii="Wingdings" w:hAnsi="Wingdings" w:hint="default"/>
      </w:rPr>
    </w:lvl>
    <w:lvl w:ilvl="6" w:tplc="04090001" w:tentative="1">
      <w:start w:val="1"/>
      <w:numFmt w:val="bullet"/>
      <w:lvlText w:val=""/>
      <w:lvlJc w:val="left"/>
      <w:pPr>
        <w:ind w:left="6668" w:hanging="360"/>
      </w:pPr>
      <w:rPr>
        <w:rFonts w:ascii="Symbol" w:hAnsi="Symbol" w:hint="default"/>
      </w:rPr>
    </w:lvl>
    <w:lvl w:ilvl="7" w:tplc="04090003" w:tentative="1">
      <w:start w:val="1"/>
      <w:numFmt w:val="bullet"/>
      <w:lvlText w:val="o"/>
      <w:lvlJc w:val="left"/>
      <w:pPr>
        <w:ind w:left="7388" w:hanging="360"/>
      </w:pPr>
      <w:rPr>
        <w:rFonts w:ascii="Courier New" w:hAnsi="Courier New" w:cs="Courier New" w:hint="default"/>
      </w:rPr>
    </w:lvl>
    <w:lvl w:ilvl="8" w:tplc="04090005" w:tentative="1">
      <w:start w:val="1"/>
      <w:numFmt w:val="bullet"/>
      <w:lvlText w:val=""/>
      <w:lvlJc w:val="left"/>
      <w:pPr>
        <w:ind w:left="8108" w:hanging="360"/>
      </w:pPr>
      <w:rPr>
        <w:rFonts w:ascii="Wingdings" w:hAnsi="Wingdings" w:hint="default"/>
      </w:rPr>
    </w:lvl>
  </w:abstractNum>
  <w:abstractNum w:abstractNumId="98" w15:restartNumberingAfterBreak="0">
    <w:nsid w:val="7D5E4FBA"/>
    <w:multiLevelType w:val="hybridMultilevel"/>
    <w:tmpl w:val="E09C5590"/>
    <w:lvl w:ilvl="0" w:tplc="0409000F">
      <w:start w:val="1"/>
      <w:numFmt w:val="decimal"/>
      <w:lvlText w:val="%1."/>
      <w:lvlJc w:val="left"/>
      <w:pPr>
        <w:tabs>
          <w:tab w:val="num" w:pos="737"/>
        </w:tabs>
        <w:ind w:left="737" w:hanging="453"/>
      </w:pPr>
      <w:rPr>
        <w:rFont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7D737532"/>
    <w:multiLevelType w:val="hybridMultilevel"/>
    <w:tmpl w:val="A1F0F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3"/>
  </w:num>
  <w:num w:numId="3">
    <w:abstractNumId w:val="16"/>
  </w:num>
  <w:num w:numId="4">
    <w:abstractNumId w:val="43"/>
  </w:num>
  <w:num w:numId="5">
    <w:abstractNumId w:val="57"/>
  </w:num>
  <w:num w:numId="6">
    <w:abstractNumId w:val="2"/>
  </w:num>
  <w:num w:numId="7">
    <w:abstractNumId w:val="1"/>
  </w:num>
  <w:num w:numId="8">
    <w:abstractNumId w:val="0"/>
  </w:num>
  <w:num w:numId="9">
    <w:abstractNumId w:val="90"/>
  </w:num>
  <w:num w:numId="10">
    <w:abstractNumId w:val="67"/>
  </w:num>
  <w:num w:numId="11">
    <w:abstractNumId w:val="61"/>
  </w:num>
  <w:num w:numId="12">
    <w:abstractNumId w:val="7"/>
  </w:num>
  <w:num w:numId="13">
    <w:abstractNumId w:val="51"/>
  </w:num>
  <w:num w:numId="14">
    <w:abstractNumId w:val="68"/>
  </w:num>
  <w:num w:numId="15">
    <w:abstractNumId w:val="69"/>
  </w:num>
  <w:num w:numId="16">
    <w:abstractNumId w:val="39"/>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4"/>
  </w:num>
  <w:num w:numId="20">
    <w:abstractNumId w:val="46"/>
  </w:num>
  <w:num w:numId="21">
    <w:abstractNumId w:val="60"/>
  </w:num>
  <w:num w:numId="22">
    <w:abstractNumId w:val="53"/>
  </w:num>
  <w:num w:numId="23">
    <w:abstractNumId w:val="23"/>
  </w:num>
  <w:num w:numId="24">
    <w:abstractNumId w:val="34"/>
  </w:num>
  <w:num w:numId="25">
    <w:abstractNumId w:val="10"/>
  </w:num>
  <w:num w:numId="26">
    <w:abstractNumId w:val="64"/>
  </w:num>
  <w:num w:numId="27">
    <w:abstractNumId w:val="33"/>
  </w:num>
  <w:num w:numId="28">
    <w:abstractNumId w:val="4"/>
  </w:num>
  <w:num w:numId="29">
    <w:abstractNumId w:val="37"/>
  </w:num>
  <w:num w:numId="30">
    <w:abstractNumId w:val="48"/>
  </w:num>
  <w:num w:numId="31">
    <w:abstractNumId w:val="18"/>
  </w:num>
  <w:num w:numId="32">
    <w:abstractNumId w:val="17"/>
  </w:num>
  <w:num w:numId="33">
    <w:abstractNumId w:val="25"/>
  </w:num>
  <w:num w:numId="34">
    <w:abstractNumId w:val="81"/>
  </w:num>
  <w:num w:numId="35">
    <w:abstractNumId w:val="76"/>
  </w:num>
  <w:num w:numId="36">
    <w:abstractNumId w:val="5"/>
  </w:num>
  <w:num w:numId="37">
    <w:abstractNumId w:val="91"/>
  </w:num>
  <w:num w:numId="38">
    <w:abstractNumId w:val="88"/>
  </w:num>
  <w:num w:numId="39">
    <w:abstractNumId w:val="35"/>
  </w:num>
  <w:num w:numId="40">
    <w:abstractNumId w:val="29"/>
  </w:num>
  <w:num w:numId="41">
    <w:abstractNumId w:val="28"/>
  </w:num>
  <w:num w:numId="42">
    <w:abstractNumId w:val="14"/>
  </w:num>
  <w:num w:numId="43">
    <w:abstractNumId w:val="14"/>
  </w:num>
  <w:num w:numId="44">
    <w:abstractNumId w:val="26"/>
  </w:num>
  <w:num w:numId="45">
    <w:abstractNumId w:val="99"/>
  </w:num>
  <w:num w:numId="46">
    <w:abstractNumId w:val="9"/>
  </w:num>
  <w:num w:numId="47">
    <w:abstractNumId w:val="73"/>
  </w:num>
  <w:num w:numId="48">
    <w:abstractNumId w:val="27"/>
  </w:num>
  <w:num w:numId="49">
    <w:abstractNumId w:val="71"/>
  </w:num>
  <w:num w:numId="50">
    <w:abstractNumId w:val="11"/>
  </w:num>
  <w:num w:numId="51">
    <w:abstractNumId w:val="97"/>
  </w:num>
  <w:num w:numId="52">
    <w:abstractNumId w:val="82"/>
  </w:num>
  <w:num w:numId="53">
    <w:abstractNumId w:val="77"/>
  </w:num>
  <w:num w:numId="54">
    <w:abstractNumId w:val="62"/>
  </w:num>
  <w:num w:numId="55">
    <w:abstractNumId w:val="41"/>
  </w:num>
  <w:num w:numId="56">
    <w:abstractNumId w:val="94"/>
  </w:num>
  <w:num w:numId="57">
    <w:abstractNumId w:val="45"/>
  </w:num>
  <w:num w:numId="58">
    <w:abstractNumId w:val="66"/>
  </w:num>
  <w:num w:numId="59">
    <w:abstractNumId w:val="38"/>
  </w:num>
  <w:num w:numId="60">
    <w:abstractNumId w:val="19"/>
  </w:num>
  <w:num w:numId="61">
    <w:abstractNumId w:val="92"/>
  </w:num>
  <w:num w:numId="62">
    <w:abstractNumId w:val="36"/>
  </w:num>
  <w:num w:numId="63">
    <w:abstractNumId w:val="54"/>
  </w:num>
  <w:num w:numId="64">
    <w:abstractNumId w:val="12"/>
  </w:num>
  <w:num w:numId="65">
    <w:abstractNumId w:val="87"/>
  </w:num>
  <w:num w:numId="66">
    <w:abstractNumId w:val="47"/>
  </w:num>
  <w:num w:numId="67">
    <w:abstractNumId w:val="89"/>
  </w:num>
  <w:num w:numId="68">
    <w:abstractNumId w:val="42"/>
  </w:num>
  <w:num w:numId="69">
    <w:abstractNumId w:val="22"/>
  </w:num>
  <w:num w:numId="70">
    <w:abstractNumId w:val="83"/>
  </w:num>
  <w:num w:numId="71">
    <w:abstractNumId w:val="95"/>
  </w:num>
  <w:num w:numId="72">
    <w:abstractNumId w:val="8"/>
  </w:num>
  <w:num w:numId="73">
    <w:abstractNumId w:val="75"/>
  </w:num>
  <w:num w:numId="74">
    <w:abstractNumId w:val="6"/>
  </w:num>
  <w:num w:numId="75">
    <w:abstractNumId w:val="24"/>
  </w:num>
  <w:num w:numId="76">
    <w:abstractNumId w:val="70"/>
  </w:num>
  <w:num w:numId="77">
    <w:abstractNumId w:val="72"/>
  </w:num>
  <w:num w:numId="78">
    <w:abstractNumId w:val="30"/>
  </w:num>
  <w:num w:numId="79">
    <w:abstractNumId w:val="59"/>
  </w:num>
  <w:num w:numId="80">
    <w:abstractNumId w:val="20"/>
  </w:num>
  <w:num w:numId="81">
    <w:abstractNumId w:val="86"/>
  </w:num>
  <w:num w:numId="82">
    <w:abstractNumId w:val="15"/>
  </w:num>
  <w:num w:numId="83">
    <w:abstractNumId w:val="80"/>
  </w:num>
  <w:num w:numId="84">
    <w:abstractNumId w:val="52"/>
  </w:num>
  <w:num w:numId="85">
    <w:abstractNumId w:val="58"/>
  </w:num>
  <w:num w:numId="86">
    <w:abstractNumId w:val="84"/>
  </w:num>
  <w:num w:numId="87">
    <w:abstractNumId w:val="13"/>
  </w:num>
  <w:num w:numId="88">
    <w:abstractNumId w:val="49"/>
  </w:num>
  <w:num w:numId="89">
    <w:abstractNumId w:val="85"/>
  </w:num>
  <w:num w:numId="90">
    <w:abstractNumId w:val="65"/>
  </w:num>
  <w:num w:numId="91">
    <w:abstractNumId w:val="40"/>
  </w:num>
  <w:num w:numId="92">
    <w:abstractNumId w:val="96"/>
  </w:num>
  <w:num w:numId="93">
    <w:abstractNumId w:val="21"/>
  </w:num>
  <w:num w:numId="94">
    <w:abstractNumId w:val="32"/>
  </w:num>
  <w:num w:numId="95">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96">
    <w:abstractNumId w:val="98"/>
  </w:num>
  <w:num w:numId="97">
    <w:abstractNumId w:val="50"/>
  </w:num>
  <w:num w:numId="98">
    <w:abstractNumId w:val="55"/>
  </w:num>
  <w:num w:numId="99">
    <w:abstractNumId w:val="74"/>
  </w:num>
  <w:num w:numId="100">
    <w:abstractNumId w:val="79"/>
  </w:num>
  <w:num w:numId="101">
    <w:abstractNumId w:val="68"/>
  </w:num>
  <w:num w:numId="102">
    <w:abstractNumId w:val="69"/>
  </w:num>
  <w:num w:numId="103">
    <w:abstractNumId w:val="39"/>
  </w:num>
  <w:num w:numId="104">
    <w:abstractNumId w:val="3"/>
  </w:num>
  <w:num w:numId="105">
    <w:abstractNumId w:val="78"/>
  </w:num>
  <w:num w:numId="106">
    <w:abstractNumId w:val="63"/>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18"/>
    <w:rsid w:val="00000FC0"/>
    <w:rsid w:val="00001FD9"/>
    <w:rsid w:val="0000253A"/>
    <w:rsid w:val="0000384D"/>
    <w:rsid w:val="0001014C"/>
    <w:rsid w:val="000128B3"/>
    <w:rsid w:val="00014539"/>
    <w:rsid w:val="00020364"/>
    <w:rsid w:val="0002320A"/>
    <w:rsid w:val="000266E4"/>
    <w:rsid w:val="00027121"/>
    <w:rsid w:val="000339A5"/>
    <w:rsid w:val="000401EE"/>
    <w:rsid w:val="00044648"/>
    <w:rsid w:val="00047405"/>
    <w:rsid w:val="000630AC"/>
    <w:rsid w:val="00070988"/>
    <w:rsid w:val="00072C17"/>
    <w:rsid w:val="0007792C"/>
    <w:rsid w:val="00081625"/>
    <w:rsid w:val="00082844"/>
    <w:rsid w:val="00084C42"/>
    <w:rsid w:val="00086A31"/>
    <w:rsid w:val="0008732D"/>
    <w:rsid w:val="0008783C"/>
    <w:rsid w:val="00090148"/>
    <w:rsid w:val="00090E29"/>
    <w:rsid w:val="00091D49"/>
    <w:rsid w:val="000925BF"/>
    <w:rsid w:val="000925E7"/>
    <w:rsid w:val="00095709"/>
    <w:rsid w:val="00096A17"/>
    <w:rsid w:val="000A3561"/>
    <w:rsid w:val="000B46BF"/>
    <w:rsid w:val="000C098D"/>
    <w:rsid w:val="000C1AD0"/>
    <w:rsid w:val="000C3EF9"/>
    <w:rsid w:val="000C406E"/>
    <w:rsid w:val="000C79D0"/>
    <w:rsid w:val="000D253E"/>
    <w:rsid w:val="000D72E9"/>
    <w:rsid w:val="000E57B4"/>
    <w:rsid w:val="000E7609"/>
    <w:rsid w:val="000F1272"/>
    <w:rsid w:val="000F2E4E"/>
    <w:rsid w:val="000F5295"/>
    <w:rsid w:val="001026CC"/>
    <w:rsid w:val="0010293D"/>
    <w:rsid w:val="001047AE"/>
    <w:rsid w:val="0011104D"/>
    <w:rsid w:val="0011659A"/>
    <w:rsid w:val="00120A04"/>
    <w:rsid w:val="0012654D"/>
    <w:rsid w:val="0012753F"/>
    <w:rsid w:val="0013226C"/>
    <w:rsid w:val="001363EB"/>
    <w:rsid w:val="001374FD"/>
    <w:rsid w:val="00145AFB"/>
    <w:rsid w:val="0014670F"/>
    <w:rsid w:val="00156D65"/>
    <w:rsid w:val="00161159"/>
    <w:rsid w:val="00162169"/>
    <w:rsid w:val="00167C66"/>
    <w:rsid w:val="001803FA"/>
    <w:rsid w:val="001835B3"/>
    <w:rsid w:val="00183D55"/>
    <w:rsid w:val="00186763"/>
    <w:rsid w:val="0019768F"/>
    <w:rsid w:val="001A176B"/>
    <w:rsid w:val="001A4827"/>
    <w:rsid w:val="001A661C"/>
    <w:rsid w:val="001A66C1"/>
    <w:rsid w:val="001B0919"/>
    <w:rsid w:val="001B174A"/>
    <w:rsid w:val="001B3671"/>
    <w:rsid w:val="001C09EE"/>
    <w:rsid w:val="001C3069"/>
    <w:rsid w:val="001C37D2"/>
    <w:rsid w:val="001C5D2C"/>
    <w:rsid w:val="001D0FF1"/>
    <w:rsid w:val="001D4EA3"/>
    <w:rsid w:val="001D6A62"/>
    <w:rsid w:val="001D7B6E"/>
    <w:rsid w:val="001E27B5"/>
    <w:rsid w:val="001E5F05"/>
    <w:rsid w:val="001E7509"/>
    <w:rsid w:val="001F3880"/>
    <w:rsid w:val="001F42F5"/>
    <w:rsid w:val="001F46B5"/>
    <w:rsid w:val="001F62BB"/>
    <w:rsid w:val="001F6849"/>
    <w:rsid w:val="0020718D"/>
    <w:rsid w:val="00210ED4"/>
    <w:rsid w:val="002142A9"/>
    <w:rsid w:val="002158A0"/>
    <w:rsid w:val="002158F1"/>
    <w:rsid w:val="00215D67"/>
    <w:rsid w:val="0021621D"/>
    <w:rsid w:val="0021643E"/>
    <w:rsid w:val="00217D17"/>
    <w:rsid w:val="00232B2C"/>
    <w:rsid w:val="00235562"/>
    <w:rsid w:val="00241782"/>
    <w:rsid w:val="00244D97"/>
    <w:rsid w:val="00244F0F"/>
    <w:rsid w:val="0024625E"/>
    <w:rsid w:val="00246343"/>
    <w:rsid w:val="002475DC"/>
    <w:rsid w:val="00247AEB"/>
    <w:rsid w:val="00257E05"/>
    <w:rsid w:val="002611BE"/>
    <w:rsid w:val="002633BE"/>
    <w:rsid w:val="002641EC"/>
    <w:rsid w:val="002669AD"/>
    <w:rsid w:val="00267B30"/>
    <w:rsid w:val="0027600B"/>
    <w:rsid w:val="00281525"/>
    <w:rsid w:val="002820BB"/>
    <w:rsid w:val="0028222F"/>
    <w:rsid w:val="00287411"/>
    <w:rsid w:val="002875EF"/>
    <w:rsid w:val="00293AB0"/>
    <w:rsid w:val="00293D54"/>
    <w:rsid w:val="00294EEF"/>
    <w:rsid w:val="002A7062"/>
    <w:rsid w:val="002B093D"/>
    <w:rsid w:val="002B2509"/>
    <w:rsid w:val="002B27AB"/>
    <w:rsid w:val="002B46D9"/>
    <w:rsid w:val="002B7C69"/>
    <w:rsid w:val="002C10BE"/>
    <w:rsid w:val="002C31BD"/>
    <w:rsid w:val="002C3A17"/>
    <w:rsid w:val="002C42FA"/>
    <w:rsid w:val="002C7091"/>
    <w:rsid w:val="002E18AB"/>
    <w:rsid w:val="002F2424"/>
    <w:rsid w:val="00302794"/>
    <w:rsid w:val="003031B9"/>
    <w:rsid w:val="0030742D"/>
    <w:rsid w:val="003167CA"/>
    <w:rsid w:val="00320EDC"/>
    <w:rsid w:val="00324C37"/>
    <w:rsid w:val="00325EA3"/>
    <w:rsid w:val="003266C9"/>
    <w:rsid w:val="00326ED0"/>
    <w:rsid w:val="003329C2"/>
    <w:rsid w:val="0033339C"/>
    <w:rsid w:val="003354CF"/>
    <w:rsid w:val="00336183"/>
    <w:rsid w:val="003406C9"/>
    <w:rsid w:val="0034134D"/>
    <w:rsid w:val="00345FBA"/>
    <w:rsid w:val="00350C19"/>
    <w:rsid w:val="00356C28"/>
    <w:rsid w:val="00360A60"/>
    <w:rsid w:val="00363848"/>
    <w:rsid w:val="00365A36"/>
    <w:rsid w:val="00367956"/>
    <w:rsid w:val="003704EE"/>
    <w:rsid w:val="003723B1"/>
    <w:rsid w:val="003732D9"/>
    <w:rsid w:val="0037442E"/>
    <w:rsid w:val="00377762"/>
    <w:rsid w:val="00382F5C"/>
    <w:rsid w:val="003917E0"/>
    <w:rsid w:val="003943C7"/>
    <w:rsid w:val="00394E82"/>
    <w:rsid w:val="0039551C"/>
    <w:rsid w:val="003A1353"/>
    <w:rsid w:val="003A634C"/>
    <w:rsid w:val="003A7FAB"/>
    <w:rsid w:val="003B061B"/>
    <w:rsid w:val="003C00E6"/>
    <w:rsid w:val="003D4D8A"/>
    <w:rsid w:val="003D51D1"/>
    <w:rsid w:val="003D52A8"/>
    <w:rsid w:val="003D6202"/>
    <w:rsid w:val="003D63E8"/>
    <w:rsid w:val="003D7F08"/>
    <w:rsid w:val="003E2224"/>
    <w:rsid w:val="003E54A5"/>
    <w:rsid w:val="003E7568"/>
    <w:rsid w:val="003E77A5"/>
    <w:rsid w:val="003F138E"/>
    <w:rsid w:val="003F241E"/>
    <w:rsid w:val="003F50FD"/>
    <w:rsid w:val="004042DE"/>
    <w:rsid w:val="00406E11"/>
    <w:rsid w:val="00407295"/>
    <w:rsid w:val="00410253"/>
    <w:rsid w:val="00415394"/>
    <w:rsid w:val="00415498"/>
    <w:rsid w:val="00420874"/>
    <w:rsid w:val="00424964"/>
    <w:rsid w:val="00426237"/>
    <w:rsid w:val="004328F8"/>
    <w:rsid w:val="00436775"/>
    <w:rsid w:val="00445789"/>
    <w:rsid w:val="004604DE"/>
    <w:rsid w:val="00461BA8"/>
    <w:rsid w:val="0046449A"/>
    <w:rsid w:val="00464735"/>
    <w:rsid w:val="00467FA6"/>
    <w:rsid w:val="00470B7A"/>
    <w:rsid w:val="00470C18"/>
    <w:rsid w:val="004731F1"/>
    <w:rsid w:val="0047357D"/>
    <w:rsid w:val="00473A74"/>
    <w:rsid w:val="00475D12"/>
    <w:rsid w:val="004829D1"/>
    <w:rsid w:val="0048495E"/>
    <w:rsid w:val="00486AB7"/>
    <w:rsid w:val="004964EB"/>
    <w:rsid w:val="004974C5"/>
    <w:rsid w:val="004A1E38"/>
    <w:rsid w:val="004A3476"/>
    <w:rsid w:val="004A5353"/>
    <w:rsid w:val="004B21DC"/>
    <w:rsid w:val="004B2AD8"/>
    <w:rsid w:val="004B2C68"/>
    <w:rsid w:val="004C05A1"/>
    <w:rsid w:val="004C3813"/>
    <w:rsid w:val="004C5FF4"/>
    <w:rsid w:val="004C78C3"/>
    <w:rsid w:val="004C7F72"/>
    <w:rsid w:val="004D1F67"/>
    <w:rsid w:val="004D2F39"/>
    <w:rsid w:val="004D4B0F"/>
    <w:rsid w:val="004E6F1B"/>
    <w:rsid w:val="004E77A7"/>
    <w:rsid w:val="004F04C5"/>
    <w:rsid w:val="004F0EE0"/>
    <w:rsid w:val="004F22BB"/>
    <w:rsid w:val="004F32E1"/>
    <w:rsid w:val="004F54BF"/>
    <w:rsid w:val="004F54DF"/>
    <w:rsid w:val="005122EB"/>
    <w:rsid w:val="00513AE8"/>
    <w:rsid w:val="005202D0"/>
    <w:rsid w:val="005209D6"/>
    <w:rsid w:val="00521F2C"/>
    <w:rsid w:val="0053422C"/>
    <w:rsid w:val="00535DFE"/>
    <w:rsid w:val="005401E8"/>
    <w:rsid w:val="005409EB"/>
    <w:rsid w:val="00541F7B"/>
    <w:rsid w:val="0054337C"/>
    <w:rsid w:val="005453D4"/>
    <w:rsid w:val="00547DC2"/>
    <w:rsid w:val="005549ED"/>
    <w:rsid w:val="0056029D"/>
    <w:rsid w:val="0056409B"/>
    <w:rsid w:val="00564272"/>
    <w:rsid w:val="00564D7A"/>
    <w:rsid w:val="00566016"/>
    <w:rsid w:val="0056624A"/>
    <w:rsid w:val="0057074D"/>
    <w:rsid w:val="00571CA5"/>
    <w:rsid w:val="005726D2"/>
    <w:rsid w:val="005737AE"/>
    <w:rsid w:val="005751A1"/>
    <w:rsid w:val="00576DA9"/>
    <w:rsid w:val="0058560B"/>
    <w:rsid w:val="005864F7"/>
    <w:rsid w:val="005868EE"/>
    <w:rsid w:val="005935C9"/>
    <w:rsid w:val="005936EC"/>
    <w:rsid w:val="00593AA0"/>
    <w:rsid w:val="0059474F"/>
    <w:rsid w:val="00596098"/>
    <w:rsid w:val="005A280F"/>
    <w:rsid w:val="005A35DC"/>
    <w:rsid w:val="005A7C21"/>
    <w:rsid w:val="005B00F0"/>
    <w:rsid w:val="005B3B31"/>
    <w:rsid w:val="005B4A0B"/>
    <w:rsid w:val="005B630C"/>
    <w:rsid w:val="005B655B"/>
    <w:rsid w:val="005B6C5A"/>
    <w:rsid w:val="005C0172"/>
    <w:rsid w:val="005C0CCB"/>
    <w:rsid w:val="005C4BF4"/>
    <w:rsid w:val="005C5ABB"/>
    <w:rsid w:val="005E1047"/>
    <w:rsid w:val="005E555C"/>
    <w:rsid w:val="005E77DD"/>
    <w:rsid w:val="005F5B68"/>
    <w:rsid w:val="0060401D"/>
    <w:rsid w:val="00610769"/>
    <w:rsid w:val="00617C5C"/>
    <w:rsid w:val="00621604"/>
    <w:rsid w:val="00623622"/>
    <w:rsid w:val="006239C3"/>
    <w:rsid w:val="00627353"/>
    <w:rsid w:val="0063465E"/>
    <w:rsid w:val="00634BA6"/>
    <w:rsid w:val="00635A41"/>
    <w:rsid w:val="006365EC"/>
    <w:rsid w:val="00640591"/>
    <w:rsid w:val="00642B77"/>
    <w:rsid w:val="00645799"/>
    <w:rsid w:val="00646771"/>
    <w:rsid w:val="0064715F"/>
    <w:rsid w:val="006539E0"/>
    <w:rsid w:val="00653A3B"/>
    <w:rsid w:val="00655F16"/>
    <w:rsid w:val="00656B92"/>
    <w:rsid w:val="00660510"/>
    <w:rsid w:val="006644A7"/>
    <w:rsid w:val="006646BB"/>
    <w:rsid w:val="00665802"/>
    <w:rsid w:val="00665D50"/>
    <w:rsid w:val="00667EEB"/>
    <w:rsid w:val="00672201"/>
    <w:rsid w:val="00672A8D"/>
    <w:rsid w:val="006754AA"/>
    <w:rsid w:val="006754D4"/>
    <w:rsid w:val="00680D3B"/>
    <w:rsid w:val="00683D51"/>
    <w:rsid w:val="006867DC"/>
    <w:rsid w:val="006A008C"/>
    <w:rsid w:val="006A4A4C"/>
    <w:rsid w:val="006C0D8F"/>
    <w:rsid w:val="006C1FF6"/>
    <w:rsid w:val="006C62B3"/>
    <w:rsid w:val="006C6640"/>
    <w:rsid w:val="006C7AEB"/>
    <w:rsid w:val="006D20A1"/>
    <w:rsid w:val="006E296F"/>
    <w:rsid w:val="006E616D"/>
    <w:rsid w:val="006E61EA"/>
    <w:rsid w:val="006F0733"/>
    <w:rsid w:val="006F22F1"/>
    <w:rsid w:val="006F2AB4"/>
    <w:rsid w:val="006F4AA3"/>
    <w:rsid w:val="006F4BA9"/>
    <w:rsid w:val="006F4CC1"/>
    <w:rsid w:val="006F5A1A"/>
    <w:rsid w:val="006F6BD4"/>
    <w:rsid w:val="00703E81"/>
    <w:rsid w:val="007042E9"/>
    <w:rsid w:val="00707663"/>
    <w:rsid w:val="00707C4A"/>
    <w:rsid w:val="007109C3"/>
    <w:rsid w:val="00712F2B"/>
    <w:rsid w:val="00713540"/>
    <w:rsid w:val="0071592F"/>
    <w:rsid w:val="007164DA"/>
    <w:rsid w:val="00721808"/>
    <w:rsid w:val="00724E04"/>
    <w:rsid w:val="00727922"/>
    <w:rsid w:val="007322C4"/>
    <w:rsid w:val="00734B29"/>
    <w:rsid w:val="00741210"/>
    <w:rsid w:val="007414A4"/>
    <w:rsid w:val="0074158F"/>
    <w:rsid w:val="007420D9"/>
    <w:rsid w:val="00742E34"/>
    <w:rsid w:val="00743F24"/>
    <w:rsid w:val="00745924"/>
    <w:rsid w:val="007462C1"/>
    <w:rsid w:val="00750F11"/>
    <w:rsid w:val="0075112D"/>
    <w:rsid w:val="00751225"/>
    <w:rsid w:val="00755B41"/>
    <w:rsid w:val="007620DA"/>
    <w:rsid w:val="00770849"/>
    <w:rsid w:val="00770E02"/>
    <w:rsid w:val="0077267B"/>
    <w:rsid w:val="00777FB5"/>
    <w:rsid w:val="007826AE"/>
    <w:rsid w:val="0078290A"/>
    <w:rsid w:val="00787554"/>
    <w:rsid w:val="00790CFB"/>
    <w:rsid w:val="00793DC5"/>
    <w:rsid w:val="007A0052"/>
    <w:rsid w:val="007A52EE"/>
    <w:rsid w:val="007B0EAC"/>
    <w:rsid w:val="007B157E"/>
    <w:rsid w:val="007B37D1"/>
    <w:rsid w:val="007B5564"/>
    <w:rsid w:val="007B55FC"/>
    <w:rsid w:val="007B7941"/>
    <w:rsid w:val="007B7A57"/>
    <w:rsid w:val="007B7CFA"/>
    <w:rsid w:val="007C2918"/>
    <w:rsid w:val="007C2C07"/>
    <w:rsid w:val="007C40D4"/>
    <w:rsid w:val="007C6118"/>
    <w:rsid w:val="007C756A"/>
    <w:rsid w:val="007D0793"/>
    <w:rsid w:val="007D635E"/>
    <w:rsid w:val="007E01E7"/>
    <w:rsid w:val="007E275C"/>
    <w:rsid w:val="007E501E"/>
    <w:rsid w:val="007E50A3"/>
    <w:rsid w:val="007F7F12"/>
    <w:rsid w:val="00801E13"/>
    <w:rsid w:val="00806FCA"/>
    <w:rsid w:val="008108EA"/>
    <w:rsid w:val="0081214B"/>
    <w:rsid w:val="00813CFA"/>
    <w:rsid w:val="00815EE8"/>
    <w:rsid w:val="00825C3F"/>
    <w:rsid w:val="008267F4"/>
    <w:rsid w:val="00830804"/>
    <w:rsid w:val="00830FBA"/>
    <w:rsid w:val="00837E60"/>
    <w:rsid w:val="008401A5"/>
    <w:rsid w:val="00843B21"/>
    <w:rsid w:val="008440A4"/>
    <w:rsid w:val="0084562D"/>
    <w:rsid w:val="00853A3E"/>
    <w:rsid w:val="00855F74"/>
    <w:rsid w:val="008604EF"/>
    <w:rsid w:val="00860518"/>
    <w:rsid w:val="00860CD3"/>
    <w:rsid w:val="00866A3B"/>
    <w:rsid w:val="00867EBE"/>
    <w:rsid w:val="008751DD"/>
    <w:rsid w:val="00882215"/>
    <w:rsid w:val="00883855"/>
    <w:rsid w:val="008838C2"/>
    <w:rsid w:val="008849A4"/>
    <w:rsid w:val="008850DB"/>
    <w:rsid w:val="00885F13"/>
    <w:rsid w:val="008919AE"/>
    <w:rsid w:val="008933FA"/>
    <w:rsid w:val="008939AB"/>
    <w:rsid w:val="00894D57"/>
    <w:rsid w:val="008A0373"/>
    <w:rsid w:val="008A18FE"/>
    <w:rsid w:val="008A1BA5"/>
    <w:rsid w:val="008A1FFF"/>
    <w:rsid w:val="008A380A"/>
    <w:rsid w:val="008A3A7C"/>
    <w:rsid w:val="008A545F"/>
    <w:rsid w:val="008B0C98"/>
    <w:rsid w:val="008B3012"/>
    <w:rsid w:val="008B36B9"/>
    <w:rsid w:val="008B541E"/>
    <w:rsid w:val="008C72D1"/>
    <w:rsid w:val="008C7D24"/>
    <w:rsid w:val="008D13AA"/>
    <w:rsid w:val="008D279C"/>
    <w:rsid w:val="008D2FD4"/>
    <w:rsid w:val="008D5590"/>
    <w:rsid w:val="008E6860"/>
    <w:rsid w:val="008E68DD"/>
    <w:rsid w:val="008F0EA9"/>
    <w:rsid w:val="008F1550"/>
    <w:rsid w:val="008F29AE"/>
    <w:rsid w:val="008F3E6A"/>
    <w:rsid w:val="008F6893"/>
    <w:rsid w:val="00900FDF"/>
    <w:rsid w:val="009017C3"/>
    <w:rsid w:val="00901835"/>
    <w:rsid w:val="00902481"/>
    <w:rsid w:val="00911CB8"/>
    <w:rsid w:val="00915593"/>
    <w:rsid w:val="0091563F"/>
    <w:rsid w:val="00923314"/>
    <w:rsid w:val="00931EDD"/>
    <w:rsid w:val="00934564"/>
    <w:rsid w:val="00934CAC"/>
    <w:rsid w:val="00937D7D"/>
    <w:rsid w:val="0096045F"/>
    <w:rsid w:val="00966497"/>
    <w:rsid w:val="0097540E"/>
    <w:rsid w:val="009771C6"/>
    <w:rsid w:val="009864A9"/>
    <w:rsid w:val="00986677"/>
    <w:rsid w:val="00994C8E"/>
    <w:rsid w:val="00994DD8"/>
    <w:rsid w:val="00995BDD"/>
    <w:rsid w:val="009A0190"/>
    <w:rsid w:val="009A0B89"/>
    <w:rsid w:val="009A108D"/>
    <w:rsid w:val="009A2C4C"/>
    <w:rsid w:val="009C0DAB"/>
    <w:rsid w:val="009C7AD1"/>
    <w:rsid w:val="009D35BB"/>
    <w:rsid w:val="009D66FE"/>
    <w:rsid w:val="009D7DE7"/>
    <w:rsid w:val="009E4040"/>
    <w:rsid w:val="009E6C23"/>
    <w:rsid w:val="009F11FE"/>
    <w:rsid w:val="009F12AB"/>
    <w:rsid w:val="009F2A55"/>
    <w:rsid w:val="009F2CD4"/>
    <w:rsid w:val="009F6828"/>
    <w:rsid w:val="009F6EA9"/>
    <w:rsid w:val="00A011D6"/>
    <w:rsid w:val="00A03515"/>
    <w:rsid w:val="00A16A80"/>
    <w:rsid w:val="00A200F0"/>
    <w:rsid w:val="00A2217C"/>
    <w:rsid w:val="00A229BC"/>
    <w:rsid w:val="00A26EF8"/>
    <w:rsid w:val="00A32E99"/>
    <w:rsid w:val="00A377A6"/>
    <w:rsid w:val="00A40352"/>
    <w:rsid w:val="00A416AB"/>
    <w:rsid w:val="00A430A1"/>
    <w:rsid w:val="00A541C1"/>
    <w:rsid w:val="00A561DC"/>
    <w:rsid w:val="00A56CBF"/>
    <w:rsid w:val="00A6262E"/>
    <w:rsid w:val="00A66BFE"/>
    <w:rsid w:val="00A70A34"/>
    <w:rsid w:val="00A74B0A"/>
    <w:rsid w:val="00A84FF0"/>
    <w:rsid w:val="00A85718"/>
    <w:rsid w:val="00A97BE4"/>
    <w:rsid w:val="00AA1F0A"/>
    <w:rsid w:val="00AA298D"/>
    <w:rsid w:val="00AA2D0F"/>
    <w:rsid w:val="00AA7F7E"/>
    <w:rsid w:val="00AB1037"/>
    <w:rsid w:val="00AB6EB9"/>
    <w:rsid w:val="00AC4858"/>
    <w:rsid w:val="00AC49F0"/>
    <w:rsid w:val="00AC53D8"/>
    <w:rsid w:val="00AC5CD6"/>
    <w:rsid w:val="00AC7F93"/>
    <w:rsid w:val="00AD424C"/>
    <w:rsid w:val="00AE08A6"/>
    <w:rsid w:val="00AE2D24"/>
    <w:rsid w:val="00AE4059"/>
    <w:rsid w:val="00B007B6"/>
    <w:rsid w:val="00B0265D"/>
    <w:rsid w:val="00B04C59"/>
    <w:rsid w:val="00B061AE"/>
    <w:rsid w:val="00B10610"/>
    <w:rsid w:val="00B1314D"/>
    <w:rsid w:val="00B2108F"/>
    <w:rsid w:val="00B2124E"/>
    <w:rsid w:val="00B21E86"/>
    <w:rsid w:val="00B24503"/>
    <w:rsid w:val="00B26658"/>
    <w:rsid w:val="00B3138A"/>
    <w:rsid w:val="00B416AD"/>
    <w:rsid w:val="00B42E8B"/>
    <w:rsid w:val="00B440C1"/>
    <w:rsid w:val="00B5038F"/>
    <w:rsid w:val="00B52DBC"/>
    <w:rsid w:val="00B554B4"/>
    <w:rsid w:val="00B57EB6"/>
    <w:rsid w:val="00B57FC6"/>
    <w:rsid w:val="00B6424A"/>
    <w:rsid w:val="00B652FF"/>
    <w:rsid w:val="00B653BA"/>
    <w:rsid w:val="00B67849"/>
    <w:rsid w:val="00B73DE0"/>
    <w:rsid w:val="00B749D3"/>
    <w:rsid w:val="00B800EC"/>
    <w:rsid w:val="00B80D7B"/>
    <w:rsid w:val="00B833AF"/>
    <w:rsid w:val="00B93338"/>
    <w:rsid w:val="00BA30AF"/>
    <w:rsid w:val="00BA6835"/>
    <w:rsid w:val="00BA6915"/>
    <w:rsid w:val="00BA6BBC"/>
    <w:rsid w:val="00BB3912"/>
    <w:rsid w:val="00BB451A"/>
    <w:rsid w:val="00BB4716"/>
    <w:rsid w:val="00BB4C92"/>
    <w:rsid w:val="00BB6418"/>
    <w:rsid w:val="00BB775A"/>
    <w:rsid w:val="00BC0911"/>
    <w:rsid w:val="00BC0A87"/>
    <w:rsid w:val="00BC0B9C"/>
    <w:rsid w:val="00BC33F7"/>
    <w:rsid w:val="00BC4F8E"/>
    <w:rsid w:val="00BC64F8"/>
    <w:rsid w:val="00BD2C8E"/>
    <w:rsid w:val="00BD3F72"/>
    <w:rsid w:val="00BD5D75"/>
    <w:rsid w:val="00BE02E1"/>
    <w:rsid w:val="00BE12DA"/>
    <w:rsid w:val="00BE1693"/>
    <w:rsid w:val="00BE2439"/>
    <w:rsid w:val="00BE2F55"/>
    <w:rsid w:val="00BE3E74"/>
    <w:rsid w:val="00BE4BB4"/>
    <w:rsid w:val="00BF0613"/>
    <w:rsid w:val="00BF4E4A"/>
    <w:rsid w:val="00BF53E2"/>
    <w:rsid w:val="00BF6945"/>
    <w:rsid w:val="00C04BCB"/>
    <w:rsid w:val="00C05405"/>
    <w:rsid w:val="00C05E06"/>
    <w:rsid w:val="00C11D87"/>
    <w:rsid w:val="00C147B0"/>
    <w:rsid w:val="00C17E8E"/>
    <w:rsid w:val="00C201D0"/>
    <w:rsid w:val="00C22864"/>
    <w:rsid w:val="00C25BC9"/>
    <w:rsid w:val="00C37770"/>
    <w:rsid w:val="00C4017D"/>
    <w:rsid w:val="00C40550"/>
    <w:rsid w:val="00C42E3B"/>
    <w:rsid w:val="00C43478"/>
    <w:rsid w:val="00C47908"/>
    <w:rsid w:val="00C5094F"/>
    <w:rsid w:val="00C601AA"/>
    <w:rsid w:val="00C61B47"/>
    <w:rsid w:val="00C62AE6"/>
    <w:rsid w:val="00C632F3"/>
    <w:rsid w:val="00C64A8E"/>
    <w:rsid w:val="00C666CE"/>
    <w:rsid w:val="00C67916"/>
    <w:rsid w:val="00C7292A"/>
    <w:rsid w:val="00C73874"/>
    <w:rsid w:val="00C81E24"/>
    <w:rsid w:val="00C8319A"/>
    <w:rsid w:val="00C86764"/>
    <w:rsid w:val="00C90475"/>
    <w:rsid w:val="00C908C6"/>
    <w:rsid w:val="00C947AA"/>
    <w:rsid w:val="00C94FC1"/>
    <w:rsid w:val="00C958DD"/>
    <w:rsid w:val="00C9618C"/>
    <w:rsid w:val="00C977DC"/>
    <w:rsid w:val="00C97E71"/>
    <w:rsid w:val="00CA7994"/>
    <w:rsid w:val="00CB58C8"/>
    <w:rsid w:val="00CB5D36"/>
    <w:rsid w:val="00CC1C4E"/>
    <w:rsid w:val="00CC59D3"/>
    <w:rsid w:val="00CD386D"/>
    <w:rsid w:val="00CE5BA0"/>
    <w:rsid w:val="00CE6C11"/>
    <w:rsid w:val="00CF144D"/>
    <w:rsid w:val="00CF18C6"/>
    <w:rsid w:val="00CF6410"/>
    <w:rsid w:val="00CF6831"/>
    <w:rsid w:val="00CF74E4"/>
    <w:rsid w:val="00D0084A"/>
    <w:rsid w:val="00D03EDC"/>
    <w:rsid w:val="00D063BE"/>
    <w:rsid w:val="00D073E5"/>
    <w:rsid w:val="00D10ECE"/>
    <w:rsid w:val="00D15184"/>
    <w:rsid w:val="00D218E9"/>
    <w:rsid w:val="00D21D20"/>
    <w:rsid w:val="00D2670F"/>
    <w:rsid w:val="00D269B6"/>
    <w:rsid w:val="00D2740E"/>
    <w:rsid w:val="00D276AE"/>
    <w:rsid w:val="00D34229"/>
    <w:rsid w:val="00D35D58"/>
    <w:rsid w:val="00D36986"/>
    <w:rsid w:val="00D41BD8"/>
    <w:rsid w:val="00D44988"/>
    <w:rsid w:val="00D44CC9"/>
    <w:rsid w:val="00D604BD"/>
    <w:rsid w:val="00D61667"/>
    <w:rsid w:val="00D61A2F"/>
    <w:rsid w:val="00D64362"/>
    <w:rsid w:val="00D65F47"/>
    <w:rsid w:val="00D675FF"/>
    <w:rsid w:val="00D705B5"/>
    <w:rsid w:val="00D7365C"/>
    <w:rsid w:val="00D7665C"/>
    <w:rsid w:val="00D76D13"/>
    <w:rsid w:val="00D778F4"/>
    <w:rsid w:val="00D846B3"/>
    <w:rsid w:val="00D84758"/>
    <w:rsid w:val="00DA0B38"/>
    <w:rsid w:val="00DA5BC3"/>
    <w:rsid w:val="00DA6F44"/>
    <w:rsid w:val="00DB05BC"/>
    <w:rsid w:val="00DB5D6A"/>
    <w:rsid w:val="00DB7C3D"/>
    <w:rsid w:val="00DC0EB4"/>
    <w:rsid w:val="00DC1A23"/>
    <w:rsid w:val="00DD102A"/>
    <w:rsid w:val="00DD25A2"/>
    <w:rsid w:val="00DD4BC8"/>
    <w:rsid w:val="00DD4C56"/>
    <w:rsid w:val="00DE3C6D"/>
    <w:rsid w:val="00DF05A9"/>
    <w:rsid w:val="00DF3125"/>
    <w:rsid w:val="00DF3717"/>
    <w:rsid w:val="00DF3A31"/>
    <w:rsid w:val="00E0176D"/>
    <w:rsid w:val="00E03930"/>
    <w:rsid w:val="00E05319"/>
    <w:rsid w:val="00E05FF9"/>
    <w:rsid w:val="00E07EF4"/>
    <w:rsid w:val="00E175FD"/>
    <w:rsid w:val="00E20CB7"/>
    <w:rsid w:val="00E20E38"/>
    <w:rsid w:val="00E25CD9"/>
    <w:rsid w:val="00E2621B"/>
    <w:rsid w:val="00E2640B"/>
    <w:rsid w:val="00E3148E"/>
    <w:rsid w:val="00E337C4"/>
    <w:rsid w:val="00E340F6"/>
    <w:rsid w:val="00E3784B"/>
    <w:rsid w:val="00E42023"/>
    <w:rsid w:val="00E43C0C"/>
    <w:rsid w:val="00E5404B"/>
    <w:rsid w:val="00E565B3"/>
    <w:rsid w:val="00E57448"/>
    <w:rsid w:val="00E6227D"/>
    <w:rsid w:val="00E62C9A"/>
    <w:rsid w:val="00E67951"/>
    <w:rsid w:val="00E73CD4"/>
    <w:rsid w:val="00E7544A"/>
    <w:rsid w:val="00E75858"/>
    <w:rsid w:val="00E76088"/>
    <w:rsid w:val="00E84C2E"/>
    <w:rsid w:val="00E864EE"/>
    <w:rsid w:val="00E87544"/>
    <w:rsid w:val="00E90BBD"/>
    <w:rsid w:val="00E92A97"/>
    <w:rsid w:val="00E940A8"/>
    <w:rsid w:val="00E94128"/>
    <w:rsid w:val="00E9537F"/>
    <w:rsid w:val="00E95952"/>
    <w:rsid w:val="00EA211F"/>
    <w:rsid w:val="00EA30BA"/>
    <w:rsid w:val="00EA45D8"/>
    <w:rsid w:val="00EA530F"/>
    <w:rsid w:val="00EA6547"/>
    <w:rsid w:val="00EA786E"/>
    <w:rsid w:val="00EB1C2F"/>
    <w:rsid w:val="00EB2663"/>
    <w:rsid w:val="00EB29F3"/>
    <w:rsid w:val="00EB3089"/>
    <w:rsid w:val="00EC12CA"/>
    <w:rsid w:val="00EC2CEE"/>
    <w:rsid w:val="00ED24F8"/>
    <w:rsid w:val="00ED3001"/>
    <w:rsid w:val="00ED3520"/>
    <w:rsid w:val="00ED65C5"/>
    <w:rsid w:val="00ED71D5"/>
    <w:rsid w:val="00EE3DB9"/>
    <w:rsid w:val="00EE48C7"/>
    <w:rsid w:val="00EE74A2"/>
    <w:rsid w:val="00EF053F"/>
    <w:rsid w:val="00EF4F55"/>
    <w:rsid w:val="00EF5EFD"/>
    <w:rsid w:val="00EF6BB7"/>
    <w:rsid w:val="00F0054F"/>
    <w:rsid w:val="00F03B58"/>
    <w:rsid w:val="00F06FE7"/>
    <w:rsid w:val="00F12DD3"/>
    <w:rsid w:val="00F207B4"/>
    <w:rsid w:val="00F22D28"/>
    <w:rsid w:val="00F23124"/>
    <w:rsid w:val="00F329BF"/>
    <w:rsid w:val="00F33074"/>
    <w:rsid w:val="00F338A5"/>
    <w:rsid w:val="00F37C0F"/>
    <w:rsid w:val="00F37D49"/>
    <w:rsid w:val="00F43C83"/>
    <w:rsid w:val="00F43EAC"/>
    <w:rsid w:val="00F46A4C"/>
    <w:rsid w:val="00F57C73"/>
    <w:rsid w:val="00F57D30"/>
    <w:rsid w:val="00F613C0"/>
    <w:rsid w:val="00F6149A"/>
    <w:rsid w:val="00F66FBB"/>
    <w:rsid w:val="00F731BE"/>
    <w:rsid w:val="00F74F88"/>
    <w:rsid w:val="00F773B5"/>
    <w:rsid w:val="00F777C8"/>
    <w:rsid w:val="00F85143"/>
    <w:rsid w:val="00F90BF9"/>
    <w:rsid w:val="00F91DC7"/>
    <w:rsid w:val="00FB1896"/>
    <w:rsid w:val="00FB59F2"/>
    <w:rsid w:val="00FB7427"/>
    <w:rsid w:val="00FC0398"/>
    <w:rsid w:val="00FC0FF8"/>
    <w:rsid w:val="00FC17F5"/>
    <w:rsid w:val="00FC37B8"/>
    <w:rsid w:val="00FC7579"/>
    <w:rsid w:val="00FC79AE"/>
    <w:rsid w:val="00FD4016"/>
    <w:rsid w:val="00FE0D65"/>
    <w:rsid w:val="00FE1C00"/>
    <w:rsid w:val="00FE46C1"/>
    <w:rsid w:val="00FE559D"/>
    <w:rsid w:val="00FE5672"/>
    <w:rsid w:val="00FF07E3"/>
    <w:rsid w:val="00FF500A"/>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D622DF4-1F3B-4FCF-B079-D465D552C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7579"/>
    <w:pPr>
      <w:overflowPunct w:val="0"/>
      <w:autoSpaceDE w:val="0"/>
      <w:autoSpaceDN w:val="0"/>
      <w:adjustRightInd w:val="0"/>
      <w:spacing w:after="180"/>
      <w:textAlignment w:val="baseline"/>
    </w:pPr>
    <w:rPr>
      <w:lang w:val="en-GB"/>
    </w:rPr>
  </w:style>
  <w:style w:type="paragraph" w:styleId="Heading1">
    <w:name w:val="heading 1"/>
    <w:next w:val="Normal"/>
    <w:qFormat/>
    <w:rsid w:val="00CD386D"/>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CD386D"/>
    <w:pPr>
      <w:pBdr>
        <w:top w:val="none" w:sz="0" w:space="0" w:color="auto"/>
      </w:pBdr>
      <w:spacing w:before="180"/>
      <w:outlineLvl w:val="1"/>
    </w:pPr>
    <w:rPr>
      <w:sz w:val="32"/>
      <w:lang w:val="x-none"/>
    </w:rPr>
  </w:style>
  <w:style w:type="paragraph" w:styleId="Heading3">
    <w:name w:val="heading 3"/>
    <w:basedOn w:val="Heading2"/>
    <w:next w:val="Normal"/>
    <w:link w:val="Heading3Char"/>
    <w:qFormat/>
    <w:rsid w:val="00CD386D"/>
    <w:pPr>
      <w:spacing w:before="120"/>
      <w:outlineLvl w:val="2"/>
    </w:pPr>
    <w:rPr>
      <w:sz w:val="28"/>
      <w:lang w:eastAsia="x-none"/>
    </w:rPr>
  </w:style>
  <w:style w:type="paragraph" w:styleId="Heading4">
    <w:name w:val="heading 4"/>
    <w:basedOn w:val="Heading3"/>
    <w:next w:val="Normal"/>
    <w:link w:val="Heading4Char"/>
    <w:qFormat/>
    <w:rsid w:val="00CD386D"/>
    <w:pPr>
      <w:ind w:left="1418" w:hanging="1418"/>
      <w:outlineLvl w:val="3"/>
    </w:pPr>
    <w:rPr>
      <w:sz w:val="24"/>
    </w:rPr>
  </w:style>
  <w:style w:type="paragraph" w:styleId="Heading5">
    <w:name w:val="heading 5"/>
    <w:basedOn w:val="Heading4"/>
    <w:next w:val="Normal"/>
    <w:qFormat/>
    <w:rsid w:val="00CD386D"/>
    <w:pPr>
      <w:ind w:left="1701" w:hanging="1701"/>
      <w:outlineLvl w:val="4"/>
    </w:pPr>
    <w:rPr>
      <w:sz w:val="22"/>
    </w:rPr>
  </w:style>
  <w:style w:type="paragraph" w:styleId="Heading6">
    <w:name w:val="heading 6"/>
    <w:basedOn w:val="H6"/>
    <w:next w:val="Normal"/>
    <w:qFormat/>
    <w:rsid w:val="00CD386D"/>
    <w:pPr>
      <w:outlineLvl w:val="5"/>
    </w:pPr>
  </w:style>
  <w:style w:type="paragraph" w:styleId="Heading7">
    <w:name w:val="heading 7"/>
    <w:basedOn w:val="H6"/>
    <w:next w:val="Normal"/>
    <w:qFormat/>
    <w:rsid w:val="00CD386D"/>
    <w:pPr>
      <w:outlineLvl w:val="6"/>
    </w:pPr>
  </w:style>
  <w:style w:type="paragraph" w:styleId="Heading8">
    <w:name w:val="heading 8"/>
    <w:basedOn w:val="Heading1"/>
    <w:next w:val="Normal"/>
    <w:qFormat/>
    <w:rsid w:val="00CD386D"/>
    <w:pPr>
      <w:ind w:left="0" w:firstLine="0"/>
      <w:outlineLvl w:val="7"/>
    </w:pPr>
  </w:style>
  <w:style w:type="paragraph" w:styleId="Heading9">
    <w:name w:val="heading 9"/>
    <w:basedOn w:val="Heading8"/>
    <w:next w:val="Normal"/>
    <w:qFormat/>
    <w:rsid w:val="00CD386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05319"/>
    <w:rPr>
      <w:rFonts w:ascii="Arial" w:hAnsi="Arial"/>
      <w:sz w:val="32"/>
      <w:lang w:eastAsia="en-US"/>
    </w:rPr>
  </w:style>
  <w:style w:type="paragraph" w:customStyle="1" w:styleId="H6">
    <w:name w:val="H6"/>
    <w:basedOn w:val="Heading5"/>
    <w:next w:val="Normal"/>
    <w:rsid w:val="00CD386D"/>
    <w:pPr>
      <w:ind w:left="1985" w:hanging="1985"/>
      <w:outlineLvl w:val="9"/>
    </w:pPr>
    <w:rPr>
      <w:sz w:val="20"/>
    </w:rPr>
  </w:style>
  <w:style w:type="paragraph" w:styleId="TOC9">
    <w:name w:val="toc 9"/>
    <w:basedOn w:val="TOC8"/>
    <w:uiPriority w:val="39"/>
    <w:rsid w:val="00CD386D"/>
    <w:pPr>
      <w:ind w:left="1418" w:hanging="1418"/>
    </w:pPr>
  </w:style>
  <w:style w:type="paragraph" w:styleId="TOC8">
    <w:name w:val="toc 8"/>
    <w:basedOn w:val="TOC1"/>
    <w:uiPriority w:val="39"/>
    <w:rsid w:val="00CD386D"/>
    <w:pPr>
      <w:spacing w:before="180"/>
      <w:ind w:left="2693" w:hanging="2693"/>
    </w:pPr>
    <w:rPr>
      <w:b/>
    </w:rPr>
  </w:style>
  <w:style w:type="paragraph" w:styleId="TOC1">
    <w:name w:val="toc 1"/>
    <w:uiPriority w:val="39"/>
    <w:rsid w:val="00CD386D"/>
    <w:pPr>
      <w:keepLines/>
      <w:widowControl w:val="0"/>
      <w:tabs>
        <w:tab w:val="right" w:leader="dot" w:pos="9639"/>
      </w:tabs>
      <w:overflowPunct w:val="0"/>
      <w:autoSpaceDE w:val="0"/>
      <w:autoSpaceDN w:val="0"/>
      <w:adjustRightInd w:val="0"/>
      <w:spacing w:before="120"/>
      <w:ind w:left="567" w:right="425" w:hanging="567"/>
      <w:textAlignment w:val="baseline"/>
    </w:pPr>
    <w:rPr>
      <w:noProof/>
      <w:sz w:val="22"/>
      <w:lang w:val="en-GB"/>
    </w:rPr>
  </w:style>
  <w:style w:type="paragraph" w:customStyle="1" w:styleId="EQ">
    <w:name w:val="EQ"/>
    <w:basedOn w:val="Normal"/>
    <w:next w:val="Normal"/>
    <w:rsid w:val="00CD386D"/>
    <w:pPr>
      <w:keepLines/>
      <w:tabs>
        <w:tab w:val="center" w:pos="4536"/>
        <w:tab w:val="right" w:pos="9072"/>
      </w:tabs>
    </w:pPr>
    <w:rPr>
      <w:noProof/>
    </w:rPr>
  </w:style>
  <w:style w:type="character" w:customStyle="1" w:styleId="ZGSM">
    <w:name w:val="ZGSM"/>
    <w:rsid w:val="00CD386D"/>
  </w:style>
  <w:style w:type="paragraph" w:styleId="Header">
    <w:name w:val="header"/>
    <w:link w:val="HeaderChar"/>
    <w:qFormat/>
    <w:rsid w:val="00CD386D"/>
    <w:pPr>
      <w:widowControl w:val="0"/>
      <w:overflowPunct w:val="0"/>
      <w:autoSpaceDE w:val="0"/>
      <w:autoSpaceDN w:val="0"/>
      <w:adjustRightInd w:val="0"/>
      <w:textAlignment w:val="baseline"/>
    </w:pPr>
    <w:rPr>
      <w:rFonts w:ascii="Arial" w:hAnsi="Arial"/>
      <w:b/>
      <w:noProof/>
      <w:sz w:val="18"/>
      <w:lang w:val="en-GB"/>
    </w:rPr>
  </w:style>
  <w:style w:type="character" w:customStyle="1" w:styleId="HeaderChar">
    <w:name w:val="Header Char"/>
    <w:link w:val="Header"/>
    <w:rsid w:val="00294EEF"/>
    <w:rPr>
      <w:rFonts w:ascii="Arial" w:hAnsi="Arial"/>
      <w:b/>
      <w:noProof/>
      <w:sz w:val="18"/>
      <w:lang w:val="en-GB" w:eastAsia="en-US" w:bidi="ar-SA"/>
    </w:rPr>
  </w:style>
  <w:style w:type="paragraph" w:customStyle="1" w:styleId="ZD">
    <w:name w:val="ZD"/>
    <w:rsid w:val="00CD386D"/>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CD386D"/>
    <w:pPr>
      <w:ind w:left="1701" w:hanging="1701"/>
    </w:pPr>
  </w:style>
  <w:style w:type="paragraph" w:styleId="TOC4">
    <w:name w:val="toc 4"/>
    <w:basedOn w:val="TOC3"/>
    <w:uiPriority w:val="39"/>
    <w:rsid w:val="00CD386D"/>
    <w:pPr>
      <w:ind w:left="1418" w:hanging="1418"/>
    </w:pPr>
  </w:style>
  <w:style w:type="paragraph" w:styleId="TOC3">
    <w:name w:val="toc 3"/>
    <w:basedOn w:val="TOC2"/>
    <w:uiPriority w:val="39"/>
    <w:rsid w:val="00CD386D"/>
    <w:pPr>
      <w:ind w:left="1134" w:hanging="1134"/>
    </w:pPr>
  </w:style>
  <w:style w:type="paragraph" w:styleId="TOC2">
    <w:name w:val="toc 2"/>
    <w:basedOn w:val="TOC1"/>
    <w:uiPriority w:val="39"/>
    <w:rsid w:val="00CD386D"/>
    <w:pPr>
      <w:spacing w:before="0"/>
      <w:ind w:left="851" w:hanging="851"/>
    </w:pPr>
    <w:rPr>
      <w:sz w:val="20"/>
    </w:rPr>
  </w:style>
  <w:style w:type="paragraph" w:styleId="Index1">
    <w:name w:val="index 1"/>
    <w:basedOn w:val="Normal"/>
    <w:semiHidden/>
    <w:rsid w:val="00CD386D"/>
    <w:pPr>
      <w:keepLines/>
    </w:pPr>
  </w:style>
  <w:style w:type="paragraph" w:styleId="Index2">
    <w:name w:val="index 2"/>
    <w:basedOn w:val="Index1"/>
    <w:semiHidden/>
    <w:rsid w:val="00CD386D"/>
    <w:pPr>
      <w:ind w:left="284"/>
    </w:pPr>
  </w:style>
  <w:style w:type="paragraph" w:customStyle="1" w:styleId="TT">
    <w:name w:val="TT"/>
    <w:basedOn w:val="Heading1"/>
    <w:next w:val="Normal"/>
    <w:rsid w:val="00CD386D"/>
    <w:pPr>
      <w:outlineLvl w:val="9"/>
    </w:pPr>
  </w:style>
  <w:style w:type="paragraph" w:styleId="Footer">
    <w:name w:val="footer"/>
    <w:basedOn w:val="Header"/>
    <w:link w:val="FooterChar"/>
    <w:rsid w:val="00CD386D"/>
    <w:pPr>
      <w:jc w:val="center"/>
    </w:pPr>
    <w:rPr>
      <w:i/>
      <w:lang w:val="x-none"/>
    </w:rPr>
  </w:style>
  <w:style w:type="character" w:customStyle="1" w:styleId="FooterChar">
    <w:name w:val="Footer Char"/>
    <w:link w:val="Footer"/>
    <w:rsid w:val="00BC33F7"/>
    <w:rPr>
      <w:rFonts w:ascii="Arial" w:hAnsi="Arial"/>
      <w:b/>
      <w:i/>
      <w:noProof/>
      <w:sz w:val="18"/>
      <w:lang w:eastAsia="en-US"/>
    </w:rPr>
  </w:style>
  <w:style w:type="character" w:styleId="FootnoteReference">
    <w:name w:val="footnote reference"/>
    <w:semiHidden/>
    <w:rsid w:val="00CD386D"/>
    <w:rPr>
      <w:b/>
      <w:position w:val="6"/>
      <w:sz w:val="16"/>
    </w:rPr>
  </w:style>
  <w:style w:type="paragraph" w:styleId="FootnoteText">
    <w:name w:val="footnote text"/>
    <w:basedOn w:val="Normal"/>
    <w:semiHidden/>
    <w:rsid w:val="00CD386D"/>
    <w:pPr>
      <w:keepLines/>
      <w:ind w:left="454" w:hanging="454"/>
    </w:pPr>
    <w:rPr>
      <w:sz w:val="16"/>
    </w:rPr>
  </w:style>
  <w:style w:type="paragraph" w:customStyle="1" w:styleId="NF">
    <w:name w:val="NF"/>
    <w:basedOn w:val="NO"/>
    <w:rsid w:val="00CD386D"/>
    <w:pPr>
      <w:keepNext/>
      <w:spacing w:after="0"/>
    </w:pPr>
    <w:rPr>
      <w:rFonts w:ascii="Arial" w:hAnsi="Arial"/>
      <w:sz w:val="18"/>
    </w:rPr>
  </w:style>
  <w:style w:type="paragraph" w:customStyle="1" w:styleId="NO">
    <w:name w:val="NO"/>
    <w:basedOn w:val="Normal"/>
    <w:link w:val="NOChar"/>
    <w:rsid w:val="00CD386D"/>
    <w:pPr>
      <w:keepLines/>
      <w:ind w:left="1135" w:hanging="851"/>
    </w:pPr>
    <w:rPr>
      <w:lang w:val="x-none"/>
    </w:rPr>
  </w:style>
  <w:style w:type="character" w:customStyle="1" w:styleId="NOChar">
    <w:name w:val="NO Char"/>
    <w:link w:val="NO"/>
    <w:rsid w:val="00E05319"/>
    <w:rPr>
      <w:lang w:eastAsia="en-US"/>
    </w:rPr>
  </w:style>
  <w:style w:type="paragraph" w:customStyle="1" w:styleId="PL">
    <w:name w:val="PL"/>
    <w:rsid w:val="00CD386D"/>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rPr>
  </w:style>
  <w:style w:type="paragraph" w:customStyle="1" w:styleId="TAR">
    <w:name w:val="TAR"/>
    <w:basedOn w:val="TAL"/>
    <w:rsid w:val="00CD386D"/>
    <w:pPr>
      <w:jc w:val="right"/>
    </w:pPr>
  </w:style>
  <w:style w:type="paragraph" w:customStyle="1" w:styleId="TAL">
    <w:name w:val="TAL"/>
    <w:basedOn w:val="Normal"/>
    <w:link w:val="TALChar1"/>
    <w:rsid w:val="00CD386D"/>
    <w:pPr>
      <w:keepNext/>
      <w:keepLines/>
      <w:spacing w:after="0"/>
    </w:pPr>
    <w:rPr>
      <w:rFonts w:ascii="Arial" w:hAnsi="Arial"/>
      <w:sz w:val="18"/>
      <w:lang w:eastAsia="x-none"/>
    </w:rPr>
  </w:style>
  <w:style w:type="paragraph" w:styleId="ListNumber2">
    <w:name w:val="List Number 2"/>
    <w:basedOn w:val="ListNumber"/>
    <w:rsid w:val="00CD386D"/>
    <w:pPr>
      <w:ind w:left="851"/>
    </w:pPr>
  </w:style>
  <w:style w:type="paragraph" w:styleId="ListNumber">
    <w:name w:val="List Number"/>
    <w:basedOn w:val="List"/>
    <w:rsid w:val="00CD386D"/>
  </w:style>
  <w:style w:type="paragraph" w:styleId="List">
    <w:name w:val="List"/>
    <w:basedOn w:val="Normal"/>
    <w:rsid w:val="00CD386D"/>
    <w:pPr>
      <w:ind w:left="568" w:hanging="284"/>
    </w:pPr>
  </w:style>
  <w:style w:type="paragraph" w:customStyle="1" w:styleId="TAH">
    <w:name w:val="TAH"/>
    <w:basedOn w:val="TAC"/>
    <w:rsid w:val="00CD386D"/>
    <w:rPr>
      <w:b/>
    </w:rPr>
  </w:style>
  <w:style w:type="paragraph" w:customStyle="1" w:styleId="TAC">
    <w:name w:val="TAC"/>
    <w:basedOn w:val="TAL"/>
    <w:rsid w:val="00CD386D"/>
    <w:pPr>
      <w:jc w:val="center"/>
    </w:pPr>
  </w:style>
  <w:style w:type="paragraph" w:customStyle="1" w:styleId="LD">
    <w:name w:val="LD"/>
    <w:rsid w:val="00CD386D"/>
    <w:pPr>
      <w:keepNext/>
      <w:keepLines/>
      <w:overflowPunct w:val="0"/>
      <w:autoSpaceDE w:val="0"/>
      <w:autoSpaceDN w:val="0"/>
      <w:adjustRightInd w:val="0"/>
      <w:spacing w:line="180" w:lineRule="exact"/>
      <w:textAlignment w:val="baseline"/>
    </w:pPr>
    <w:rPr>
      <w:rFonts w:ascii="Courier New" w:hAnsi="Courier New"/>
      <w:noProof/>
      <w:lang w:val="en-GB"/>
    </w:rPr>
  </w:style>
  <w:style w:type="paragraph" w:customStyle="1" w:styleId="EX">
    <w:name w:val="EX"/>
    <w:basedOn w:val="Normal"/>
    <w:link w:val="EXCar"/>
    <w:rsid w:val="00CD386D"/>
    <w:pPr>
      <w:keepLines/>
      <w:ind w:left="1702" w:hanging="1418"/>
    </w:pPr>
    <w:rPr>
      <w:lang w:eastAsia="x-none"/>
    </w:rPr>
  </w:style>
  <w:style w:type="paragraph" w:customStyle="1" w:styleId="FP">
    <w:name w:val="FP"/>
    <w:basedOn w:val="Normal"/>
    <w:rsid w:val="00CD386D"/>
    <w:pPr>
      <w:spacing w:after="0"/>
    </w:pPr>
  </w:style>
  <w:style w:type="paragraph" w:customStyle="1" w:styleId="NW">
    <w:name w:val="NW"/>
    <w:basedOn w:val="NO"/>
    <w:rsid w:val="00CD386D"/>
    <w:pPr>
      <w:spacing w:after="0"/>
    </w:pPr>
  </w:style>
  <w:style w:type="paragraph" w:customStyle="1" w:styleId="EW">
    <w:name w:val="EW"/>
    <w:basedOn w:val="EX"/>
    <w:rsid w:val="00CD386D"/>
    <w:pPr>
      <w:spacing w:after="0"/>
    </w:pPr>
  </w:style>
  <w:style w:type="paragraph" w:customStyle="1" w:styleId="B10">
    <w:name w:val="B1"/>
    <w:basedOn w:val="List"/>
    <w:rsid w:val="00CD386D"/>
    <w:pPr>
      <w:ind w:left="738" w:hanging="454"/>
    </w:pPr>
  </w:style>
  <w:style w:type="paragraph" w:styleId="TOC6">
    <w:name w:val="toc 6"/>
    <w:basedOn w:val="TOC5"/>
    <w:next w:val="Normal"/>
    <w:uiPriority w:val="39"/>
    <w:rsid w:val="00CD386D"/>
    <w:pPr>
      <w:ind w:left="1985" w:hanging="1985"/>
    </w:pPr>
  </w:style>
  <w:style w:type="paragraph" w:styleId="TOC7">
    <w:name w:val="toc 7"/>
    <w:basedOn w:val="TOC6"/>
    <w:next w:val="Normal"/>
    <w:uiPriority w:val="39"/>
    <w:rsid w:val="00CD386D"/>
    <w:pPr>
      <w:ind w:left="2268" w:hanging="2268"/>
    </w:pPr>
  </w:style>
  <w:style w:type="paragraph" w:styleId="ListBullet2">
    <w:name w:val="List Bullet 2"/>
    <w:basedOn w:val="ListBullet"/>
    <w:rsid w:val="00CD386D"/>
    <w:pPr>
      <w:ind w:left="851"/>
    </w:pPr>
  </w:style>
  <w:style w:type="paragraph" w:styleId="ListBullet">
    <w:name w:val="List Bullet"/>
    <w:basedOn w:val="List"/>
    <w:rsid w:val="00CD386D"/>
  </w:style>
  <w:style w:type="paragraph" w:customStyle="1" w:styleId="EditorsNote">
    <w:name w:val="Editor's Note"/>
    <w:aliases w:val="EN"/>
    <w:basedOn w:val="NO"/>
    <w:link w:val="EditorsNoteChar"/>
    <w:rsid w:val="00CD386D"/>
    <w:rPr>
      <w:color w:val="FF0000"/>
    </w:rPr>
  </w:style>
  <w:style w:type="paragraph" w:customStyle="1" w:styleId="TH">
    <w:name w:val="TH"/>
    <w:basedOn w:val="FL"/>
    <w:next w:val="FL"/>
    <w:link w:val="THChar"/>
    <w:rsid w:val="00CD386D"/>
    <w:rPr>
      <w:lang w:eastAsia="x-none"/>
    </w:rPr>
  </w:style>
  <w:style w:type="paragraph" w:customStyle="1" w:styleId="FL">
    <w:name w:val="FL"/>
    <w:basedOn w:val="Normal"/>
    <w:rsid w:val="00CD386D"/>
    <w:pPr>
      <w:keepNext/>
      <w:keepLines/>
      <w:spacing w:before="60"/>
      <w:jc w:val="center"/>
    </w:pPr>
    <w:rPr>
      <w:rFonts w:ascii="Arial" w:hAnsi="Arial"/>
      <w:b/>
    </w:rPr>
  </w:style>
  <w:style w:type="paragraph" w:customStyle="1" w:styleId="ZA">
    <w:name w:val="ZA"/>
    <w:rsid w:val="00CD386D"/>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CD386D"/>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CD386D"/>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CD386D"/>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CD386D"/>
    <w:pPr>
      <w:ind w:left="851" w:hanging="851"/>
    </w:pPr>
  </w:style>
  <w:style w:type="paragraph" w:customStyle="1" w:styleId="ZH">
    <w:name w:val="ZH"/>
    <w:rsid w:val="00CD386D"/>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FL"/>
    <w:link w:val="TFChar"/>
    <w:rsid w:val="00CD386D"/>
    <w:pPr>
      <w:keepNext w:val="0"/>
      <w:spacing w:before="0" w:after="240"/>
    </w:pPr>
  </w:style>
  <w:style w:type="paragraph" w:customStyle="1" w:styleId="ZG">
    <w:name w:val="ZG"/>
    <w:rsid w:val="00CD386D"/>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styleId="ListBullet3">
    <w:name w:val="List Bullet 3"/>
    <w:basedOn w:val="ListBullet2"/>
    <w:rsid w:val="00CD386D"/>
    <w:pPr>
      <w:ind w:left="1135"/>
    </w:pPr>
  </w:style>
  <w:style w:type="paragraph" w:styleId="List2">
    <w:name w:val="List 2"/>
    <w:basedOn w:val="List"/>
    <w:rsid w:val="00CD386D"/>
    <w:pPr>
      <w:ind w:left="851"/>
    </w:pPr>
  </w:style>
  <w:style w:type="paragraph" w:styleId="List3">
    <w:name w:val="List 3"/>
    <w:basedOn w:val="List2"/>
    <w:rsid w:val="00CD386D"/>
    <w:pPr>
      <w:ind w:left="1135"/>
    </w:pPr>
  </w:style>
  <w:style w:type="paragraph" w:styleId="List4">
    <w:name w:val="List 4"/>
    <w:basedOn w:val="List3"/>
    <w:rsid w:val="00CD386D"/>
    <w:pPr>
      <w:ind w:left="1418"/>
    </w:pPr>
  </w:style>
  <w:style w:type="paragraph" w:styleId="List5">
    <w:name w:val="List 5"/>
    <w:basedOn w:val="List4"/>
    <w:rsid w:val="00CD386D"/>
    <w:pPr>
      <w:ind w:left="1702"/>
    </w:pPr>
  </w:style>
  <w:style w:type="paragraph" w:styleId="ListBullet4">
    <w:name w:val="List Bullet 4"/>
    <w:basedOn w:val="ListBullet3"/>
    <w:rsid w:val="00CD386D"/>
    <w:pPr>
      <w:ind w:left="1418"/>
    </w:pPr>
  </w:style>
  <w:style w:type="paragraph" w:styleId="ListBullet5">
    <w:name w:val="List Bullet 5"/>
    <w:basedOn w:val="ListBullet4"/>
    <w:rsid w:val="00CD386D"/>
    <w:pPr>
      <w:ind w:left="1702"/>
    </w:pPr>
  </w:style>
  <w:style w:type="paragraph" w:customStyle="1" w:styleId="B20">
    <w:name w:val="B2"/>
    <w:basedOn w:val="List2"/>
    <w:rsid w:val="00CD386D"/>
    <w:pPr>
      <w:ind w:left="1191" w:hanging="454"/>
    </w:pPr>
  </w:style>
  <w:style w:type="paragraph" w:customStyle="1" w:styleId="B30">
    <w:name w:val="B3"/>
    <w:basedOn w:val="List3"/>
    <w:rsid w:val="00CD386D"/>
    <w:pPr>
      <w:ind w:left="1645" w:hanging="454"/>
    </w:pPr>
  </w:style>
  <w:style w:type="paragraph" w:customStyle="1" w:styleId="B4">
    <w:name w:val="B4"/>
    <w:basedOn w:val="List4"/>
    <w:rsid w:val="00CD386D"/>
    <w:pPr>
      <w:ind w:left="2098" w:hanging="454"/>
    </w:pPr>
  </w:style>
  <w:style w:type="paragraph" w:customStyle="1" w:styleId="B5">
    <w:name w:val="B5"/>
    <w:basedOn w:val="List5"/>
    <w:rsid w:val="00CD386D"/>
    <w:pPr>
      <w:ind w:left="2552" w:hanging="454"/>
    </w:pPr>
  </w:style>
  <w:style w:type="paragraph" w:customStyle="1" w:styleId="ZTD">
    <w:name w:val="ZTD"/>
    <w:basedOn w:val="ZB"/>
    <w:rsid w:val="00CD386D"/>
    <w:pPr>
      <w:framePr w:hRule="auto" w:wrap="notBeside" w:y="852"/>
    </w:pPr>
    <w:rPr>
      <w:i w:val="0"/>
      <w:sz w:val="40"/>
    </w:rPr>
  </w:style>
  <w:style w:type="paragraph" w:customStyle="1" w:styleId="ZV">
    <w:name w:val="ZV"/>
    <w:basedOn w:val="ZU"/>
    <w:rsid w:val="00CD386D"/>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character" w:customStyle="1" w:styleId="Guidance">
    <w:name w:val="Guidance"/>
    <w:rPr>
      <w:i/>
      <w:color w:val="0000FF"/>
      <w:sz w:val="20"/>
    </w:rPr>
  </w:style>
  <w:style w:type="paragraph" w:customStyle="1" w:styleId="I1">
    <w:name w:val="I1"/>
    <w:basedOn w:val="List"/>
  </w:style>
  <w:style w:type="paragraph" w:customStyle="1" w:styleId="I2">
    <w:name w:val="I2"/>
    <w:basedOn w:val="List2"/>
  </w:style>
  <w:style w:type="paragraph" w:customStyle="1" w:styleId="I3">
    <w:name w:val="I3"/>
    <w:basedOn w:val="List3"/>
  </w:style>
  <w:style w:type="paragraph" w:customStyle="1" w:styleId="IB3">
    <w:name w:val="IB3"/>
    <w:basedOn w:val="Normal"/>
    <w:pPr>
      <w:tabs>
        <w:tab w:val="left" w:pos="851"/>
        <w:tab w:val="num" w:pos="1644"/>
      </w:tabs>
      <w:ind w:left="851" w:hanging="567"/>
    </w:pPr>
  </w:style>
  <w:style w:type="paragraph" w:customStyle="1" w:styleId="IB1">
    <w:name w:val="IB1"/>
    <w:basedOn w:val="Normal"/>
    <w:pPr>
      <w:tabs>
        <w:tab w:val="left" w:pos="284"/>
        <w:tab w:val="num" w:pos="737"/>
      </w:tabs>
      <w:ind w:left="737" w:hanging="453"/>
    </w:pPr>
  </w:style>
  <w:style w:type="paragraph" w:customStyle="1" w:styleId="IB2">
    <w:name w:val="IB2"/>
    <w:basedOn w:val="Normal"/>
    <w:pPr>
      <w:tabs>
        <w:tab w:val="left" w:pos="567"/>
        <w:tab w:val="num" w:pos="1191"/>
      </w:tabs>
      <w:ind w:left="568" w:hanging="284"/>
    </w:pPr>
  </w:style>
  <w:style w:type="paragraph" w:customStyle="1" w:styleId="IBN">
    <w:name w:val="IBN"/>
    <w:basedOn w:val="Normal"/>
    <w:pPr>
      <w:tabs>
        <w:tab w:val="left" w:pos="567"/>
        <w:tab w:val="num" w:pos="737"/>
      </w:tabs>
      <w:ind w:left="568" w:hanging="284"/>
    </w:pPr>
  </w:style>
  <w:style w:type="paragraph" w:customStyle="1" w:styleId="IBL">
    <w:name w:val="IBL"/>
    <w:basedOn w:val="Normal"/>
    <w:pPr>
      <w:tabs>
        <w:tab w:val="left" w:pos="284"/>
        <w:tab w:val="num" w:pos="737"/>
      </w:tabs>
      <w:ind w:left="737" w:hanging="453"/>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B3">
    <w:name w:val="B3+"/>
    <w:basedOn w:val="B30"/>
    <w:rsid w:val="00CD386D"/>
    <w:pPr>
      <w:numPr>
        <w:numId w:val="3"/>
      </w:numPr>
      <w:tabs>
        <w:tab w:val="left" w:pos="1134"/>
      </w:tabs>
    </w:pPr>
  </w:style>
  <w:style w:type="paragraph" w:customStyle="1" w:styleId="B1">
    <w:name w:val="B1+"/>
    <w:basedOn w:val="B10"/>
    <w:link w:val="B1Car"/>
    <w:rsid w:val="00CD386D"/>
    <w:pPr>
      <w:numPr>
        <w:numId w:val="1"/>
      </w:numPr>
    </w:pPr>
    <w:rPr>
      <w:lang w:eastAsia="x-none"/>
    </w:rPr>
  </w:style>
  <w:style w:type="paragraph" w:customStyle="1" w:styleId="B2">
    <w:name w:val="B2+"/>
    <w:basedOn w:val="B20"/>
    <w:rsid w:val="00CD386D"/>
    <w:pPr>
      <w:numPr>
        <w:numId w:val="2"/>
      </w:numPr>
    </w:pPr>
  </w:style>
  <w:style w:type="paragraph" w:customStyle="1" w:styleId="BL">
    <w:name w:val="BL"/>
    <w:basedOn w:val="Normal"/>
    <w:rsid w:val="00CD386D"/>
    <w:pPr>
      <w:numPr>
        <w:numId w:val="5"/>
      </w:numPr>
      <w:tabs>
        <w:tab w:val="left" w:pos="851"/>
      </w:tabs>
    </w:pPr>
  </w:style>
  <w:style w:type="paragraph" w:customStyle="1" w:styleId="BN">
    <w:name w:val="BN"/>
    <w:basedOn w:val="Normal"/>
    <w:rsid w:val="00CD386D"/>
    <w:pPr>
      <w:numPr>
        <w:numId w:val="4"/>
      </w:numPr>
    </w:pPr>
  </w:style>
  <w:style w:type="paragraph" w:styleId="BodyText">
    <w:name w:val="Body Text"/>
    <w:basedOn w:val="Normal"/>
    <w:pPr>
      <w:keepNext/>
      <w:spacing w:after="140"/>
    </w:p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keepNext w:val="0"/>
      <w:spacing w:after="120"/>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252"/>
    </w:pPr>
  </w:style>
  <w:style w:type="character" w:styleId="CommentReference">
    <w:name w:val="annotation reference"/>
    <w:rPr>
      <w:sz w:val="16"/>
      <w:szCs w:val="16"/>
    </w:rPr>
  </w:style>
  <w:style w:type="paragraph" w:styleId="CommentText">
    <w:name w:val="annotation text"/>
    <w:basedOn w:val="Normal"/>
    <w:link w:val="CommentTextChar"/>
    <w:uiPriority w:val="99"/>
    <w:semiHidden/>
    <w:rPr>
      <w:lang w:eastAsia="x-none"/>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paragraph" w:styleId="HTMLPreformatted">
    <w:name w:val="HTML Preformatted"/>
    <w:basedOn w:val="Normal"/>
    <w:rPr>
      <w:rFonts w:ascii="Courier New" w:hAnsi="Courier New" w:cs="Courier New"/>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numPr>
        <w:numId w:val="6"/>
      </w:numPr>
    </w:pPr>
  </w:style>
  <w:style w:type="paragraph" w:styleId="ListNumber4">
    <w:name w:val="List Number 4"/>
    <w:basedOn w:val="Normal"/>
    <w:pPr>
      <w:numPr>
        <w:numId w:val="7"/>
      </w:numPr>
    </w:pPr>
  </w:style>
  <w:style w:type="paragraph" w:styleId="ListNumber5">
    <w:name w:val="List Number 5"/>
    <w:basedOn w:val="Normal"/>
    <w:pPr>
      <w:numPr>
        <w:numId w:val="8"/>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TAJ">
    <w:name w:val="TAJ"/>
    <w:basedOn w:val="Normal"/>
    <w:rsid w:val="00CD386D"/>
    <w:pPr>
      <w:keepNext/>
      <w:keepLines/>
      <w:spacing w:after="0"/>
      <w:jc w:val="both"/>
    </w:pPr>
    <w:rPr>
      <w:rFonts w:ascii="Arial" w:hAnsi="Arial"/>
      <w:sz w:val="18"/>
    </w:rPr>
  </w:style>
  <w:style w:type="paragraph" w:styleId="BalloonText">
    <w:name w:val="Balloon Text"/>
    <w:basedOn w:val="Normal"/>
    <w:link w:val="BalloonTextChar"/>
    <w:rsid w:val="00F12DD3"/>
    <w:pPr>
      <w:spacing w:after="0"/>
    </w:pPr>
    <w:rPr>
      <w:rFonts w:ascii="Tahoma" w:hAnsi="Tahoma"/>
      <w:sz w:val="16"/>
      <w:szCs w:val="16"/>
      <w:lang w:val="x-none"/>
    </w:rPr>
  </w:style>
  <w:style w:type="character" w:customStyle="1" w:styleId="BalloonTextChar">
    <w:name w:val="Balloon Text Char"/>
    <w:link w:val="BalloonText"/>
    <w:rsid w:val="00F12DD3"/>
    <w:rPr>
      <w:rFonts w:ascii="Tahoma" w:hAnsi="Tahoma" w:cs="Tahoma"/>
      <w:sz w:val="16"/>
      <w:szCs w:val="16"/>
      <w:lang w:eastAsia="en-US"/>
    </w:rPr>
  </w:style>
  <w:style w:type="paragraph" w:customStyle="1" w:styleId="1tableentryleft">
    <w:name w:val="1table entry left"/>
    <w:aliases w:val="1TEL"/>
    <w:uiPriority w:val="99"/>
    <w:rsid w:val="00C977DC"/>
    <w:pPr>
      <w:keepNext/>
      <w:keepLines/>
      <w:spacing w:before="60" w:after="60"/>
    </w:pPr>
    <w:rPr>
      <w:rFonts w:ascii="Times" w:eastAsia="BatangChe" w:hAnsi="Times"/>
      <w:sz w:val="22"/>
      <w:szCs w:val="24"/>
    </w:rPr>
  </w:style>
  <w:style w:type="paragraph" w:customStyle="1" w:styleId="AltNormal">
    <w:name w:val="AltNormal"/>
    <w:basedOn w:val="Normal"/>
    <w:rsid w:val="00C977DC"/>
    <w:pPr>
      <w:tabs>
        <w:tab w:val="left" w:pos="284"/>
      </w:tabs>
      <w:overflowPunct/>
      <w:autoSpaceDE/>
      <w:autoSpaceDN/>
      <w:adjustRightInd/>
      <w:spacing w:before="120" w:after="0"/>
      <w:textAlignment w:val="auto"/>
    </w:pPr>
    <w:rPr>
      <w:rFonts w:ascii="Arial" w:hAnsi="Arial"/>
      <w:sz w:val="24"/>
      <w:szCs w:val="24"/>
    </w:rPr>
  </w:style>
  <w:style w:type="paragraph" w:customStyle="1" w:styleId="oneM2M-PageHead">
    <w:name w:val="oneM2M-PageHead"/>
    <w:basedOn w:val="Header"/>
    <w:qFormat/>
    <w:rsid w:val="00F777C8"/>
    <w:pPr>
      <w:widowControl/>
      <w:tabs>
        <w:tab w:val="left" w:pos="284"/>
        <w:tab w:val="center" w:pos="4680"/>
        <w:tab w:val="right" w:pos="9360"/>
      </w:tabs>
      <w:overflowPunct/>
      <w:autoSpaceDE/>
      <w:autoSpaceDN/>
      <w:adjustRightInd/>
      <w:textAlignment w:val="auto"/>
    </w:pPr>
    <w:rPr>
      <w:rFonts w:ascii="Times New Roman" w:eastAsia="Calibri" w:hAnsi="Times New Roman"/>
      <w:b w:val="0"/>
      <w:noProof w:val="0"/>
      <w:sz w:val="22"/>
      <w:szCs w:val="22"/>
      <w:lang w:val="en-US"/>
    </w:rPr>
  </w:style>
  <w:style w:type="paragraph" w:customStyle="1" w:styleId="oneM2M-PageFoot">
    <w:name w:val="oneM2M-PageFoot"/>
    <w:basedOn w:val="Footer"/>
    <w:qFormat/>
    <w:rsid w:val="00F777C8"/>
    <w:pPr>
      <w:widowControl/>
      <w:pBdr>
        <w:top w:val="single" w:sz="4" w:space="1" w:color="A0A0A3"/>
        <w:left w:val="single" w:sz="4" w:space="4" w:color="A0A0A3"/>
        <w:bottom w:val="single" w:sz="4" w:space="1" w:color="A0A0A3"/>
        <w:right w:val="single" w:sz="4" w:space="4" w:color="A0A0A3"/>
      </w:pBdr>
      <w:tabs>
        <w:tab w:val="left" w:pos="284"/>
        <w:tab w:val="center" w:pos="4680"/>
        <w:tab w:val="right" w:pos="9360"/>
      </w:tabs>
      <w:overflowPunct/>
      <w:autoSpaceDE/>
      <w:autoSpaceDN/>
      <w:adjustRightInd/>
      <w:jc w:val="left"/>
      <w:textAlignment w:val="auto"/>
    </w:pPr>
    <w:rPr>
      <w:rFonts w:ascii="Times New Roman" w:eastAsia="Calibri" w:hAnsi="Times New Roman"/>
      <w:b w:val="0"/>
      <w:i w:val="0"/>
      <w:noProof w:val="0"/>
      <w:sz w:val="22"/>
      <w:szCs w:val="22"/>
      <w:lang w:val="en-US"/>
    </w:rPr>
  </w:style>
  <w:style w:type="paragraph" w:styleId="ListParagraph">
    <w:name w:val="List Paragraph"/>
    <w:basedOn w:val="Normal"/>
    <w:uiPriority w:val="34"/>
    <w:qFormat/>
    <w:rsid w:val="00882215"/>
    <w:pPr>
      <w:overflowPunct/>
      <w:autoSpaceDE/>
      <w:autoSpaceDN/>
      <w:adjustRightInd/>
      <w:spacing w:after="0"/>
      <w:ind w:left="720"/>
      <w:contextualSpacing/>
      <w:textAlignment w:val="auto"/>
    </w:pPr>
    <w:rPr>
      <w:sz w:val="24"/>
      <w:szCs w:val="24"/>
      <w:lang w:val="en-US"/>
    </w:rPr>
  </w:style>
  <w:style w:type="paragraph" w:customStyle="1" w:styleId="oneM2M-CoverTableTitle">
    <w:name w:val="oneM2M-CoverTableTitle"/>
    <w:basedOn w:val="Normal"/>
    <w:qFormat/>
    <w:rsid w:val="00095709"/>
    <w:pPr>
      <w:shd w:val="clear" w:color="auto" w:fill="B42025"/>
      <w:overflowPunct/>
      <w:autoSpaceDE/>
      <w:autoSpaceDN/>
      <w:adjustRightInd/>
      <w:spacing w:after="0"/>
      <w:ind w:left="1985" w:hanging="1985"/>
      <w:jc w:val="center"/>
      <w:textAlignment w:val="auto"/>
    </w:pPr>
    <w:rPr>
      <w:rFonts w:ascii="Calibri" w:hAnsi="Calibri"/>
      <w:b/>
      <w:bCs/>
      <w:smallCaps/>
      <w:color w:val="FFFFFF"/>
      <w:spacing w:val="30"/>
      <w:sz w:val="40"/>
    </w:rPr>
  </w:style>
  <w:style w:type="paragraph" w:customStyle="1" w:styleId="oneM2M-CoverTableLeft">
    <w:name w:val="oneM2M-CoverTableLeft"/>
    <w:basedOn w:val="Normal"/>
    <w:qFormat/>
    <w:rsid w:val="008850DB"/>
    <w:pPr>
      <w:keepNext/>
      <w:keepLines/>
      <w:overflowPunct/>
      <w:autoSpaceDE/>
      <w:autoSpaceDN/>
      <w:adjustRightInd/>
      <w:spacing w:before="60" w:after="60"/>
      <w:textAlignment w:val="auto"/>
    </w:pPr>
    <w:rPr>
      <w:rFonts w:eastAsia="BatangChe"/>
      <w:color w:val="FFFFFF"/>
      <w:sz w:val="24"/>
      <w:szCs w:val="24"/>
      <w:lang w:val="en-US"/>
    </w:rPr>
  </w:style>
  <w:style w:type="paragraph" w:customStyle="1" w:styleId="oneM2M-CoverTableText">
    <w:name w:val="oneM2M-CoverTableText"/>
    <w:basedOn w:val="Normal"/>
    <w:qFormat/>
    <w:rsid w:val="00F777C8"/>
    <w:pPr>
      <w:keepNext/>
      <w:keepLines/>
      <w:overflowPunct/>
      <w:autoSpaceDE/>
      <w:autoSpaceDN/>
      <w:adjustRightInd/>
      <w:spacing w:before="60" w:after="60"/>
      <w:textAlignment w:val="auto"/>
    </w:pPr>
    <w:rPr>
      <w:rFonts w:eastAsia="BatangChe"/>
      <w:sz w:val="22"/>
      <w:szCs w:val="24"/>
      <w:lang w:val="en-US"/>
    </w:rPr>
  </w:style>
  <w:style w:type="paragraph" w:styleId="Revision">
    <w:name w:val="Revision"/>
    <w:hidden/>
    <w:uiPriority w:val="99"/>
    <w:semiHidden/>
    <w:rsid w:val="0053422C"/>
    <w:rPr>
      <w:lang w:val="en-GB"/>
    </w:rPr>
  </w:style>
  <w:style w:type="paragraph" w:styleId="CommentSubject">
    <w:name w:val="annotation subject"/>
    <w:basedOn w:val="CommentText"/>
    <w:next w:val="CommentText"/>
    <w:link w:val="CommentSubjectChar"/>
    <w:rsid w:val="003D52A8"/>
    <w:rPr>
      <w:b/>
      <w:bCs/>
    </w:rPr>
  </w:style>
  <w:style w:type="character" w:customStyle="1" w:styleId="CommentTextChar">
    <w:name w:val="Comment Text Char"/>
    <w:link w:val="CommentText"/>
    <w:uiPriority w:val="99"/>
    <w:semiHidden/>
    <w:rsid w:val="003D52A8"/>
    <w:rPr>
      <w:lang w:val="en-GB"/>
    </w:rPr>
  </w:style>
  <w:style w:type="character" w:customStyle="1" w:styleId="CommentSubjectChar">
    <w:name w:val="Comment Subject Char"/>
    <w:link w:val="CommentSubject"/>
    <w:rsid w:val="003D52A8"/>
    <w:rPr>
      <w:b/>
      <w:bCs/>
      <w:lang w:val="en-GB"/>
    </w:rPr>
  </w:style>
  <w:style w:type="character" w:customStyle="1" w:styleId="Heading3Char">
    <w:name w:val="Heading 3 Char"/>
    <w:link w:val="Heading3"/>
    <w:rsid w:val="007826AE"/>
    <w:rPr>
      <w:rFonts w:ascii="Arial" w:hAnsi="Arial"/>
      <w:sz w:val="28"/>
      <w:lang w:val="x-none"/>
    </w:rPr>
  </w:style>
  <w:style w:type="character" w:customStyle="1" w:styleId="TALChar1">
    <w:name w:val="TAL Char1"/>
    <w:link w:val="TAL"/>
    <w:locked/>
    <w:rsid w:val="007826AE"/>
    <w:rPr>
      <w:rFonts w:ascii="Arial" w:hAnsi="Arial"/>
      <w:sz w:val="18"/>
      <w:lang w:val="en-GB"/>
    </w:rPr>
  </w:style>
  <w:style w:type="character" w:customStyle="1" w:styleId="THChar">
    <w:name w:val="TH Char"/>
    <w:link w:val="TH"/>
    <w:locked/>
    <w:rsid w:val="00360A60"/>
    <w:rPr>
      <w:rFonts w:ascii="Arial" w:hAnsi="Arial"/>
      <w:b/>
      <w:lang w:val="en-GB"/>
    </w:rPr>
  </w:style>
  <w:style w:type="paragraph" w:customStyle="1" w:styleId="TB1">
    <w:name w:val="TB1"/>
    <w:basedOn w:val="Normal"/>
    <w:qFormat/>
    <w:rsid w:val="00B04C59"/>
    <w:pPr>
      <w:keepNext/>
      <w:keepLines/>
      <w:numPr>
        <w:numId w:val="9"/>
      </w:numPr>
      <w:tabs>
        <w:tab w:val="left" w:pos="720"/>
      </w:tabs>
      <w:spacing w:after="0"/>
    </w:pPr>
    <w:rPr>
      <w:rFonts w:ascii="Arial" w:hAnsi="Arial"/>
      <w:sz w:val="18"/>
    </w:rPr>
  </w:style>
  <w:style w:type="character" w:customStyle="1" w:styleId="Heading3Char1">
    <w:name w:val="Heading 3 Char1"/>
    <w:rsid w:val="00257E05"/>
    <w:rPr>
      <w:rFonts w:ascii="Arial" w:hAnsi="Arial"/>
      <w:sz w:val="28"/>
      <w:lang w:eastAsia="en-US"/>
    </w:rPr>
  </w:style>
  <w:style w:type="character" w:customStyle="1" w:styleId="Heading4Char">
    <w:name w:val="Heading 4 Char"/>
    <w:link w:val="Heading4"/>
    <w:rsid w:val="00257E05"/>
    <w:rPr>
      <w:rFonts w:ascii="Arial" w:hAnsi="Arial"/>
      <w:sz w:val="24"/>
      <w:lang w:val="x-none"/>
    </w:rPr>
  </w:style>
  <w:style w:type="character" w:customStyle="1" w:styleId="EXCar">
    <w:name w:val="EX Car"/>
    <w:link w:val="EX"/>
    <w:locked/>
    <w:rsid w:val="00E25CD9"/>
    <w:rPr>
      <w:lang w:val="en-GB"/>
    </w:rPr>
  </w:style>
  <w:style w:type="table" w:styleId="TableGrid">
    <w:name w:val="Table Grid"/>
    <w:basedOn w:val="TableNormal"/>
    <w:uiPriority w:val="59"/>
    <w:rsid w:val="009D35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1Car">
    <w:name w:val="B1+ Car"/>
    <w:link w:val="B1"/>
    <w:locked/>
    <w:rsid w:val="00A2217C"/>
    <w:rPr>
      <w:lang w:val="en-GB" w:eastAsia="x-none"/>
    </w:rPr>
  </w:style>
  <w:style w:type="character" w:customStyle="1" w:styleId="TALChar">
    <w:name w:val="TAL Char"/>
    <w:locked/>
    <w:rsid w:val="00BD3F72"/>
    <w:rPr>
      <w:rFonts w:ascii="Arial" w:hAnsi="Arial"/>
      <w:sz w:val="18"/>
      <w:lang w:eastAsia="en-US"/>
    </w:rPr>
  </w:style>
  <w:style w:type="paragraph" w:customStyle="1" w:styleId="OneM2M-Normal">
    <w:name w:val="OneM2M-Normal"/>
    <w:basedOn w:val="Normal"/>
    <w:qFormat/>
    <w:rsid w:val="00BF4E4A"/>
    <w:pPr>
      <w:tabs>
        <w:tab w:val="left" w:pos="284"/>
      </w:tabs>
      <w:overflowPunct/>
      <w:autoSpaceDE/>
      <w:autoSpaceDN/>
      <w:adjustRightInd/>
      <w:spacing w:before="120" w:after="0"/>
      <w:textAlignment w:val="auto"/>
    </w:pPr>
    <w:rPr>
      <w:rFonts w:ascii="Myriad Pro" w:hAnsi="Myriad Pro"/>
      <w:sz w:val="24"/>
      <w:szCs w:val="24"/>
    </w:rPr>
  </w:style>
  <w:style w:type="character" w:customStyle="1" w:styleId="EditorsNoteChar">
    <w:name w:val="Editor's Note Char"/>
    <w:link w:val="EditorsNote"/>
    <w:locked/>
    <w:rsid w:val="00BF4E4A"/>
    <w:rPr>
      <w:color w:val="FF0000"/>
      <w:lang w:val="x-none" w:eastAsia="en-US"/>
    </w:rPr>
  </w:style>
  <w:style w:type="paragraph" w:customStyle="1" w:styleId="0neM2M-CoverTableTitle">
    <w:name w:val="0neM2M-CoverTableTitle"/>
    <w:basedOn w:val="Normal"/>
    <w:qFormat/>
    <w:rsid w:val="00BF4E4A"/>
    <w:pPr>
      <w:shd w:val="clear" w:color="auto" w:fill="B42025"/>
      <w:tabs>
        <w:tab w:val="left" w:pos="284"/>
        <w:tab w:val="right" w:pos="1710"/>
        <w:tab w:val="left" w:pos="3780"/>
      </w:tabs>
      <w:overflowPunct/>
      <w:autoSpaceDE/>
      <w:autoSpaceDN/>
      <w:adjustRightInd/>
      <w:spacing w:after="0"/>
      <w:ind w:left="1985" w:hanging="1985"/>
      <w:jc w:val="center"/>
      <w:textAlignment w:val="auto"/>
    </w:pPr>
    <w:rPr>
      <w:rFonts w:ascii="Calibri" w:hAnsi="Calibri" w:cs="Tahoma"/>
      <w:b/>
      <w:smallCaps/>
      <w:color w:val="FFFFFF"/>
      <w:spacing w:val="30"/>
      <w:sz w:val="40"/>
      <w:szCs w:val="24"/>
    </w:rPr>
  </w:style>
  <w:style w:type="paragraph" w:customStyle="1" w:styleId="OneM2M-Heading1">
    <w:name w:val="OneM2M-Heading1"/>
    <w:basedOn w:val="Heading1"/>
    <w:uiPriority w:val="99"/>
    <w:rsid w:val="00BF4E4A"/>
    <w:pPr>
      <w:keepLines w:val="0"/>
      <w:pBdr>
        <w:top w:val="none" w:sz="0" w:space="0" w:color="auto"/>
      </w:pBdr>
      <w:overflowPunct/>
      <w:autoSpaceDE/>
      <w:autoSpaceDN/>
      <w:adjustRightInd/>
      <w:spacing w:after="60"/>
      <w:ind w:left="426" w:hanging="426"/>
      <w:textAlignment w:val="auto"/>
    </w:pPr>
    <w:rPr>
      <w:rFonts w:ascii="Myriad Pro" w:eastAsia="Times New Roman" w:hAnsi="Myriad Pro"/>
      <w:b/>
      <w:bCs/>
      <w:kern w:val="32"/>
      <w:sz w:val="32"/>
      <w:szCs w:val="32"/>
    </w:rPr>
  </w:style>
  <w:style w:type="character" w:customStyle="1" w:styleId="TFChar">
    <w:name w:val="TF Char"/>
    <w:link w:val="TF"/>
    <w:rsid w:val="00AD424C"/>
    <w:rPr>
      <w:rFonts w:ascii="Arial" w:hAnsi="Arial"/>
      <w:b/>
      <w:lang w:val="en-GB"/>
    </w:rPr>
  </w:style>
  <w:style w:type="paragraph" w:customStyle="1" w:styleId="TableText">
    <w:name w:val="Table Text"/>
    <w:basedOn w:val="Normal"/>
    <w:link w:val="TableTextChar"/>
    <w:uiPriority w:val="19"/>
    <w:qFormat/>
    <w:rsid w:val="005202D0"/>
    <w:pPr>
      <w:overflowPunct/>
      <w:autoSpaceDE/>
      <w:autoSpaceDN/>
      <w:adjustRightInd/>
      <w:spacing w:before="40" w:after="40" w:line="276" w:lineRule="auto"/>
      <w:textAlignment w:val="auto"/>
    </w:pPr>
    <w:rPr>
      <w:rFonts w:ascii="Arial" w:hAnsi="Arial"/>
      <w:szCs w:val="22"/>
      <w:lang w:eastAsia="de-DE"/>
    </w:rPr>
  </w:style>
  <w:style w:type="character" w:customStyle="1" w:styleId="TableTextChar">
    <w:name w:val="Table Text Char"/>
    <w:link w:val="TableText"/>
    <w:uiPriority w:val="19"/>
    <w:rsid w:val="005202D0"/>
    <w:rPr>
      <w:rFonts w:ascii="Arial" w:hAnsi="Arial"/>
      <w:szCs w:val="22"/>
      <w:lang w:val="en-GB" w:eastAsia="de-DE"/>
    </w:rPr>
  </w:style>
  <w:style w:type="paragraph" w:customStyle="1" w:styleId="NormalParagraph">
    <w:name w:val="Normal Paragraph"/>
    <w:link w:val="NormalParagraphZchn"/>
    <w:qFormat/>
    <w:rsid w:val="005202D0"/>
    <w:pPr>
      <w:spacing w:after="200" w:line="276" w:lineRule="auto"/>
    </w:pPr>
    <w:rPr>
      <w:rFonts w:ascii="Arial" w:hAnsi="Arial"/>
      <w:sz w:val="22"/>
      <w:szCs w:val="22"/>
      <w:lang w:val="en-GB" w:eastAsia="en-GB"/>
    </w:rPr>
  </w:style>
  <w:style w:type="character" w:customStyle="1" w:styleId="NormalParagraphZchn">
    <w:name w:val="Normal Paragraph Zchn"/>
    <w:basedOn w:val="DefaultParagraphFont"/>
    <w:link w:val="NormalParagraph"/>
    <w:rsid w:val="005202D0"/>
    <w:rPr>
      <w:rFonts w:ascii="Arial" w:hAnsi="Arial"/>
      <w:sz w:val="22"/>
      <w:szCs w:val="22"/>
      <w:lang w:val="en-GB" w:eastAsia="en-GB"/>
    </w:rPr>
  </w:style>
  <w:style w:type="paragraph" w:customStyle="1" w:styleId="TableHeader">
    <w:name w:val="Table Header"/>
    <w:basedOn w:val="Normal"/>
    <w:uiPriority w:val="18"/>
    <w:qFormat/>
    <w:rsid w:val="005202D0"/>
    <w:pPr>
      <w:keepNext/>
      <w:overflowPunct/>
      <w:autoSpaceDE/>
      <w:autoSpaceDN/>
      <w:adjustRightInd/>
      <w:spacing w:before="60" w:after="0" w:line="276" w:lineRule="auto"/>
      <w:textAlignment w:val="auto"/>
    </w:pPr>
    <w:rPr>
      <w:rFonts w:ascii="Arial" w:hAnsi="Arial" w:cs="Arial"/>
      <w:b/>
      <w:color w:val="FFFFFF"/>
      <w:sz w:val="22"/>
      <w:szCs w:val="22"/>
      <w:lang w:val="en-US" w:eastAsia="en-GB"/>
    </w:rPr>
  </w:style>
  <w:style w:type="paragraph" w:customStyle="1" w:styleId="TableCaption">
    <w:name w:val="Table Caption"/>
    <w:basedOn w:val="NormalParagraph"/>
    <w:next w:val="NormalParagraph"/>
    <w:uiPriority w:val="13"/>
    <w:qFormat/>
    <w:rsid w:val="005202D0"/>
    <w:pPr>
      <w:numPr>
        <w:numId w:val="106"/>
      </w:numPr>
      <w:tabs>
        <w:tab w:val="left" w:pos="1009"/>
      </w:tabs>
      <w:spacing w:before="120"/>
      <w:ind w:left="1212"/>
      <w:jc w:val="center"/>
    </w:pPr>
    <w:rPr>
      <w:rFonts w:cs="Arial"/>
      <w:b/>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06991">
      <w:bodyDiv w:val="1"/>
      <w:marLeft w:val="0"/>
      <w:marRight w:val="0"/>
      <w:marTop w:val="0"/>
      <w:marBottom w:val="0"/>
      <w:divBdr>
        <w:top w:val="none" w:sz="0" w:space="0" w:color="auto"/>
        <w:left w:val="none" w:sz="0" w:space="0" w:color="auto"/>
        <w:bottom w:val="none" w:sz="0" w:space="0" w:color="auto"/>
        <w:right w:val="none" w:sz="0" w:space="0" w:color="auto"/>
      </w:divBdr>
    </w:div>
    <w:div w:id="234513056">
      <w:bodyDiv w:val="1"/>
      <w:marLeft w:val="0"/>
      <w:marRight w:val="0"/>
      <w:marTop w:val="0"/>
      <w:marBottom w:val="0"/>
      <w:divBdr>
        <w:top w:val="none" w:sz="0" w:space="0" w:color="auto"/>
        <w:left w:val="none" w:sz="0" w:space="0" w:color="auto"/>
        <w:bottom w:val="none" w:sz="0" w:space="0" w:color="auto"/>
        <w:right w:val="none" w:sz="0" w:space="0" w:color="auto"/>
      </w:divBdr>
    </w:div>
    <w:div w:id="352152646">
      <w:bodyDiv w:val="1"/>
      <w:marLeft w:val="0"/>
      <w:marRight w:val="0"/>
      <w:marTop w:val="0"/>
      <w:marBottom w:val="0"/>
      <w:divBdr>
        <w:top w:val="none" w:sz="0" w:space="0" w:color="auto"/>
        <w:left w:val="none" w:sz="0" w:space="0" w:color="auto"/>
        <w:bottom w:val="none" w:sz="0" w:space="0" w:color="auto"/>
        <w:right w:val="none" w:sz="0" w:space="0" w:color="auto"/>
      </w:divBdr>
    </w:div>
    <w:div w:id="426077366">
      <w:bodyDiv w:val="1"/>
      <w:marLeft w:val="0"/>
      <w:marRight w:val="0"/>
      <w:marTop w:val="0"/>
      <w:marBottom w:val="0"/>
      <w:divBdr>
        <w:top w:val="none" w:sz="0" w:space="0" w:color="auto"/>
        <w:left w:val="none" w:sz="0" w:space="0" w:color="auto"/>
        <w:bottom w:val="none" w:sz="0" w:space="0" w:color="auto"/>
        <w:right w:val="none" w:sz="0" w:space="0" w:color="auto"/>
      </w:divBdr>
    </w:div>
    <w:div w:id="511262986">
      <w:bodyDiv w:val="1"/>
      <w:marLeft w:val="0"/>
      <w:marRight w:val="0"/>
      <w:marTop w:val="0"/>
      <w:marBottom w:val="0"/>
      <w:divBdr>
        <w:top w:val="none" w:sz="0" w:space="0" w:color="auto"/>
        <w:left w:val="none" w:sz="0" w:space="0" w:color="auto"/>
        <w:bottom w:val="none" w:sz="0" w:space="0" w:color="auto"/>
        <w:right w:val="none" w:sz="0" w:space="0" w:color="auto"/>
      </w:divBdr>
    </w:div>
    <w:div w:id="779879270">
      <w:bodyDiv w:val="1"/>
      <w:marLeft w:val="0"/>
      <w:marRight w:val="0"/>
      <w:marTop w:val="0"/>
      <w:marBottom w:val="0"/>
      <w:divBdr>
        <w:top w:val="none" w:sz="0" w:space="0" w:color="auto"/>
        <w:left w:val="none" w:sz="0" w:space="0" w:color="auto"/>
        <w:bottom w:val="none" w:sz="0" w:space="0" w:color="auto"/>
        <w:right w:val="none" w:sz="0" w:space="0" w:color="auto"/>
      </w:divBdr>
    </w:div>
    <w:div w:id="1049303559">
      <w:bodyDiv w:val="1"/>
      <w:marLeft w:val="0"/>
      <w:marRight w:val="0"/>
      <w:marTop w:val="0"/>
      <w:marBottom w:val="0"/>
      <w:divBdr>
        <w:top w:val="none" w:sz="0" w:space="0" w:color="auto"/>
        <w:left w:val="none" w:sz="0" w:space="0" w:color="auto"/>
        <w:bottom w:val="none" w:sz="0" w:space="0" w:color="auto"/>
        <w:right w:val="none" w:sz="0" w:space="0" w:color="auto"/>
      </w:divBdr>
    </w:div>
    <w:div w:id="1151092999">
      <w:bodyDiv w:val="1"/>
      <w:marLeft w:val="0"/>
      <w:marRight w:val="0"/>
      <w:marTop w:val="0"/>
      <w:marBottom w:val="0"/>
      <w:divBdr>
        <w:top w:val="none" w:sz="0" w:space="0" w:color="auto"/>
        <w:left w:val="none" w:sz="0" w:space="0" w:color="auto"/>
        <w:bottom w:val="none" w:sz="0" w:space="0" w:color="auto"/>
        <w:right w:val="none" w:sz="0" w:space="0" w:color="auto"/>
      </w:divBdr>
    </w:div>
    <w:div w:id="1163819367">
      <w:bodyDiv w:val="1"/>
      <w:marLeft w:val="0"/>
      <w:marRight w:val="0"/>
      <w:marTop w:val="0"/>
      <w:marBottom w:val="0"/>
      <w:divBdr>
        <w:top w:val="none" w:sz="0" w:space="0" w:color="auto"/>
        <w:left w:val="none" w:sz="0" w:space="0" w:color="auto"/>
        <w:bottom w:val="none" w:sz="0" w:space="0" w:color="auto"/>
        <w:right w:val="none" w:sz="0" w:space="0" w:color="auto"/>
      </w:divBdr>
    </w:div>
    <w:div w:id="1411274514">
      <w:bodyDiv w:val="1"/>
      <w:marLeft w:val="0"/>
      <w:marRight w:val="0"/>
      <w:marTop w:val="0"/>
      <w:marBottom w:val="0"/>
      <w:divBdr>
        <w:top w:val="none" w:sz="0" w:space="0" w:color="auto"/>
        <w:left w:val="none" w:sz="0" w:space="0" w:color="auto"/>
        <w:bottom w:val="none" w:sz="0" w:space="0" w:color="auto"/>
        <w:right w:val="none" w:sz="0" w:space="0" w:color="auto"/>
      </w:divBdr>
      <w:divsChild>
        <w:div w:id="28145052">
          <w:marLeft w:val="547"/>
          <w:marRight w:val="0"/>
          <w:marTop w:val="67"/>
          <w:marBottom w:val="0"/>
          <w:divBdr>
            <w:top w:val="none" w:sz="0" w:space="0" w:color="auto"/>
            <w:left w:val="none" w:sz="0" w:space="0" w:color="auto"/>
            <w:bottom w:val="none" w:sz="0" w:space="0" w:color="auto"/>
            <w:right w:val="none" w:sz="0" w:space="0" w:color="auto"/>
          </w:divBdr>
        </w:div>
        <w:div w:id="182865516">
          <w:marLeft w:val="547"/>
          <w:marRight w:val="0"/>
          <w:marTop w:val="67"/>
          <w:marBottom w:val="0"/>
          <w:divBdr>
            <w:top w:val="none" w:sz="0" w:space="0" w:color="auto"/>
            <w:left w:val="none" w:sz="0" w:space="0" w:color="auto"/>
            <w:bottom w:val="none" w:sz="0" w:space="0" w:color="auto"/>
            <w:right w:val="none" w:sz="0" w:space="0" w:color="auto"/>
          </w:divBdr>
        </w:div>
        <w:div w:id="215169317">
          <w:marLeft w:val="547"/>
          <w:marRight w:val="0"/>
          <w:marTop w:val="67"/>
          <w:marBottom w:val="0"/>
          <w:divBdr>
            <w:top w:val="none" w:sz="0" w:space="0" w:color="auto"/>
            <w:left w:val="none" w:sz="0" w:space="0" w:color="auto"/>
            <w:bottom w:val="none" w:sz="0" w:space="0" w:color="auto"/>
            <w:right w:val="none" w:sz="0" w:space="0" w:color="auto"/>
          </w:divBdr>
        </w:div>
        <w:div w:id="299381390">
          <w:marLeft w:val="547"/>
          <w:marRight w:val="0"/>
          <w:marTop w:val="67"/>
          <w:marBottom w:val="0"/>
          <w:divBdr>
            <w:top w:val="none" w:sz="0" w:space="0" w:color="auto"/>
            <w:left w:val="none" w:sz="0" w:space="0" w:color="auto"/>
            <w:bottom w:val="none" w:sz="0" w:space="0" w:color="auto"/>
            <w:right w:val="none" w:sz="0" w:space="0" w:color="auto"/>
          </w:divBdr>
        </w:div>
        <w:div w:id="384530511">
          <w:marLeft w:val="547"/>
          <w:marRight w:val="0"/>
          <w:marTop w:val="67"/>
          <w:marBottom w:val="0"/>
          <w:divBdr>
            <w:top w:val="none" w:sz="0" w:space="0" w:color="auto"/>
            <w:left w:val="none" w:sz="0" w:space="0" w:color="auto"/>
            <w:bottom w:val="none" w:sz="0" w:space="0" w:color="auto"/>
            <w:right w:val="none" w:sz="0" w:space="0" w:color="auto"/>
          </w:divBdr>
        </w:div>
        <w:div w:id="466822133">
          <w:marLeft w:val="547"/>
          <w:marRight w:val="0"/>
          <w:marTop w:val="67"/>
          <w:marBottom w:val="0"/>
          <w:divBdr>
            <w:top w:val="none" w:sz="0" w:space="0" w:color="auto"/>
            <w:left w:val="none" w:sz="0" w:space="0" w:color="auto"/>
            <w:bottom w:val="none" w:sz="0" w:space="0" w:color="auto"/>
            <w:right w:val="none" w:sz="0" w:space="0" w:color="auto"/>
          </w:divBdr>
        </w:div>
        <w:div w:id="1807745064">
          <w:marLeft w:val="547"/>
          <w:marRight w:val="0"/>
          <w:marTop w:val="67"/>
          <w:marBottom w:val="0"/>
          <w:divBdr>
            <w:top w:val="none" w:sz="0" w:space="0" w:color="auto"/>
            <w:left w:val="none" w:sz="0" w:space="0" w:color="auto"/>
            <w:bottom w:val="none" w:sz="0" w:space="0" w:color="auto"/>
            <w:right w:val="none" w:sz="0" w:space="0" w:color="auto"/>
          </w:divBdr>
        </w:div>
        <w:div w:id="2135169749">
          <w:marLeft w:val="547"/>
          <w:marRight w:val="0"/>
          <w:marTop w:val="67"/>
          <w:marBottom w:val="0"/>
          <w:divBdr>
            <w:top w:val="none" w:sz="0" w:space="0" w:color="auto"/>
            <w:left w:val="none" w:sz="0" w:space="0" w:color="auto"/>
            <w:bottom w:val="none" w:sz="0" w:space="0" w:color="auto"/>
            <w:right w:val="none" w:sz="0" w:space="0" w:color="auto"/>
          </w:divBdr>
        </w:div>
        <w:div w:id="2140688163">
          <w:marLeft w:val="547"/>
          <w:marRight w:val="0"/>
          <w:marTop w:val="67"/>
          <w:marBottom w:val="0"/>
          <w:divBdr>
            <w:top w:val="none" w:sz="0" w:space="0" w:color="auto"/>
            <w:left w:val="none" w:sz="0" w:space="0" w:color="auto"/>
            <w:bottom w:val="none" w:sz="0" w:space="0" w:color="auto"/>
            <w:right w:val="none" w:sz="0" w:space="0" w:color="auto"/>
          </w:divBdr>
        </w:div>
      </w:divsChild>
    </w:div>
    <w:div w:id="1739788863">
      <w:bodyDiv w:val="1"/>
      <w:marLeft w:val="0"/>
      <w:marRight w:val="0"/>
      <w:marTop w:val="0"/>
      <w:marBottom w:val="0"/>
      <w:divBdr>
        <w:top w:val="none" w:sz="0" w:space="0" w:color="auto"/>
        <w:left w:val="none" w:sz="0" w:space="0" w:color="auto"/>
        <w:bottom w:val="none" w:sz="0" w:space="0" w:color="auto"/>
        <w:right w:val="none" w:sz="0" w:space="0" w:color="auto"/>
      </w:divBdr>
    </w:div>
    <w:div w:id="1838963440">
      <w:bodyDiv w:val="1"/>
      <w:marLeft w:val="0"/>
      <w:marRight w:val="0"/>
      <w:marTop w:val="0"/>
      <w:marBottom w:val="0"/>
      <w:divBdr>
        <w:top w:val="none" w:sz="0" w:space="0" w:color="auto"/>
        <w:left w:val="none" w:sz="0" w:space="0" w:color="auto"/>
        <w:bottom w:val="none" w:sz="0" w:space="0" w:color="auto"/>
        <w:right w:val="none" w:sz="0" w:space="0" w:color="auto"/>
      </w:divBdr>
    </w:div>
    <w:div w:id="2028020707">
      <w:bodyDiv w:val="1"/>
      <w:marLeft w:val="0"/>
      <w:marRight w:val="0"/>
      <w:marTop w:val="0"/>
      <w:marBottom w:val="0"/>
      <w:divBdr>
        <w:top w:val="none" w:sz="0" w:space="0" w:color="auto"/>
        <w:left w:val="none" w:sz="0" w:space="0" w:color="auto"/>
        <w:bottom w:val="none" w:sz="0" w:space="0" w:color="auto"/>
        <w:right w:val="none" w:sz="0" w:space="0" w:color="auto"/>
      </w:divBdr>
    </w:div>
    <w:div w:id="210942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emf"/><Relationship Id="rId28" Type="http://schemas.openxmlformats.org/officeDocument/2006/relationships/theme" Target="theme/theme1.xml"/><Relationship Id="rId10" Type="http://schemas.openxmlformats.org/officeDocument/2006/relationships/hyperlink" Target="http://www.onem2m.org/images/files/oneM2M-Drafting-Rules.pdf" TargetMode="External"/><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hyperlink" Target="http://www.w3.org/TR/xml-c14n" TargetMode="External"/><Relationship Id="rId14" Type="http://schemas.openxmlformats.org/officeDocument/2006/relationships/image" Target="media/image5.png"/><Relationship Id="rId22" Type="http://schemas.openxmlformats.org/officeDocument/2006/relationships/package" Target="embeddings/Microsoft_Visio_Drawing122.vsdx"/><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ETSI%20'NEW'%20DELIVERABLES\ETSIW_8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57FA7B-5ED5-42DC-AB75-92B551E9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ETSIW_80.DOT</Template>
  <TotalTime>0</TotalTime>
  <Pages>1</Pages>
  <Words>10501</Words>
  <Characters>59862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oneM2M Template Change Request</vt:lpstr>
    </vt:vector>
  </TitlesOfParts>
  <Company>ETS Sophia Antipolis</Company>
  <LinksUpToDate>false</LinksUpToDate>
  <CharactersWithSpaces>70223</CharactersWithSpaces>
  <SharedDoc>false</SharedDoc>
  <HLinks>
    <vt:vector size="6" baseType="variant">
      <vt:variant>
        <vt:i4>1966145</vt:i4>
      </vt:variant>
      <vt:variant>
        <vt:i4>207</vt:i4>
      </vt:variant>
      <vt:variant>
        <vt:i4>0</vt:i4>
      </vt:variant>
      <vt:variant>
        <vt:i4>5</vt:i4>
      </vt:variant>
      <vt:variant>
        <vt:lpwstr>http://www.w3.org/TR/xml-c14n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oneM2M Template Change Request</dc:title>
  <dc:subject/>
  <dc:creator>oneM2M</dc:creator>
  <cp:keywords/>
  <dc:description>Remove mentions to ISBN</dc:description>
  <cp:lastModifiedBy>Estelle Mancini</cp:lastModifiedBy>
  <cp:revision>3</cp:revision>
  <cp:lastPrinted>2016-08-29T13:48:00Z</cp:lastPrinted>
  <dcterms:created xsi:type="dcterms:W3CDTF">2018-03-28T13:14:00Z</dcterms:created>
  <dcterms:modified xsi:type="dcterms:W3CDTF">2018-03-28T13:14:00Z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