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5.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09"/>
        </w:numPr>
      </w:pPr>
      <w:hyperlink r:id="rId68">
        <w:r>
          <w:rPr>
            <w:rStyle w:val="Hyperlink"/>
          </w:rPr>
          <w:t xml:space="preserve">Bioinformatics</w:t>
        </w:r>
      </w:hyperlink>
      <w:r>
        <w:t xml:space="preserve"> </w:t>
      </w:r>
      <w:r>
        <w:t xml:space="preserve">(L, P; EN) – for Master students</w:t>
      </w:r>
    </w:p>
    <w:p>
      <w:pPr>
        <w:pStyle w:val="Compact"/>
        <w:numPr>
          <w:ilvl w:val="0"/>
          <w:numId w:val="1009"/>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09"/>
        </w:numPr>
      </w:pPr>
      <w:r>
        <w:t xml:space="preserve">Bioinformatic seminars (L; EN) – for PhD students</w:t>
      </w:r>
    </w:p>
    <w:p>
      <w:pPr>
        <w:pStyle w:val="Compact"/>
        <w:numPr>
          <w:ilvl w:val="0"/>
          <w:numId w:val="1009"/>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2"/>
        </w:numPr>
      </w:pPr>
      <w:hyperlink r:id="rId75">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1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5"/>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85"/>
    <w:bookmarkStart w:id="86"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86"/>
    <w:bookmarkStart w:id="87"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7"/>
    <w:bookmarkStart w:id="89" w:name="editing-reviewing"/>
    <w:p>
      <w:pPr>
        <w:pStyle w:val="Heading1"/>
      </w:pPr>
      <w:r>
        <w:t xml:space="preserve">Editing &amp; Reviewing</w:t>
      </w:r>
    </w:p>
    <w:p>
      <w:pPr>
        <w:pStyle w:val="Compact"/>
        <w:numPr>
          <w:ilvl w:val="0"/>
          <w:numId w:val="1019"/>
        </w:numPr>
      </w:pPr>
      <w:hyperlink r:id="rId88">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9"/>
    <w:bookmarkStart w:id="90"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4" w:name="publications"/>
    <w:p>
      <w:pPr>
        <w:pStyle w:val="Heading1"/>
      </w:pPr>
      <w:r>
        <w:t xml:space="preserve">Publications</w:t>
      </w:r>
    </w:p>
    <w:p>
      <w:pPr>
        <w:pStyle w:val="Compact"/>
        <w:numPr>
          <w:ilvl w:val="0"/>
          <w:numId w:val="1022"/>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583</w:t>
      </w:r>
    </w:p>
    <w:p>
      <w:pPr>
        <w:pStyle w:val="Compact"/>
        <w:numPr>
          <w:ilvl w:val="0"/>
          <w:numId w:val="1022"/>
        </w:numPr>
      </w:pPr>
      <w:r>
        <w:t xml:space="preserve">h-index:</w:t>
      </w:r>
      <w:r>
        <w:t xml:space="preserve"> </w:t>
      </w:r>
      <w:r>
        <w:rPr>
          <w:b/>
          <w:bCs/>
        </w:rPr>
        <w:t xml:space="preserve">16</w:t>
      </w:r>
    </w:p>
    <w:bookmarkStart w:id="101"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1"/>
    <w:bookmarkStart w:id="133"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3">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7</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4</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24</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2">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36</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78 Craig MacLean recommended it in</w:t>
      </w:r>
      <w:r>
        <w:rPr>
          <w:b/>
          <w:bCs/>
        </w:rPr>
        <w:t xml:space="preserve"> </w:t>
      </w:r>
      <w:hyperlink r:id="rId116">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7">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2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2">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33"/>
    <w:bookmarkEnd w:id="134"/>
    <w:bookmarkStart w:id="139"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9"/>
    <w:bookmarkStart w:id="140"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0"/>
    <w:bookmarkStart w:id="148"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5" Target="media/rId95.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2025-03-04T09:13:58Z</dcterms:created>
  <dcterms:modified xsi:type="dcterms:W3CDTF">2025-03-04T09:13:58Z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