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9"/>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10"/>
        </w:numPr>
      </w:pPr>
      <w:hyperlink r:id="rId68">
        <w:r>
          <w:rPr>
            <w:rStyle w:val="Hyperlink"/>
          </w:rPr>
          <w:t xml:space="preserve">Bioinformatics</w:t>
        </w:r>
      </w:hyperlink>
      <w:r>
        <w:t xml:space="preserve"> </w:t>
      </w:r>
      <w:r>
        <w:t xml:space="preserve">(L, P; EN) – for Master students</w:t>
      </w:r>
    </w:p>
    <w:p>
      <w:pPr>
        <w:pStyle w:val="Compact"/>
        <w:numPr>
          <w:ilvl w:val="0"/>
          <w:numId w:val="1010"/>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3"/>
        </w:numPr>
      </w:pPr>
      <w:hyperlink r:id="rId75">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6"/>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5"/>
    <w:bookmarkStart w:id="86"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6"/>
    <w:bookmarkStart w:id="87"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7"/>
    <w:bookmarkStart w:id="90" w:name="editing-reviewing-organizing-conferences"/>
    <w:p>
      <w:pPr>
        <w:pStyle w:val="Heading1"/>
      </w:pPr>
      <w:r>
        <w:t xml:space="preserve">Editing, Reviewing, &amp; Organizing Conferences</w:t>
      </w:r>
    </w:p>
    <w:p>
      <w:pPr>
        <w:pStyle w:val="Compact"/>
        <w:numPr>
          <w:ilvl w:val="0"/>
          <w:numId w:val="1020"/>
        </w:numPr>
      </w:pPr>
      <w:hyperlink r:id="rId88">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9">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90"/>
    <w:bookmarkStart w:id="91"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1"/>
    <w:bookmarkStart w:id="95"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2">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3">
        <w:r>
          <w:rPr>
            <w:rStyle w:val="Hyperlink"/>
          </w:rPr>
          <w:t xml:space="preserve">mulea</w:t>
        </w:r>
      </w:hyperlink>
      <w:r>
        <w:t xml:space="preserve"> </w:t>
      </w:r>
      <w:r>
        <w:t xml:space="preserve">and the</w:t>
      </w:r>
      <w:r>
        <w:t xml:space="preserve"> </w:t>
      </w:r>
      <w:hyperlink r:id="rId94">
        <w:r>
          <w:rPr>
            <w:rStyle w:val="Hyperlink"/>
          </w:rPr>
          <w:t xml:space="preserve">muleaData</w:t>
        </w:r>
      </w:hyperlink>
      <w:r>
        <w:t xml:space="preserve"> </w:t>
      </w:r>
      <w:r>
        <w:t xml:space="preserve">R packages for functional enrichment analysis and dataset.</w:t>
      </w:r>
    </w:p>
    <w:bookmarkEnd w:id="95"/>
    <w:bookmarkStart w:id="134" w:name="publications"/>
    <w:p>
      <w:pPr>
        <w:pStyle w:val="Heading1"/>
      </w:pPr>
      <w:r>
        <w:t xml:space="preserve">Publications</w:t>
      </w:r>
    </w:p>
    <w:p>
      <w:pPr>
        <w:pStyle w:val="Compact"/>
        <w:numPr>
          <w:ilvl w:val="0"/>
          <w:numId w:val="1023"/>
        </w:numPr>
      </w:pPr>
      <w:hyperlink r:id="rId99">
        <w:r>
          <w:drawing>
            <wp:inline>
              <wp:extent cx="228600" cy="228600"/>
              <wp:effectExtent b="0" l="0" r="0" t="0"/>
              <wp:docPr descr="Google" title="" id="97" name="Picture"/>
              <a:graphic>
                <a:graphicData uri="http://schemas.openxmlformats.org/drawingml/2006/picture">
                  <pic:pic>
                    <pic:nvPicPr>
                      <pic:cNvPr descr="images/Google_Scholar_logo.svg.png" id="98" name="Picture"/>
                      <pic:cNvPicPr>
                        <a:picLocks noChangeArrowheads="1" noChangeAspect="1"/>
                      </pic:cNvPicPr>
                    </pic:nvPicPr>
                    <pic:blipFill>
                      <a:blip r:embed="rId9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00" name="Picture"/>
              <a:graphic>
                <a:graphicData uri="http://schemas.openxmlformats.org/drawingml/2006/picture">
                  <pic:pic>
                    <pic:nvPicPr>
                      <pic:cNvPr descr="images/mtmt.jpg" id="10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218.56</w:t>
      </w:r>
    </w:p>
    <w:p>
      <w:pPr>
        <w:pStyle w:val="Compact"/>
        <w:numPr>
          <w:ilvl w:val="0"/>
          <w:numId w:val="1023"/>
        </w:numPr>
      </w:pPr>
      <w:r>
        <w:t xml:space="preserve">Independent citations of all publications (IC):</w:t>
      </w:r>
      <w:r>
        <w:t xml:space="preserve"> </w:t>
      </w:r>
      <w:r>
        <w:rPr>
          <w:b/>
          <w:bCs/>
        </w:rPr>
        <w:t xml:space="preserve">624</w:t>
      </w:r>
    </w:p>
    <w:p>
      <w:pPr>
        <w:pStyle w:val="Compact"/>
        <w:numPr>
          <w:ilvl w:val="0"/>
          <w:numId w:val="1023"/>
        </w:numPr>
      </w:pPr>
      <w:r>
        <w:t xml:space="preserve">h-index:</w:t>
      </w:r>
      <w:r>
        <w:t xml:space="preserve"> </w:t>
      </w:r>
      <w:r>
        <w:rPr>
          <w:b/>
          <w:bCs/>
        </w:rPr>
        <w:t xml:space="preserve">15</w:t>
      </w:r>
    </w:p>
    <w:bookmarkStart w:id="102" w:name="preprints"/>
    <w:p>
      <w:pPr>
        <w:pStyle w:val="Heading2"/>
      </w:pPr>
      <w:r>
        <w:t xml:space="preserve">Preprints</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under review.</w:t>
      </w:r>
    </w:p>
    <w:bookmarkEnd w:id="102"/>
    <w:bookmarkStart w:id="133" w:name="published"/>
    <w:p>
      <w:pPr>
        <w:pStyle w:val="Heading2"/>
      </w:pPr>
      <w:r>
        <w:t xml:space="preserve">Published</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9</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10</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0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(*corresponding author)</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(*shared corresponding authorship)</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6</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19</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27</w:t>
      </w:r>
    </w:p>
    <w:p>
      <w:pPr>
        <w:numPr>
          <w:ilvl w:val="0"/>
          <w:numId w:val="1025"/>
        </w:numPr>
      </w:pPr>
      <w:r>
        <w:t xml:space="preserve">Liska O, Bohár B, Hidas H, Korcsmáros T, Papp B, Fazekas D &amp;</w:t>
      </w:r>
      <w:r>
        <w:t xml:space="preserve"> </w:t>
      </w:r>
      <w:r>
        <w:rPr>
          <w:b/>
          <w:bCs/>
        </w:rPr>
        <w:t xml:space="preserve">Ari E</w:t>
      </w:r>
      <w:r>
        <w:t xml:space="preserve">* (2022)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78</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38</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83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52</w:t>
      </w:r>
    </w:p>
    <w:p>
      <w:pPr>
        <w:numPr>
          <w:ilvl w:val="0"/>
          <w:numId w:val="1025"/>
        </w:numPr>
      </w:pPr>
      <w:r>
        <w:rPr>
          <w:b/>
          <w:bCs/>
        </w:rPr>
        <w:t xml:space="preserve">Ari E</w:t>
      </w:r>
      <w:r>
        <w:t xml:space="preserve">* &amp;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6"/>
        </w:numPr>
      </w:pPr>
      <w:r>
        <w:t xml:space="preserve">Nr. of international conference talks:</w:t>
      </w:r>
      <w:r>
        <w:t xml:space="preserve"> </w:t>
      </w:r>
      <w:r>
        <w:rPr>
          <w:b/>
          <w:bCs/>
        </w:rPr>
        <w:t xml:space="preserve">9</w:t>
      </w:r>
    </w:p>
    <w:p>
      <w:pPr>
        <w:pStyle w:val="Compact"/>
        <w:numPr>
          <w:ilvl w:val="0"/>
          <w:numId w:val="1026"/>
        </w:numPr>
      </w:pPr>
      <w:r>
        <w:t xml:space="preserve">Nr. of national conference talks:</w:t>
      </w:r>
      <w:r>
        <w:t xml:space="preserve"> </w:t>
      </w:r>
      <w:r>
        <w:rPr>
          <w:b/>
          <w:bCs/>
        </w:rPr>
        <w:t xml:space="preserve">6</w:t>
      </w:r>
    </w:p>
    <w:p>
      <w:pPr>
        <w:pStyle w:val="Compact"/>
        <w:numPr>
          <w:ilvl w:val="0"/>
          <w:numId w:val="1026"/>
        </w:numPr>
      </w:pPr>
      <w:r>
        <w:t xml:space="preserve">As an invited speaker*:</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7"/>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7"/>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7"/>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8"/>
        </w:numPr>
      </w:pPr>
      <w:r>
        <w:t xml:space="preserve">Ari E* (2017) Investigating the antimicrobial peptide resistome in the human gut microbiome: a metagenomic approach. University of Graz, Institute of Zoology, 15 Nov,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8" w:name="poster-presentations-in-conferences"/>
    <w:p>
      <w:pPr>
        <w:pStyle w:val="Heading1"/>
      </w:pPr>
      <w:r>
        <w:t xml:space="preserve">Poster Presentations in Conferences</w:t>
      </w:r>
    </w:p>
    <w:p>
      <w:pPr>
        <w:pStyle w:val="Compact"/>
        <w:numPr>
          <w:ilvl w:val="0"/>
          <w:numId w:val="1029"/>
        </w:numPr>
      </w:pPr>
      <w:r>
        <w:t xml:space="preserve">Nr. of international conference posters:</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6" Target="media/rId9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2025-05-16T09:11:24Z</dcterms:created>
  <dcterms:modified xsi:type="dcterms:W3CDTF">2025-05-16T09:11:24Z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