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2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(4)</w:t>
      </w:r>
    </w:p>
    <w:p>
      <w:pPr>
        <w:pStyle w:val="Compact"/>
        <w:numPr>
          <w:ilvl w:val="0"/>
          <w:numId w:val="1019"/>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0"/>
        </w:numPr>
      </w:pPr>
      <w:r>
        <w:t xml:space="preserve">Presenting at the Science Meetup Budapest: Is there a relationship between bacterial virulence and antibiotic resistance? 2025, Budapest, H</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2"/>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585</w:t>
      </w:r>
    </w:p>
    <w:p>
      <w:pPr>
        <w:pStyle w:val="Compact"/>
        <w:numPr>
          <w:ilvl w:val="0"/>
          <w:numId w:val="1022"/>
        </w:numPr>
      </w:pPr>
      <w:r>
        <w:t xml:space="preserve">h-index:</w:t>
      </w:r>
      <w:r>
        <w:t xml:space="preserve"> </w:t>
      </w:r>
      <w:r>
        <w:rPr>
          <w:b/>
          <w:bCs/>
        </w:rPr>
        <w:t xml:space="preserve">16</w:t>
      </w:r>
    </w:p>
    <w:bookmarkStart w:id="102"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2025-03-06T09:18:45Z</dcterms:created>
  <dcterms:modified xsi:type="dcterms:W3CDTF">2025-03-06T09:18:45Z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