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234.26</w:t>
      </w:r>
    </w:p>
    <w:p>
      <w:pPr>
        <w:pStyle w:val="Compact"/>
        <w:numPr>
          <w:ilvl w:val="0"/>
          <w:numId w:val="1023"/>
        </w:numPr>
      </w:pPr>
      <w:r>
        <w:t xml:space="preserve">Independent citations of all publications (IC):</w:t>
      </w:r>
      <w:r>
        <w:t xml:space="preserve"> </w:t>
      </w:r>
      <w:r>
        <w:rPr>
          <w:b/>
          <w:bCs/>
        </w:rPr>
        <w:t xml:space="preserve">768</w:t>
      </w:r>
    </w:p>
    <w:p>
      <w:pPr>
        <w:pStyle w:val="Compact"/>
        <w:numPr>
          <w:ilvl w:val="0"/>
          <w:numId w:val="1023"/>
        </w:numPr>
      </w:pPr>
      <w:r>
        <w:t xml:space="preserve">h-index:</w:t>
      </w:r>
      <w:r>
        <w:t xml:space="preserve"> </w:t>
      </w:r>
      <w:r>
        <w:rPr>
          <w:b/>
          <w:bCs/>
        </w:rPr>
        <w:t xml:space="preserve">17</w:t>
      </w:r>
    </w:p>
    <w:bookmarkStart w:id="101" w:name="preprints"/>
    <w:p>
      <w:pPr>
        <w:pStyle w:val="Heading2"/>
      </w:pPr>
      <w:r>
        <w:t xml:space="preserve">Preprints</w:t>
      </w:r>
    </w:p>
    <w:bookmarkEnd w:id="101"/>
    <w:bookmarkStart w:id="133" w:name="published"/>
    <w:p>
      <w:pPr>
        <w:pStyle w:val="Heading2"/>
      </w:pPr>
      <w:r>
        <w:t xml:space="preserve">Published</w:t>
      </w:r>
    </w:p>
    <w:p>
      <w:pPr>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accepted.</w:t>
      </w:r>
      <w:r>
        <w:t xml:space="preserve"> </w:t>
      </w:r>
      <w:r>
        <w:rPr>
          <w:b/>
          <w:bCs/>
        </w:rPr>
        <w:t xml:space="preserve">D1, IF: 15.70, IC: 0</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36</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21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w:t>
      </w:r>
      <w:r>
        <w:rPr>
          <w:b/>
          <w:bCs/>
        </w:rPr>
        <w:t xml:space="preserve"> </w:t>
      </w:r>
      <w:r>
        <w:rPr>
          <w:b/>
          <w:bCs/>
        </w:rPr>
        <w:t xml:space="preserve">“Impactful paper”</w:t>
      </w:r>
      <w:r>
        <w:rPr>
          <w:b/>
          <w:bCs/>
        </w:rPr>
        <w:t xml:space="preserve"> </w:t>
      </w:r>
      <w:r>
        <w:rPr>
          <w:b/>
          <w:bCs/>
        </w:rPr>
        <w:t xml:space="preserve">according to</w:t>
      </w:r>
      <w:r>
        <w:rPr>
          <w:b/>
          <w:bCs/>
        </w:rPr>
        <w:t xml:space="preserve"> </w:t>
      </w:r>
      <w:hyperlink r:id="rId105">
        <w:r>
          <w:rPr>
            <w:rStyle w:val="Hyperlink"/>
            <w:b/>
            <w:bCs/>
          </w:rPr>
          <w:t xml:space="preserve">OOIR Observatory of International Research</w:t>
        </w:r>
      </w:hyperlink>
      <w:r>
        <w:rPr>
          <w:b/>
          <w:bCs/>
        </w:rPr>
        <w:t xml:space="preserve">.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12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17</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24</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5</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35</w:t>
      </w:r>
    </w:p>
    <w:p>
      <w:pPr>
        <w:numPr>
          <w:ilvl w:val="0"/>
          <w:numId w:val="1024"/>
        </w:numPr>
      </w:pPr>
      <w:r>
        <w:t xml:space="preserve">Liska O, Bohár B, Hidas H, Korcsmáros T, Papp B, Fazekas D &amp;</w:t>
      </w:r>
      <w:r>
        <w:t xml:space="preserve"> </w:t>
      </w:r>
      <w:r>
        <w:rPr>
          <w:b/>
          <w:bCs/>
        </w:rPr>
        <w:t xml:space="preserve">Ari E</w:t>
      </w:r>
      <w:r>
        <w:t xml:space="preserve">* (2022)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112</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91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46</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17</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22</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32</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59</w:t>
      </w:r>
    </w:p>
    <w:p>
      <w:pPr>
        <w:numPr>
          <w:ilvl w:val="0"/>
          <w:numId w:val="1024"/>
        </w:numPr>
      </w:pPr>
      <w:r>
        <w:rPr>
          <w:b/>
          <w:bCs/>
        </w:rPr>
        <w:t xml:space="preserve">Ari E</w:t>
      </w:r>
      <w:r>
        <w:t xml:space="preserve">* &amp;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7</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27</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10</w:t>
      </w:r>
    </w:p>
    <w:p>
      <w:pPr>
        <w:pStyle w:val="Compact"/>
        <w:numPr>
          <w:ilvl w:val="0"/>
          <w:numId w:val="1029"/>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1">
        <w:r>
          <w:rPr>
            <w:rStyle w:val="Hyperlink"/>
            <w:i/>
            <w:iCs/>
          </w:rPr>
          <w:t xml:space="preserve">Applied Bioinformatics and Public Health Microbiology 2025</w:t>
        </w:r>
      </w:hyperlink>
      <w:r>
        <w:t xml:space="preserve">, 21-23 May, Hinxton, UK</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2025-10-07T07:42:10Z</dcterms:created>
  <dcterms:modified xsi:type="dcterms:W3CDTF">2025-10-07T07:42:10Z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