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4"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656</w:t>
      </w:r>
    </w:p>
    <w:p>
      <w:pPr>
        <w:pStyle w:val="Compact"/>
        <w:numPr>
          <w:ilvl w:val="0"/>
          <w:numId w:val="1024"/>
        </w:numPr>
      </w:pPr>
      <w:r>
        <w:t xml:space="preserve">h-index:</w:t>
      </w:r>
      <w:r>
        <w:t xml:space="preserve"> </w:t>
      </w:r>
      <w:r>
        <w:rPr>
          <w:b/>
          <w:bCs/>
        </w:rPr>
        <w:t xml:space="preserve">15</w:t>
      </w:r>
    </w:p>
    <w:bookmarkStart w:id="112"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2"/>
    <w:bookmarkStart w:id="143"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17</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13</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7</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1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28</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85</w:t>
      </w:r>
      <w:r>
        <w:rPr>
          <w:b/>
          <w:bCs/>
        </w:rPr>
        <w:t xml:space="preserve"> </w:t>
      </w:r>
      <w:r>
        <w:rPr>
          <w:b/>
          <w:bCs/>
        </w:rPr>
        <w:t xml:space="preserve">“High impact paper”</w:t>
      </w:r>
      <w:r>
        <w:rPr>
          <w:b/>
          <w:bCs/>
        </w:rPr>
        <w:t xml:space="preserve"> </w:t>
      </w:r>
      <w:r>
        <w:rPr>
          <w:b/>
          <w:bCs/>
        </w:rPr>
        <w:t xml:space="preserve">a</w:t>
      </w:r>
      <w:r>
        <w:rPr>
          <w:b/>
          <w:bCs/>
        </w:rPr>
        <w:t xml:space="preserve"> </w:t>
      </w:r>
      <w:hyperlink r:id="rId122">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85 Craig MacLean ajánlásával</w:t>
      </w:r>
      <w:r>
        <w:rPr>
          <w:b/>
          <w:bCs/>
        </w:rPr>
        <w:t xml:space="preserve"> </w:t>
      </w:r>
      <w:hyperlink r:id="rId126">
        <w:r>
          <w:rPr>
            <w:rStyle w:val="Hyperlink"/>
            <w:b/>
            <w:bCs/>
          </w:rPr>
          <w:t xml:space="preserve">F1000Prime</w:t>
        </w:r>
      </w:hyperlink>
      <w:r>
        <w:rPr>
          <w:b/>
          <w:bCs/>
        </w:rPr>
        <w:t xml:space="preserve">, mint a tudományterület nagy hatású munkája. Beválogatták a</w:t>
      </w:r>
      <w:r>
        <w:rPr>
          <w:b/>
          <w:bCs/>
        </w:rPr>
        <w:t xml:space="preserve"> </w:t>
      </w:r>
      <w:hyperlink r:id="rId127">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2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15</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6"/>
        </w:numPr>
      </w:pPr>
      <w:r>
        <w:rPr>
          <w:b/>
          <w:bCs/>
        </w:rPr>
        <w:t xml:space="preserve">Ari E</w:t>
      </w:r>
      <w:r>
        <w:t xml:space="preserve">* &amp; Jakó É (2016)</w:t>
      </w:r>
      <w:r>
        <w:t xml:space="preserve"> </w:t>
      </w:r>
      <w:hyperlink r:id="rId13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3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3"/>
    <w:bookmarkEnd w:id="144"/>
    <w:bookmarkStart w:id="150"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5">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6">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0"/>
    <w:bookmarkStart w:id="151" w:name="egyéb-meghívott-előadások"/>
    <w:p>
      <w:pPr>
        <w:pStyle w:val="Heading1"/>
      </w:pPr>
      <w:r>
        <w:t xml:space="preserve">Egyéb Meghívott Előadások</w:t>
      </w:r>
    </w:p>
    <w:p>
      <w:pPr>
        <w:pStyle w:val="Compact"/>
        <w:numPr>
          <w:ilvl w:val="0"/>
          <w:numId w:val="1029"/>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1"/>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10</w:t>
      </w:r>
    </w:p>
    <w:p>
      <w:pPr>
        <w:pStyle w:val="Compact"/>
        <w:numPr>
          <w:ilvl w:val="0"/>
          <w:numId w:val="1031"/>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2">
        <w:r>
          <w:rPr>
            <w:rStyle w:val="Hyperlink"/>
            <w:i/>
            <w:iCs/>
          </w:rPr>
          <w:t xml:space="preserve">Applied Bioinformatics and Public Health Microbiology 2025</w:t>
        </w:r>
      </w:hyperlink>
      <w:r>
        <w:t xml:space="preserve">, máj. 21-23, Hinxton, UK</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2025-07-18T07:59:50Z</dcterms:created>
  <dcterms:modified xsi:type="dcterms:W3CDTF">2025-07-18T07:59:50Z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