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 THE CIRCUIT COURT OF JACKSON COUNTY, MISSOURI</w:t>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ASSOCIATE CIRCUIT DIVISION   </w:t>
      </w:r>
    </w:p>
    <w:p>
      <w:pPr>
        <w:pStyle w:val="Normal"/>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a"/>
        <w:tblW w:w="9360" w:type="dxa"/>
        <w:jc w:val="center"/>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c>
          <w:tcPr>
            <w:tcW w:w="4680" w:type="dxa"/>
            <w:tcBorders>
              <w:top w:val="single" w:sz="8" w:space="0" w:color="FFFFFF"/>
              <w:left w:val="single" w:sz="8" w:space="0" w:color="FFFFFF"/>
              <w:bottom w:val="single" w:sz="8" w:space="0" w:color="FFFFFF"/>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{{PLAINTIFF}},</w:t>
            </w:r>
          </w:p>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Plaintiff,</w:t>
            </w:r>
          </w:p>
        </w:tc>
        <w:tc>
          <w:tcPr>
            <w:tcW w:w="4679" w:type="dxa"/>
            <w:tcBorders>
              <w:top w:val="single" w:sz="8" w:space="0" w:color="FFFFFF"/>
              <w:left w:val="single" w:sz="8" w:space="0" w:color="000000"/>
              <w:bottom w:val="single" w:sz="8" w:space="0" w:color="FFFFFF"/>
              <w:right w:val="single" w:sz="8" w:space="0" w:color="FFFFFF"/>
            </w:tcBorders>
            <w:shd w:color="auto"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c>
          <w:tcPr>
            <w:tcW w:w="4680" w:type="dxa"/>
            <w:tcBorders>
              <w:top w:val="single" w:sz="8" w:space="0" w:color="FFFFFF"/>
              <w:left w:val="single" w:sz="8" w:space="0" w:color="FFFFFF"/>
              <w:bottom w:val="single" w:sz="8" w:space="0" w:color="FFFFFF"/>
              <w:right w:val="single" w:sz="8" w:space="0" w:color="000000"/>
            </w:tcBorders>
            <w:shd w:color="auto" w:fill="auto" w:val="clear"/>
          </w:tcPr>
          <w:p>
            <w:pPr>
              <w:pStyle w:val="Normal"/>
              <w:widowControl w:val="false"/>
              <w:spacing w:lineRule="auto" w:line="240" w:before="24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w:t>
            </w:r>
          </w:p>
        </w:tc>
        <w:tc>
          <w:tcPr>
            <w:tcW w:w="4679" w:type="dxa"/>
            <w:tcBorders>
              <w:top w:val="single" w:sz="8" w:space="0" w:color="FFFFFF"/>
              <w:left w:val="single" w:sz="8" w:space="0" w:color="000000"/>
              <w:bottom w:val="single" w:sz="8" w:space="0" w:color="FFFFFF"/>
              <w:right w:val="single" w:sz="8" w:space="0" w:color="FFFFFF"/>
            </w:tcBorders>
            <w:shd w:color="auto" w:fill="auto" w:val="clear"/>
          </w:tcPr>
          <w:p>
            <w:pPr>
              <w:pStyle w:val="Normal"/>
              <w:widowControl w:val="false"/>
              <w:spacing w:lineRule="auto" w:line="240"/>
              <w:ind w:left="720" w:hanging="0"/>
              <w:rPr>
                <w:rFonts w:ascii="Times New Roman" w:hAnsi="Times New Roman" w:eastAsia="Times New Roman" w:cs="Times New Roman"/>
                <w:b/>
                <w:b/>
                <w:sz w:val="28"/>
                <w:szCs w:val="28"/>
              </w:rPr>
            </w:pPr>
            <w:r>
              <w:rPr>
                <w:rFonts w:eastAsia="Times New Roman" w:cs="Times New Roman" w:ascii="Times New Roman" w:hAnsi="Times New Roman"/>
                <w:b/>
                <w:sz w:val="24"/>
                <w:szCs w:val="24"/>
              </w:rPr>
              <w:t xml:space="preserve">Case No. </w:t>
            </w:r>
            <w:r>
              <w:rPr>
                <w:rFonts w:eastAsia="Times New Roman" w:cs="Times New Roman" w:ascii="Times New Roman" w:hAnsi="Times New Roman"/>
                <w:b/>
                <w:sz w:val="24"/>
                <w:szCs w:val="24"/>
                <w:highlight w:val="white"/>
              </w:rPr>
              <w:t>{{Case Number}}</w:t>
            </w:r>
          </w:p>
          <w:p>
            <w:pPr>
              <w:pStyle w:val="Normal"/>
              <w:widowControl w:val="false"/>
              <w:spacing w:lineRule="auto" w:line="24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widowControl w:val="false"/>
              <w:spacing w:lineRule="auto" w:line="24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Division {{Division}}</w:t>
            </w:r>
          </w:p>
        </w:tc>
      </w:tr>
      <w:tr>
        <w:trPr/>
        <w:tc>
          <w:tcPr>
            <w:tcW w:w="4680" w:type="dxa"/>
            <w:tcBorders>
              <w:top w:val="single" w:sz="8" w:space="0" w:color="FFFFFF"/>
              <w:left w:val="single" w:sz="8" w:space="0" w:color="FFFFFF"/>
              <w:bottom w:val="single" w:sz="8" w:space="0" w:color="FFFFFF"/>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{{DEFENDANT 1}}</w:t>
            </w:r>
          </w:p>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{{DEFENDANT 2}}</w:t>
            </w:r>
          </w:p>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{{DEFENDANT 3}}</w:t>
            </w:r>
          </w:p>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{{DEFENDANT 4}}</w:t>
            </w:r>
          </w:p>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JOHN DOE AND/OR MARY ROE</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{{Street Address}}</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{{City}}, MO {{ZIP}}</w:t>
            </w:r>
          </w:p>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Defendants.</w:t>
            </w:r>
          </w:p>
        </w:tc>
        <w:tc>
          <w:tcPr>
            <w:tcW w:w="4679" w:type="dxa"/>
            <w:tcBorders>
              <w:top w:val="single" w:sz="8" w:space="0" w:color="FFFFFF"/>
              <w:left w:val="single" w:sz="8" w:space="0" w:color="000000"/>
              <w:bottom w:val="single" w:sz="8" w:space="0" w:color="FFFFFF"/>
              <w:right w:val="single" w:sz="8" w:space="0" w:color="FFFFFF"/>
            </w:tcBorders>
            <w:shd w:color="auto" w:fill="auto" w:val="clear"/>
          </w:tcPr>
          <w:p>
            <w:pPr>
              <w:pStyle w:val="Normal"/>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bl>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JUDGMENT ON LANDLORD/TENANT PETITION</w:t>
      </w:r>
    </w:p>
    <w:p>
      <w:pPr>
        <w:pStyle w:val="Normal"/>
        <w:spacing w:lineRule="auto" w:line="48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RENT AND POSSESSION PURSUANT TO CHAPTER 535</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On {{Judgment Date}}, Plaintiff appeared in person and by counsel Brian Barjenbruch; and </w:t>
      </w:r>
    </w:p>
    <w:p>
      <w:pPr>
        <w:pStyle w:val="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the defendant has been duly served;</w:t>
      </w:r>
    </w:p>
    <w:p>
      <w:pPr>
        <w:pStyle w:val="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 appear(s) in person;</w:t>
      </w:r>
    </w:p>
    <w:p>
      <w:pPr>
        <w:pStyle w:val="Normal"/>
        <w:spacing w:lineRule="auto" w:line="48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defendant(s), although being lawfully served with process, appear(s) not and make default;</w:t>
      </w:r>
    </w:p>
    <w:p>
      <w:pPr>
        <w:pStyle w:val="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tab/>
        <w:t>and the defendant(s) consent(s) to judgment;</w:t>
      </w:r>
    </w:p>
    <w:p>
      <w:pPr>
        <w:pStyle w:val="Normal"/>
        <w:spacing w:lineRule="auto" w:line="48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 </w:t>
        <w:tab/>
        <w:t>the premises have been duly posted;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Evidence was heard. The case was submitted to the Court upon the pleadings of record. The Court also heard arguments of the parties.  The Court makes the following findings and judgment:</w:t>
      </w:r>
      <w:r>
        <w:br w:type="page"/>
      </w:r>
    </w:p>
    <w:p>
      <w:pPr>
        <w:pStyle w:val="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FINDINGS OF FACT AND CONCLUSIONS OF LAW</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jurisdiction over the parties and the subject matter of this action.</w:t>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has made judgments on the credibility of various witnesses that are consistent with the findings of fact made in this Judgment.</w:t>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provisions of the Servicemembers’ Civil Relief Act, 50 U.S.C. App. Sec. 501, et seq. have been observed and honored.</w:t>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property at issue is owned by the Plaintiff and leased to the Defendant(s). The rent due date under the Lease/Rental Agreement is on the first of each month.</w:t>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Court makes additional findings of fact and conclusion of law that are consistent with the Judgment entered by the Court.</w:t>
      </w:r>
    </w:p>
    <w:p>
      <w:pPr>
        <w:pStyle w:val="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JUDGMENT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THEREFORE ORDERED that the Plaintiff shall have restitution of the premises unlawfully possessed and located at: {{Street Address}}, {{City}}, Jackson County, Missouri.</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FURTHER ORDERED that Defendant(s) shall pay the following damages to Plaintiff:</w:t>
      </w:r>
    </w:p>
    <w:tbl>
      <w:tblPr>
        <w:tblStyle w:val="a0"/>
        <w:tblW w:w="9300" w:type="dxa"/>
        <w:jc w:val="left"/>
        <w:tblInd w:w="139" w:type="dxa"/>
        <w:tblLayout w:type="fixed"/>
        <w:tblCellMar>
          <w:top w:w="79" w:type="dxa"/>
          <w:left w:w="79" w:type="dxa"/>
          <w:bottom w:w="79" w:type="dxa"/>
          <w:right w:w="79" w:type="dxa"/>
        </w:tblCellMar>
        <w:tblLook w:firstRow="0" w:noVBand="1" w:lastRow="0" w:firstColumn="0" w:lastColumn="0" w:noHBand="1" w:val="0600"/>
      </w:tblPr>
      <w:tblGrid>
        <w:gridCol w:w="6510"/>
        <w:gridCol w:w="2789"/>
      </w:tblGrid>
      <w:tr>
        <w:trPr>
          <w:trHeight w:val="440" w:hRule="atLeast"/>
        </w:trPr>
        <w:tc>
          <w:tcPr>
            <w:tcW w:w="9299"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jc w:val="center"/>
              <w:rPr>
                <w:rFonts w:ascii="Times New Roman" w:hAnsi="Times New Roman" w:eastAsia="Times New Roman" w:cs="Times New Roman"/>
                <w:b/>
                <w:b/>
              </w:rPr>
            </w:pPr>
            <w:r>
              <w:rPr>
                <w:rFonts w:eastAsia="Times New Roman" w:cs="Times New Roman" w:ascii="Times New Roman" w:hAnsi="Times New Roman"/>
                <w:b/>
              </w:rPr>
              <w:t>DAMAGES OWED TO PLAINTIFF</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rPr>
            </w:pPr>
            <w:r>
              <w:rPr>
                <w:rFonts w:eastAsia="Times New Roman" w:cs="Times New Roman" w:ascii="Times New Roman" w:hAnsi="Times New Roman"/>
              </w:rPr>
              <w:t>DESCRIPTION</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rFonts w:ascii="Times New Roman" w:hAnsi="Times New Roman" w:eastAsia="Times New Roman" w:cs="Times New Roman"/>
              </w:rPr>
            </w:pPr>
            <w:r>
              <w:rPr>
                <w:rFonts w:eastAsia="Times New Roman" w:cs="Times New Roman" w:ascii="Times New Roman" w:hAnsi="Times New Roman"/>
              </w:rPr>
              <w:t>AMOUNT</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RENT</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Rent}}</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LATE FEES SET OUT IN THE CONTRACT</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Late}}</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UTILITY CHARGES</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Util}}</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ANY OTHER AMOUNTS DUE UNDER THE LEASE</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Addl}}</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ATTORNEY’S FEES (IF APPLICABLE)</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Atty}}</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SPECIAL PROCESS SERVER FEES</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SPS}}</w:t>
            </w:r>
          </w:p>
        </w:tc>
      </w:tr>
      <w:tr>
        <w:trPr/>
        <w:tc>
          <w:tcPr>
            <w:tcW w:w="65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COURT COSTS CURRENTLY OWED</w:t>
            </w:r>
          </w:p>
        </w:tc>
        <w:tc>
          <w:tcPr>
            <w:tcW w:w="278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right"/>
              <w:rPr>
                <w:rFonts w:ascii="Times New Roman" w:hAnsi="Times New Roman" w:eastAsia="Times New Roman" w:cs="Times New Roman"/>
              </w:rPr>
            </w:pPr>
            <w:r>
              <w:rPr>
                <w:rFonts w:eastAsia="Times New Roman" w:cs="Times New Roman" w:ascii="Times New Roman" w:hAnsi="Times New Roman"/>
              </w:rPr>
              <w:t>{{Judgment Costs}}</w:t>
            </w:r>
          </w:p>
        </w:tc>
      </w:tr>
      <w:tr>
        <w:trPr/>
        <w:tc>
          <w:tcPr>
            <w:tcW w:w="651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rPr>
                <w:rFonts w:ascii="Times New Roman" w:hAnsi="Times New Roman" w:eastAsia="Times New Roman" w:cs="Times New Roman"/>
                <w:b/>
                <w:b/>
              </w:rPr>
            </w:pPr>
            <w:r>
              <w:rPr>
                <w:rFonts w:eastAsia="Times New Roman" w:cs="Times New Roman" w:ascii="Times New Roman" w:hAnsi="Times New Roman"/>
                <w:b/>
              </w:rPr>
              <w:t>TOTAL DAMAGES OWED TO PLAINTIFF</w:t>
            </w:r>
          </w:p>
        </w:tc>
        <w:tc>
          <w:tcPr>
            <w:tcW w:w="2789"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jc w:val="right"/>
              <w:rPr>
                <w:rFonts w:ascii="Times New Roman" w:hAnsi="Times New Roman" w:eastAsia="Times New Roman" w:cs="Times New Roman"/>
                <w:b/>
                <w:b/>
                <w:bCs/>
              </w:rPr>
            </w:pPr>
            <w:r>
              <w:rPr>
                <w:rFonts w:eastAsia="Times New Roman" w:cs="Times New Roman" w:ascii="Times New Roman" w:hAnsi="Times New Roman"/>
                <w:b/>
                <w:bCs/>
              </w:rPr>
              <w:t>{{Judgment TOTAL}}</w:t>
            </w:r>
          </w:p>
        </w:tc>
      </w:tr>
    </w:tbl>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costs are assessed against Defendant(s).</w:t>
      </w:r>
    </w:p>
    <w:p>
      <w:pPr>
        <w:pStyle w:val="Normal"/>
        <w:pBdr>
          <w:bottom w:val="single" w:sz="8" w:space="2" w:color="000000"/>
        </w:pBdr>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NOTICE FROM COURT ADMINISTRATOR TO DEFENDANT(S) IN DEFAULT</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To Set Aside The Judgment. Unless the Judgment is set aside within ten days, the judgment will become final, and the Defendant will be subject to eviction from the premises without further notice.</w:t>
      </w:r>
    </w:p>
    <w:p>
      <w:pPr>
        <w:pStyle w:val="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APPEAL BOND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Defendant paying into Court the amount of the judgment plus court costs; and</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Execution of the required supersedeas bond documents; and</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Payment of the monthly rent that accrues after the date of the Judgment to the Jackson County Court Administrator, at the rate of {{Monthly Rent}} per month, within ten (10) days after the due date provided for in the Lease/Rental Agreement; and</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Defendant(s) shall refrain from any and all illegal activities or conduct in violation of the parties’ lease while residing on the plaintiff’s premises; and</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Defendant(s) shall refrain from all activities that damage the premises or cause waste of the premises.</w:t>
      </w:r>
    </w:p>
    <w:p>
      <w:pPr>
        <w:pStyle w:val="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Normal"/>
        <w:pBdr>
          <w:bottom w:val="single" w:sz="8" w:space="2" w:color="000000"/>
        </w:pBdr>
        <w:spacing w:lineRule="auto" w:line="240" w:before="0" w:after="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EXECUTION AND RESTITUTION OF PREMISES</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Department Of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Judgment for Plaintiff has been entered and either:</w:t>
      </w:r>
    </w:p>
    <w:p>
      <w:pPr>
        <w:pStyle w:val="Normal"/>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Defendant appeared, or </w:t>
      </w:r>
    </w:p>
    <w:p>
      <w:pPr>
        <w:pStyle w:val="Normal"/>
        <w:spacing w:lineRule="auto" w:line="240" w:before="0" w:after="240"/>
        <w:ind w:left="216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Defendant was in Default, and more than ten days have expired since the date the Judgment was entered and  no motion to set aside the Judgment has been filed, and</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If an appeal or Application for a Trial De Novo is filed, the required appeal bond has not been filed or the conditions of the bond have been violated; and</w:t>
      </w:r>
    </w:p>
    <w:p>
      <w:pPr>
        <w:pStyle w:val="Normal"/>
        <w:spacing w:lineRule="auto" w:line="240" w:before="0" w:after="24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A Request For Execution For Restitution Of Possession has been filed that complies with the requirements set forth in this Judgment.</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tab/>
        <w:t>The date of the Judgment;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tab/>
        <w:t>The type of Landlord/Tenant action at issue;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tab/>
        <w:t>Street Address, City and Zip Code of the property to be delivered to Plaintiff;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tab/>
        <w:t>That the judgment remains unsatisfied;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w:t>
        <w:tab/>
        <w:t>That the Defendant(s) remains in possession;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w:t>
        <w:tab/>
        <w:t>That there has been no appeal bond filed;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w:t>
        <w:tab/>
        <w:t>That no new agreement, either oral or written, has been made with the Defendant(s) that allows the Defendant(s) to be in possession of the premises; and</w:t>
      </w:r>
    </w:p>
    <w:p>
      <w:pPr>
        <w:pStyle w:val="Normal"/>
        <w:spacing w:lineRule="auto" w:line="240" w:before="0" w:after="160"/>
        <w:ind w:left="1440" w:hanging="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w:t>
        <w:tab/>
        <w:t>That a request for execution delivering possession of the premises to Plaintiff is requested.</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b/>
        <w:t>IN DEFAULT IN THE PERFORMANCE OF ANY ORDER CONTAINED IN THIS JUDGMENT, LET EXECUTION ISSUE THEREFOR.</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Dated:</w:t>
        <w:tab/>
        <w:t>___________________________</w:t>
        <w:tab/>
        <w:tab/>
        <w:t>___________________________________</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ab/>
        <w:tab/>
        <w:tab/>
        <w:tab/>
        <w:t xml:space="preserve">            Judge</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spacing w:lineRule="auto" w:line="48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CERTIFICATE OF SERVICE</w:t>
      </w:r>
    </w:p>
    <w:p>
      <w:pPr>
        <w:pStyle w:val="Normal"/>
        <w:spacing w:lineRule="auto" w:line="48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Brian Barjenbruch</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BASSIN AND BARJENBRUCH, LLC</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3609 SW Pryor Road</w:t>
      </w:r>
    </w:p>
    <w:p>
      <w:pPr>
        <w:pStyle w:val="Normal"/>
        <w:spacing w:lineRule="auto" w:line="24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Lee’s Summit, MO 64082</w:t>
      </w:r>
    </w:p>
    <w:p>
      <w:pPr>
        <w:pStyle w:val="Normal"/>
        <w:spacing w:lineRule="auto" w:line="240"/>
        <w:ind w:left="72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ATTORNEY FOR PLAINTIFF</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{{DEFENDANT 1}}</w:t>
        <w:br/>
        <w:t>{{DEFENDANT 2}}</w:t>
        <w:br/>
        <w:t>{{DEFENDANT 3}}</w:t>
        <w:br/>
        <w:t>{{DEFENDANT 4}}</w:t>
        <w:br/>
        <w:t>JOHN DOE AND/OR MARY ROE</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{{Street Address}}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{{City}}, MO {{ZIP}}</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DEFENDANT(S)</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w:t>
      </w:r>
    </w:p>
    <w:p>
      <w:pPr>
        <w:pStyle w:val="Normal"/>
        <w:spacing w:lineRule="auto" w:line="240"/>
        <w:ind w:left="50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Judicial Administrative Assistant</w:t>
      </w:r>
    </w:p>
    <w:p>
      <w:pPr>
        <w:pStyle w:val="Normal"/>
        <w:spacing w:lineRule="auto" w:line="4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240"/>
        <w:jc w:val="both"/>
        <w:rPr>
          <w:rFonts w:ascii="Times New Roman" w:hAnsi="Times New Roman" w:eastAsia="Times New Roman" w:cs="Times New Roman"/>
          <w:sz w:val="24"/>
          <w:szCs w:val="24"/>
        </w:rPr>
      </w:pPr>
      <w:r>
        <w:rPr/>
      </w:r>
    </w:p>
    <w:sectPr>
      <w:headerReference w:type="first" r:id="rId2"/>
      <w:footerReference w:type="defaul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fldChar w:fldCharType="begin"/>
    </w:r>
    <w:r>
      <w:rPr>
        <w:sz w:val="24"/>
        <w:szCs w:val="24"/>
        <w:rFonts w:eastAsia="Times New Roman" w:cs="Times New Roman" w:ascii="Times New Roman" w:hAnsi="Times New Roman"/>
      </w:rPr>
      <w:instrText> PAGE </w:instrText>
    </w:r>
    <w:r>
      <w:rPr>
        <w:sz w:val="24"/>
        <w:szCs w:val="24"/>
        <w:rFonts w:eastAsia="Times New Roman" w:cs="Times New Roman" w:ascii="Times New Roman" w:hAnsi="Times New Roman"/>
      </w:rPr>
      <w:fldChar w:fldCharType="separate"/>
    </w:r>
    <w:r>
      <w:rPr>
        <w:sz w:val="24"/>
        <w:szCs w:val="24"/>
        <w:rFonts w:eastAsia="Times New Roman" w:cs="Times New Roman" w:ascii="Times New Roman" w:hAnsi="Times New Roman"/>
      </w:rPr>
      <w:t>5</w:t>
    </w:r>
    <w:r>
      <w:rPr>
        <w:sz w:val="24"/>
        <w:szCs w:val="24"/>
        <w:rFonts w:eastAsia="Times New Roman" w:cs="Times New Roman" w:ascii="Times New Roman" w:hAnsi="Times New Roman"/>
      </w:rPr>
      <w:fldChar w:fldCharType="end"/>
    </w:r>
    <w:r>
      <w:rPr>
        <w:rFonts w:eastAsia="Times New Roman" w:cs="Times New Roman" w:ascii="Times New Roman" w:hAnsi="Times New Roman"/>
        <w:sz w:val="24"/>
        <w:szCs w:val="24"/>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LibreOffice/7.2.2.2$Windows_X86_64 LibreOffice_project/02b2acce88a210515b4a5bb2e46cbfb63fe97d56</Application>
  <AppVersion>15.0000</AppVersion>
  <Pages>5</Pages>
  <Words>1078</Words>
  <Characters>5679</Characters>
  <CharactersWithSpaces>6731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2022-07-26T23:46:00Z</dcterms:created>
  <dc:creator>Brian-Home</dc:creator>
  <dc:description/>
  <dc:language>en-US</dc:language>
  <cp:lastModifiedBy>Brian Barjenbruch</cp:lastModifiedBy>
  <dcterms:modified xsi:type="dcterms:W3CDTF">2022-07-28T15:51:14Z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