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6C3B" w14:textId="6E7D0894" w:rsidR="00D82755" w:rsidRPr="00322DD0" w:rsidRDefault="00000000">
      <w:pPr>
        <w:pStyle w:val="Title"/>
        <w:rPr>
          <w:rFonts w:cstheme="majorHAnsi"/>
        </w:rPr>
      </w:pPr>
      <w:r w:rsidRPr="00322DD0">
        <w:rPr>
          <w:rFonts w:cstheme="majorHAnsi"/>
        </w:rPr>
        <w:t>Corporate</w:t>
      </w:r>
      <w:r w:rsidR="00322DD0" w:rsidRPr="00322DD0">
        <w:rPr>
          <w:rFonts w:cstheme="majorHAnsi"/>
        </w:rPr>
        <w:t xml:space="preserve"> </w:t>
      </w:r>
      <w:r w:rsidRPr="00322DD0">
        <w:rPr>
          <w:rFonts w:cstheme="majorHAnsi"/>
        </w:rPr>
        <w:t>Financial</w:t>
      </w:r>
      <w:r w:rsidR="00322DD0" w:rsidRPr="00322DD0">
        <w:rPr>
          <w:rFonts w:cstheme="majorHAnsi"/>
        </w:rPr>
        <w:t xml:space="preserve"> </w:t>
      </w:r>
      <w:r w:rsidRPr="00322DD0">
        <w:rPr>
          <w:rFonts w:cstheme="majorHAnsi"/>
        </w:rPr>
        <w:t>Performance</w:t>
      </w:r>
      <w:r w:rsidR="00322DD0" w:rsidRPr="00322DD0">
        <w:rPr>
          <w:rFonts w:cstheme="majorHAnsi"/>
        </w:rPr>
        <w:t xml:space="preserve"> &amp; </w:t>
      </w:r>
      <w:r w:rsidRPr="00322DD0">
        <w:rPr>
          <w:rFonts w:cstheme="majorHAnsi"/>
        </w:rPr>
        <w:t>Sustainability</w:t>
      </w:r>
      <w:r w:rsidR="00DA09EE">
        <w:rPr>
          <w:rFonts w:cstheme="majorHAnsi"/>
        </w:rPr>
        <w:t xml:space="preserve"> </w:t>
      </w:r>
      <w:r w:rsidRPr="00322DD0">
        <w:rPr>
          <w:rFonts w:cstheme="majorHAnsi"/>
        </w:rPr>
        <w:t>Metrics</w:t>
      </w:r>
    </w:p>
    <w:p w14:paraId="4EB0306A" w14:textId="2AF830ED" w:rsidR="00216968" w:rsidRPr="00216968" w:rsidRDefault="00216968">
      <w:pPr>
        <w:rPr>
          <w:rFonts w:asciiTheme="majorHAnsi" w:eastAsiaTheme="majorEastAsia" w:hAnsiTheme="majorHAnsi" w:cstheme="majorHAnsi"/>
          <w:color w:val="17365D" w:themeColor="text2" w:themeShade="BF"/>
          <w:spacing w:val="5"/>
          <w:kern w:val="28"/>
        </w:rPr>
      </w:pPr>
      <w:r w:rsidRPr="00216968">
        <w:rPr>
          <w:rFonts w:asciiTheme="majorHAnsi" w:eastAsiaTheme="majorEastAsia" w:hAnsiTheme="majorHAnsi" w:cstheme="majorHAnsi"/>
          <w:color w:val="17365D" w:themeColor="text2" w:themeShade="BF"/>
          <w:spacing w:val="5"/>
          <w:kern w:val="28"/>
        </w:rPr>
        <w:t>An analysis of the relationship between ESG scores, profitability, and environmental impact (2015–2025)</w:t>
      </w:r>
    </w:p>
    <w:p w14:paraId="5541C7EC" w14:textId="2082A2E7" w:rsidR="00216968" w:rsidRPr="00216968" w:rsidRDefault="00216968">
      <w:pPr>
        <w:rPr>
          <w:rFonts w:asciiTheme="majorHAnsi" w:eastAsiaTheme="majorEastAsia" w:hAnsiTheme="majorHAnsi" w:cstheme="majorHAnsi"/>
          <w:color w:val="17365D" w:themeColor="text2" w:themeShade="BF"/>
          <w:spacing w:val="5"/>
          <w:kern w:val="28"/>
        </w:rPr>
      </w:pPr>
      <w:r w:rsidRPr="00216968">
        <w:rPr>
          <w:rFonts w:asciiTheme="majorHAnsi" w:eastAsiaTheme="majorEastAsia" w:hAnsiTheme="majorHAnsi" w:cstheme="majorHAnsi"/>
          <w:color w:val="17365D" w:themeColor="text2" w:themeShade="BF"/>
          <w:spacing w:val="5"/>
          <w:kern w:val="28"/>
        </w:rPr>
        <w:t xml:space="preserve">Prepared by: Lütfi Barkın </w:t>
      </w:r>
      <w:proofErr w:type="spellStart"/>
      <w:r w:rsidRPr="00216968">
        <w:rPr>
          <w:rFonts w:asciiTheme="majorHAnsi" w:eastAsiaTheme="majorEastAsia" w:hAnsiTheme="majorHAnsi" w:cstheme="majorHAnsi"/>
          <w:color w:val="17365D" w:themeColor="text2" w:themeShade="BF"/>
          <w:spacing w:val="5"/>
          <w:kern w:val="28"/>
        </w:rPr>
        <w:t>Yılgör</w:t>
      </w:r>
      <w:proofErr w:type="spellEnd"/>
      <w:r w:rsidRPr="00216968">
        <w:rPr>
          <w:rFonts w:asciiTheme="majorHAnsi" w:eastAsiaTheme="majorEastAsia" w:hAnsiTheme="majorHAnsi" w:cstheme="majorHAnsi"/>
          <w:color w:val="17365D" w:themeColor="text2" w:themeShade="BF"/>
          <w:spacing w:val="5"/>
          <w:kern w:val="28"/>
        </w:rPr>
        <w:t xml:space="preserve"> </w:t>
      </w:r>
    </w:p>
    <w:p w14:paraId="0282155A" w14:textId="5B034BBC" w:rsidR="00216968" w:rsidRPr="00216968" w:rsidRDefault="00216968">
      <w:pPr>
        <w:rPr>
          <w:rFonts w:asciiTheme="majorHAnsi" w:eastAsiaTheme="majorEastAsia" w:hAnsiTheme="majorHAnsi" w:cstheme="majorHAnsi"/>
          <w:color w:val="17365D" w:themeColor="text2" w:themeShade="BF"/>
          <w:spacing w:val="5"/>
          <w:kern w:val="28"/>
        </w:rPr>
      </w:pPr>
      <w:r w:rsidRPr="00216968">
        <w:rPr>
          <w:rFonts w:asciiTheme="majorHAnsi" w:eastAsiaTheme="majorEastAsia" w:hAnsiTheme="majorHAnsi" w:cstheme="majorHAnsi"/>
          <w:color w:val="17365D" w:themeColor="text2" w:themeShade="BF"/>
          <w:spacing w:val="5"/>
          <w:kern w:val="28"/>
        </w:rPr>
        <w:t>Student ID: 32481</w:t>
      </w:r>
    </w:p>
    <w:p w14:paraId="5A78BAD8" w14:textId="6448BB2E" w:rsidR="00D82755" w:rsidRPr="00322DD0" w:rsidRDefault="00000000">
      <w:pPr>
        <w:rPr>
          <w:rFonts w:asciiTheme="majorHAnsi" w:hAnsiTheme="majorHAnsi" w:cstheme="majorHAnsi"/>
        </w:rPr>
      </w:pPr>
      <w:r w:rsidRPr="00322DD0">
        <w:rPr>
          <w:rFonts w:asciiTheme="majorHAnsi" w:hAnsiTheme="majorHAnsi" w:cstheme="majorHAnsi"/>
        </w:rPr>
        <w:br/>
      </w:r>
      <w:r w:rsidRPr="00322DD0">
        <w:rPr>
          <w:rFonts w:asciiTheme="majorHAnsi" w:eastAsiaTheme="majorEastAsia" w:hAnsiTheme="majorHAnsi" w:cstheme="majorHAnsi"/>
          <w:color w:val="17365D" w:themeColor="text2" w:themeShade="BF"/>
          <w:spacing w:val="5"/>
          <w:kern w:val="28"/>
          <w:sz w:val="40"/>
          <w:szCs w:val="40"/>
        </w:rPr>
        <w:t>Project Overview</w:t>
      </w:r>
      <w:r w:rsidRPr="00322DD0">
        <w:rPr>
          <w:rFonts w:asciiTheme="majorHAnsi" w:hAnsiTheme="majorHAnsi" w:cstheme="majorHAnsi"/>
        </w:rPr>
        <w:br/>
        <w:t>In this project, I analyze how companies’ ESG (Environmental, Social, and Governance) performance relates to their financial results and environmental impact.</w:t>
      </w:r>
    </w:p>
    <w:p w14:paraId="64A4DF23" w14:textId="77777777" w:rsidR="00D82755" w:rsidRPr="00322DD0" w:rsidRDefault="00000000">
      <w:pPr>
        <w:rPr>
          <w:rFonts w:asciiTheme="majorHAnsi" w:hAnsiTheme="majorHAnsi" w:cstheme="majorHAnsi"/>
        </w:rPr>
      </w:pPr>
      <w:r w:rsidRPr="00322DD0">
        <w:rPr>
          <w:rFonts w:asciiTheme="majorHAnsi" w:hAnsiTheme="majorHAnsi" w:cstheme="majorHAnsi"/>
        </w:rPr>
        <w:t>In my previous study, “ESG, CSR, and Sustainability Practices Around the World,” our group explored sustainability and corporate responsibility from a theoretical perspective.</w:t>
      </w:r>
      <w:r w:rsidRPr="00322DD0">
        <w:rPr>
          <w:rFonts w:asciiTheme="majorHAnsi" w:hAnsiTheme="majorHAnsi" w:cstheme="majorHAnsi"/>
        </w:rPr>
        <w:br/>
        <w:t>Now, I am taking the next step individually — using data science to examine how these ideas translate into real corporate performance outcomes.</w:t>
      </w:r>
    </w:p>
    <w:p w14:paraId="2411266C" w14:textId="77777777" w:rsidR="00D82755" w:rsidRPr="00322DD0" w:rsidRDefault="00000000">
      <w:pPr>
        <w:rPr>
          <w:rFonts w:asciiTheme="majorHAnsi" w:hAnsiTheme="majorHAnsi" w:cstheme="majorHAnsi"/>
        </w:rPr>
      </w:pPr>
      <w:r w:rsidRPr="00322DD0">
        <w:rPr>
          <w:rFonts w:asciiTheme="majorHAnsi" w:hAnsiTheme="majorHAnsi" w:cstheme="majorHAnsi"/>
        </w:rPr>
        <w:t>Here, ESG scores serve as indicators of how responsibly, efficiently, and transparently companies operate across environmental, social, and governance dimensions.</w:t>
      </w:r>
    </w:p>
    <w:p w14:paraId="40FBB581" w14:textId="77777777" w:rsidR="00D82755" w:rsidRPr="00322DD0" w:rsidRDefault="00000000">
      <w:pPr>
        <w:rPr>
          <w:rFonts w:asciiTheme="majorHAnsi" w:hAnsiTheme="majorHAnsi" w:cstheme="majorHAnsi"/>
        </w:rPr>
      </w:pPr>
      <w:r w:rsidRPr="00322DD0">
        <w:rPr>
          <w:rFonts w:asciiTheme="majorHAnsi" w:hAnsiTheme="majorHAnsi" w:cstheme="majorHAnsi"/>
        </w:rPr>
        <w:t>Using a dataset of 1,000 global companies from 2015 to 2025, this project examines whether companies that demonstrate stronger sustainability performance also perform better financially and reduce their environmental footprint over time.</w:t>
      </w:r>
    </w:p>
    <w:p w14:paraId="136EFF84" w14:textId="77777777" w:rsidR="00D82755" w:rsidRPr="00322DD0" w:rsidRDefault="00000000">
      <w:pPr>
        <w:rPr>
          <w:rFonts w:asciiTheme="majorHAnsi" w:hAnsiTheme="majorHAnsi" w:cstheme="majorHAnsi"/>
        </w:rPr>
      </w:pPr>
      <w:r w:rsidRPr="00322DD0">
        <w:rPr>
          <w:rFonts w:asciiTheme="majorHAnsi" w:eastAsiaTheme="majorEastAsia" w:hAnsiTheme="majorHAnsi" w:cstheme="majorHAnsi"/>
          <w:color w:val="17365D" w:themeColor="text2" w:themeShade="BF"/>
          <w:spacing w:val="5"/>
          <w:kern w:val="28"/>
          <w:sz w:val="40"/>
          <w:szCs w:val="40"/>
        </w:rPr>
        <w:t>Motivation</w:t>
      </w:r>
      <w:r w:rsidRPr="00322DD0">
        <w:rPr>
          <w:rFonts w:asciiTheme="majorHAnsi" w:hAnsiTheme="majorHAnsi" w:cstheme="majorHAnsi"/>
        </w:rPr>
        <w:br/>
        <w:t>Sustainability has become a global business priority — yet there’s still debate over whether it’s profitable or simply a moral responsibility.</w:t>
      </w:r>
    </w:p>
    <w:p w14:paraId="244D22C7" w14:textId="77777777" w:rsidR="00D82755" w:rsidRPr="00322DD0" w:rsidRDefault="00000000">
      <w:pPr>
        <w:rPr>
          <w:rFonts w:asciiTheme="majorHAnsi" w:hAnsiTheme="majorHAnsi" w:cstheme="majorHAnsi"/>
        </w:rPr>
      </w:pPr>
      <w:r w:rsidRPr="00322DD0">
        <w:rPr>
          <w:rFonts w:asciiTheme="majorHAnsi" w:hAnsiTheme="majorHAnsi" w:cstheme="majorHAnsi"/>
        </w:rPr>
        <w:t>After studying the theory behind ESG and CSR, I wanted to explore the data side:</w:t>
      </w:r>
    </w:p>
    <w:p w14:paraId="3E3BEC22" w14:textId="77777777" w:rsidR="00D82755" w:rsidRPr="00322DD0" w:rsidRDefault="00000000">
      <w:pPr>
        <w:rPr>
          <w:rFonts w:asciiTheme="majorHAnsi" w:hAnsiTheme="majorHAnsi" w:cstheme="majorHAnsi"/>
        </w:rPr>
      </w:pPr>
      <w:r w:rsidRPr="00322DD0">
        <w:rPr>
          <w:rFonts w:asciiTheme="majorHAnsi" w:hAnsiTheme="majorHAnsi" w:cstheme="majorHAnsi"/>
        </w:rPr>
        <w:t>Do companies that focus on being environmentally and socially responsible perform better financially?</w:t>
      </w:r>
      <w:r w:rsidRPr="00322DD0">
        <w:rPr>
          <w:rFonts w:asciiTheme="majorHAnsi" w:hAnsiTheme="majorHAnsi" w:cstheme="majorHAnsi"/>
        </w:rPr>
        <w:br/>
        <w:t>Do they also show lower environmental impact?</w:t>
      </w:r>
      <w:r w:rsidRPr="00322DD0">
        <w:rPr>
          <w:rFonts w:asciiTheme="majorHAnsi" w:hAnsiTheme="majorHAnsi" w:cstheme="majorHAnsi"/>
        </w:rPr>
        <w:br/>
        <w:t>Does this relationship differ across industries and regions?</w:t>
      </w:r>
    </w:p>
    <w:p w14:paraId="594E0E25" w14:textId="77777777" w:rsidR="00216968" w:rsidRDefault="00000000">
      <w:pPr>
        <w:rPr>
          <w:rFonts w:asciiTheme="majorHAnsi" w:hAnsiTheme="majorHAnsi" w:cstheme="majorHAnsi"/>
        </w:rPr>
      </w:pPr>
      <w:r w:rsidRPr="00322DD0">
        <w:rPr>
          <w:rFonts w:asciiTheme="majorHAnsi" w:hAnsiTheme="majorHAnsi" w:cstheme="majorHAnsi"/>
        </w:rPr>
        <w:t>By combining sustainability metrics with financial performance data, the goal is to uncover patterns that show how ethics and profitability can coexist.</w:t>
      </w:r>
    </w:p>
    <w:p w14:paraId="4768EF82" w14:textId="562B61A6" w:rsidR="00D82755" w:rsidRPr="00322DD0" w:rsidRDefault="00000000">
      <w:pPr>
        <w:rPr>
          <w:rFonts w:asciiTheme="majorHAnsi" w:hAnsiTheme="majorHAnsi" w:cstheme="majorHAnsi"/>
        </w:rPr>
      </w:pPr>
      <w:r w:rsidRPr="00322DD0">
        <w:rPr>
          <w:rFonts w:asciiTheme="majorHAnsi" w:eastAsiaTheme="majorEastAsia" w:hAnsiTheme="majorHAnsi" w:cstheme="majorHAnsi"/>
          <w:color w:val="17365D" w:themeColor="text2" w:themeShade="BF"/>
          <w:spacing w:val="5"/>
          <w:kern w:val="28"/>
          <w:sz w:val="40"/>
          <w:szCs w:val="40"/>
        </w:rPr>
        <w:lastRenderedPageBreak/>
        <w:t>Data Sources</w:t>
      </w:r>
      <w:r w:rsidRPr="00322DD0">
        <w:rPr>
          <w:rFonts w:asciiTheme="majorHAnsi" w:eastAsiaTheme="majorEastAsia" w:hAnsiTheme="majorHAnsi" w:cstheme="majorHAnsi"/>
          <w:color w:val="17365D" w:themeColor="text2" w:themeShade="BF"/>
          <w:spacing w:val="5"/>
          <w:kern w:val="28"/>
          <w:sz w:val="52"/>
          <w:szCs w:val="52"/>
        </w:rPr>
        <w:br/>
      </w:r>
      <w:r w:rsidRPr="00216968">
        <w:rPr>
          <w:rFonts w:asciiTheme="majorHAnsi" w:hAnsiTheme="majorHAnsi" w:cstheme="majorHAnsi"/>
          <w:b/>
          <w:bCs/>
        </w:rPr>
        <w:t>Corporate ESG &amp; Financial Performance Dataset (2015–2025)</w:t>
      </w:r>
      <w:r w:rsidRPr="00322DD0">
        <w:rPr>
          <w:rFonts w:asciiTheme="majorHAnsi" w:hAnsiTheme="majorHAnsi" w:cstheme="majorHAnsi"/>
        </w:rPr>
        <w:br/>
        <w:t>Source: Kaggle</w:t>
      </w:r>
      <w:r w:rsidRPr="00322DD0">
        <w:rPr>
          <w:rFonts w:asciiTheme="majorHAnsi" w:hAnsiTheme="majorHAnsi" w:cstheme="majorHAnsi"/>
        </w:rPr>
        <w:br/>
        <w:t>https://www.kaggle.com/datasets/shriyashjagtap/esg-and-financial-performance-dataset</w:t>
      </w:r>
    </w:p>
    <w:tbl>
      <w:tblPr>
        <w:tblStyle w:val="PlainTable4"/>
        <w:tblW w:w="0" w:type="auto"/>
        <w:tblLook w:val="04A0" w:firstRow="1" w:lastRow="0" w:firstColumn="1" w:lastColumn="0" w:noHBand="0" w:noVBand="1"/>
      </w:tblPr>
      <w:tblGrid>
        <w:gridCol w:w="4320"/>
        <w:gridCol w:w="4320"/>
      </w:tblGrid>
      <w:tr w:rsidR="001C50EF" w:rsidRPr="001C50EF" w14:paraId="716AA29E" w14:textId="77777777" w:rsidTr="001C50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4E3065C" w14:textId="77777777" w:rsidR="001C50EF" w:rsidRPr="001C50EF" w:rsidRDefault="001C50EF" w:rsidP="001C50EF">
            <w:pPr>
              <w:rPr>
                <w:rFonts w:asciiTheme="majorHAnsi" w:hAnsiTheme="majorHAnsi" w:cstheme="majorHAnsi"/>
              </w:rPr>
            </w:pPr>
            <w:r w:rsidRPr="001C50EF">
              <w:rPr>
                <w:rFonts w:asciiTheme="majorHAnsi" w:hAnsiTheme="majorHAnsi" w:cstheme="majorHAnsi"/>
              </w:rPr>
              <w:t>Category</w:t>
            </w:r>
          </w:p>
        </w:tc>
        <w:tc>
          <w:tcPr>
            <w:tcW w:w="4320" w:type="dxa"/>
            <w:hideMark/>
          </w:tcPr>
          <w:p w14:paraId="3477C26D" w14:textId="77777777" w:rsidR="001C50EF" w:rsidRPr="001C50EF" w:rsidRDefault="001C50EF" w:rsidP="001C50E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C50EF">
              <w:rPr>
                <w:rFonts w:asciiTheme="majorHAnsi" w:hAnsiTheme="majorHAnsi" w:cstheme="majorHAnsi"/>
              </w:rPr>
              <w:t>Columns</w:t>
            </w:r>
          </w:p>
        </w:tc>
      </w:tr>
      <w:tr w:rsidR="001C50EF" w:rsidRPr="001C50EF" w14:paraId="1CD46836" w14:textId="77777777" w:rsidTr="001C5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2ED6B21" w14:textId="0319BFCB" w:rsidR="001C50EF" w:rsidRPr="001C50EF" w:rsidRDefault="001C50EF" w:rsidP="001C50EF">
            <w:pPr>
              <w:tabs>
                <w:tab w:val="left" w:pos="3228"/>
              </w:tabs>
              <w:rPr>
                <w:rFonts w:asciiTheme="majorHAnsi" w:hAnsiTheme="majorHAnsi" w:cstheme="majorHAnsi"/>
              </w:rPr>
            </w:pPr>
            <w:r w:rsidRPr="001C50EF">
              <w:rPr>
                <w:rFonts w:asciiTheme="majorHAnsi" w:hAnsiTheme="majorHAnsi" w:cstheme="majorHAnsi"/>
              </w:rPr>
              <w:t>Financials</w:t>
            </w:r>
            <w:r>
              <w:rPr>
                <w:rFonts w:asciiTheme="majorHAnsi" w:hAnsiTheme="majorHAnsi" w:cstheme="majorHAnsi"/>
              </w:rPr>
              <w:tab/>
            </w:r>
          </w:p>
        </w:tc>
        <w:tc>
          <w:tcPr>
            <w:tcW w:w="4320" w:type="dxa"/>
            <w:hideMark/>
          </w:tcPr>
          <w:p w14:paraId="0933A1D7" w14:textId="77777777" w:rsidR="001C50EF" w:rsidRPr="001C50EF" w:rsidRDefault="001C50EF" w:rsidP="001C50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1C50EF">
              <w:rPr>
                <w:rFonts w:asciiTheme="majorHAnsi" w:hAnsiTheme="majorHAnsi" w:cstheme="majorHAnsi"/>
              </w:rPr>
              <w:t xml:space="preserve">Revenue, </w:t>
            </w:r>
            <w:proofErr w:type="spellStart"/>
            <w:r w:rsidRPr="001C50EF">
              <w:rPr>
                <w:rFonts w:asciiTheme="majorHAnsi" w:hAnsiTheme="majorHAnsi" w:cstheme="majorHAnsi"/>
              </w:rPr>
              <w:t>ProfitMargin</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MarketCap</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GrowthRate</w:t>
            </w:r>
            <w:proofErr w:type="spellEnd"/>
          </w:p>
        </w:tc>
      </w:tr>
      <w:tr w:rsidR="001C50EF" w:rsidRPr="001C50EF" w14:paraId="76591D7E" w14:textId="77777777" w:rsidTr="001C50EF">
        <w:tc>
          <w:tcPr>
            <w:cnfStyle w:val="001000000000" w:firstRow="0" w:lastRow="0" w:firstColumn="1" w:lastColumn="0" w:oddVBand="0" w:evenVBand="0" w:oddHBand="0" w:evenHBand="0" w:firstRowFirstColumn="0" w:firstRowLastColumn="0" w:lastRowFirstColumn="0" w:lastRowLastColumn="0"/>
            <w:tcW w:w="4320" w:type="dxa"/>
            <w:hideMark/>
          </w:tcPr>
          <w:p w14:paraId="1BAE8E73" w14:textId="77777777" w:rsidR="001C50EF" w:rsidRPr="001C50EF" w:rsidRDefault="001C50EF" w:rsidP="001C50EF">
            <w:pPr>
              <w:rPr>
                <w:rFonts w:asciiTheme="majorHAnsi" w:hAnsiTheme="majorHAnsi" w:cstheme="majorHAnsi"/>
              </w:rPr>
            </w:pPr>
            <w:r w:rsidRPr="001C50EF">
              <w:rPr>
                <w:rFonts w:asciiTheme="majorHAnsi" w:hAnsiTheme="majorHAnsi" w:cstheme="majorHAnsi"/>
              </w:rPr>
              <w:t>ESG Scores</w:t>
            </w:r>
          </w:p>
        </w:tc>
        <w:tc>
          <w:tcPr>
            <w:tcW w:w="4320" w:type="dxa"/>
            <w:hideMark/>
          </w:tcPr>
          <w:p w14:paraId="129B9969" w14:textId="77777777" w:rsidR="001C50EF" w:rsidRPr="001C50EF" w:rsidRDefault="001C50EF" w:rsidP="001C50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1C50EF">
              <w:rPr>
                <w:rFonts w:asciiTheme="majorHAnsi" w:hAnsiTheme="majorHAnsi" w:cstheme="majorHAnsi"/>
              </w:rPr>
              <w:t>ESG_Overall</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ESG_Environmental</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ESG_Social</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ESG_Governance</w:t>
            </w:r>
            <w:proofErr w:type="spellEnd"/>
          </w:p>
        </w:tc>
      </w:tr>
      <w:tr w:rsidR="001C50EF" w:rsidRPr="001C50EF" w14:paraId="3B914DC4" w14:textId="77777777" w:rsidTr="001C5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3CD6E7F" w14:textId="77777777" w:rsidR="001C50EF" w:rsidRPr="001C50EF" w:rsidRDefault="001C50EF" w:rsidP="001C50EF">
            <w:pPr>
              <w:rPr>
                <w:rFonts w:asciiTheme="majorHAnsi" w:hAnsiTheme="majorHAnsi" w:cstheme="majorHAnsi"/>
              </w:rPr>
            </w:pPr>
            <w:r w:rsidRPr="001C50EF">
              <w:rPr>
                <w:rFonts w:asciiTheme="majorHAnsi" w:hAnsiTheme="majorHAnsi" w:cstheme="majorHAnsi"/>
              </w:rPr>
              <w:t>Environmental Impact</w:t>
            </w:r>
          </w:p>
        </w:tc>
        <w:tc>
          <w:tcPr>
            <w:tcW w:w="4320" w:type="dxa"/>
            <w:hideMark/>
          </w:tcPr>
          <w:p w14:paraId="0B14E491" w14:textId="77777777" w:rsidR="001C50EF" w:rsidRPr="001C50EF" w:rsidRDefault="001C50EF" w:rsidP="001C50E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proofErr w:type="gramStart"/>
            <w:r w:rsidRPr="001C50EF">
              <w:rPr>
                <w:rFonts w:asciiTheme="majorHAnsi" w:hAnsiTheme="majorHAnsi" w:cstheme="majorHAnsi"/>
              </w:rPr>
              <w:t>CarbonEmissions</w:t>
            </w:r>
            <w:proofErr w:type="spellEnd"/>
            <w:proofErr w:type="gramEnd"/>
            <w:r w:rsidRPr="001C50EF">
              <w:rPr>
                <w:rFonts w:asciiTheme="majorHAnsi" w:hAnsiTheme="majorHAnsi" w:cstheme="majorHAnsi"/>
              </w:rPr>
              <w:t xml:space="preserve">, </w:t>
            </w:r>
            <w:proofErr w:type="spellStart"/>
            <w:r w:rsidRPr="001C50EF">
              <w:rPr>
                <w:rFonts w:asciiTheme="majorHAnsi" w:hAnsiTheme="majorHAnsi" w:cstheme="majorHAnsi"/>
              </w:rPr>
              <w:t>WaterUsage</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EnergyConsumption</w:t>
            </w:r>
            <w:proofErr w:type="spellEnd"/>
          </w:p>
        </w:tc>
      </w:tr>
      <w:tr w:rsidR="001C50EF" w:rsidRPr="001C50EF" w14:paraId="550B8DCA" w14:textId="77777777" w:rsidTr="001C50EF">
        <w:tc>
          <w:tcPr>
            <w:cnfStyle w:val="001000000000" w:firstRow="0" w:lastRow="0" w:firstColumn="1" w:lastColumn="0" w:oddVBand="0" w:evenVBand="0" w:oddHBand="0" w:evenHBand="0" w:firstRowFirstColumn="0" w:firstRowLastColumn="0" w:lastRowFirstColumn="0" w:lastRowLastColumn="0"/>
            <w:tcW w:w="4320" w:type="dxa"/>
            <w:hideMark/>
          </w:tcPr>
          <w:p w14:paraId="50612FCB" w14:textId="77777777" w:rsidR="001C50EF" w:rsidRPr="001C50EF" w:rsidRDefault="001C50EF" w:rsidP="001C50EF">
            <w:pPr>
              <w:rPr>
                <w:rFonts w:asciiTheme="majorHAnsi" w:hAnsiTheme="majorHAnsi" w:cstheme="majorHAnsi"/>
              </w:rPr>
            </w:pPr>
            <w:r w:rsidRPr="001C50EF">
              <w:rPr>
                <w:rFonts w:asciiTheme="majorHAnsi" w:hAnsiTheme="majorHAnsi" w:cstheme="majorHAnsi"/>
              </w:rPr>
              <w:t>Context</w:t>
            </w:r>
          </w:p>
        </w:tc>
        <w:tc>
          <w:tcPr>
            <w:tcW w:w="4320" w:type="dxa"/>
            <w:hideMark/>
          </w:tcPr>
          <w:p w14:paraId="3B73658C" w14:textId="77777777" w:rsidR="001C50EF" w:rsidRPr="001C50EF" w:rsidRDefault="001C50EF" w:rsidP="001C50E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C50EF">
              <w:rPr>
                <w:rFonts w:asciiTheme="majorHAnsi" w:hAnsiTheme="majorHAnsi" w:cstheme="majorHAnsi"/>
              </w:rPr>
              <w:t>Industry, Region, Year</w:t>
            </w:r>
          </w:p>
        </w:tc>
      </w:tr>
    </w:tbl>
    <w:p w14:paraId="644014DF" w14:textId="77777777" w:rsidR="001C50EF" w:rsidRDefault="001C50EF">
      <w:pPr>
        <w:rPr>
          <w:rFonts w:asciiTheme="majorHAnsi" w:hAnsiTheme="majorHAnsi" w:cstheme="majorHAnsi"/>
          <w:b/>
          <w:bCs/>
        </w:rPr>
      </w:pPr>
    </w:p>
    <w:p w14:paraId="1F09116B" w14:textId="1D2309EA" w:rsidR="00D82755" w:rsidRPr="00322DD0" w:rsidRDefault="00000000">
      <w:pPr>
        <w:rPr>
          <w:rFonts w:asciiTheme="majorHAnsi" w:hAnsiTheme="majorHAnsi" w:cstheme="majorHAnsi"/>
        </w:rPr>
      </w:pPr>
      <w:r w:rsidRPr="00216968">
        <w:rPr>
          <w:rFonts w:asciiTheme="majorHAnsi" w:hAnsiTheme="majorHAnsi" w:cstheme="majorHAnsi"/>
          <w:b/>
          <w:bCs/>
        </w:rPr>
        <w:t>Additional Context Dataset: Regional GDP (2015–2025)</w:t>
      </w:r>
      <w:r w:rsidRPr="00216968">
        <w:rPr>
          <w:rFonts w:asciiTheme="majorHAnsi" w:hAnsiTheme="majorHAnsi" w:cstheme="majorHAnsi"/>
          <w:b/>
          <w:bCs/>
        </w:rPr>
        <w:br/>
      </w:r>
      <w:r w:rsidRPr="00322DD0">
        <w:rPr>
          <w:rFonts w:asciiTheme="majorHAnsi" w:hAnsiTheme="majorHAnsi" w:cstheme="majorHAnsi"/>
        </w:rPr>
        <w:t>Source: IMF World Economic Outlook (WEO)</w:t>
      </w:r>
      <w:r w:rsidRPr="00322DD0">
        <w:rPr>
          <w:rFonts w:asciiTheme="majorHAnsi" w:hAnsiTheme="majorHAnsi" w:cstheme="majorHAnsi"/>
        </w:rPr>
        <w:br/>
        <w:t>https://www.imf.org/en/Publications/WEO/weo-database/2025/april/select-country-group</w:t>
      </w:r>
    </w:p>
    <w:p w14:paraId="39EDE9F2" w14:textId="77777777" w:rsidR="00D82755" w:rsidRPr="00322DD0" w:rsidRDefault="00000000">
      <w:pPr>
        <w:rPr>
          <w:rFonts w:asciiTheme="majorHAnsi" w:hAnsiTheme="majorHAnsi" w:cstheme="majorHAnsi"/>
        </w:rPr>
      </w:pPr>
      <w:r w:rsidRPr="00216968">
        <w:rPr>
          <w:rFonts w:asciiTheme="majorHAnsi" w:hAnsiTheme="majorHAnsi" w:cstheme="majorHAnsi"/>
          <w:b/>
          <w:bCs/>
        </w:rPr>
        <w:t>Role of GDP in This Project:</w:t>
      </w:r>
      <w:r w:rsidRPr="00322DD0">
        <w:rPr>
          <w:rFonts w:asciiTheme="majorHAnsi" w:hAnsiTheme="majorHAnsi" w:cstheme="majorHAnsi"/>
        </w:rPr>
        <w:br/>
        <w:t>GDP will be used as a contextual comparison, to examine whether regions with higher GDP also tend to show higher ESG performance and higher ProfitMargin.</w:t>
      </w:r>
    </w:p>
    <w:p w14:paraId="7734CBF7" w14:textId="77777777" w:rsidR="00D82755" w:rsidRPr="00322DD0" w:rsidRDefault="00000000">
      <w:pPr>
        <w:rPr>
          <w:rFonts w:asciiTheme="majorHAnsi" w:hAnsiTheme="majorHAnsi" w:cstheme="majorHAnsi"/>
        </w:rPr>
      </w:pPr>
      <w:r w:rsidRPr="00322DD0">
        <w:rPr>
          <w:rFonts w:asciiTheme="majorHAnsi" w:eastAsiaTheme="majorEastAsia" w:hAnsiTheme="majorHAnsi" w:cstheme="majorHAnsi"/>
          <w:color w:val="17365D" w:themeColor="text2" w:themeShade="BF"/>
          <w:spacing w:val="5"/>
          <w:kern w:val="28"/>
          <w:sz w:val="40"/>
          <w:szCs w:val="40"/>
        </w:rPr>
        <w:t>Tools &amp; Technologies</w:t>
      </w:r>
      <w:r w:rsidRPr="00322DD0">
        <w:rPr>
          <w:rFonts w:asciiTheme="majorHAnsi" w:hAnsiTheme="majorHAnsi" w:cstheme="majorHAnsi"/>
        </w:rPr>
        <w:br/>
        <w:t>Python</w:t>
      </w:r>
      <w:r w:rsidRPr="00322DD0">
        <w:rPr>
          <w:rFonts w:asciiTheme="majorHAnsi" w:hAnsiTheme="majorHAnsi" w:cstheme="majorHAnsi"/>
        </w:rPr>
        <w:br/>
        <w:t>Pandas &amp; NumPy — data processing</w:t>
      </w:r>
      <w:r w:rsidRPr="00322DD0">
        <w:rPr>
          <w:rFonts w:asciiTheme="majorHAnsi" w:hAnsiTheme="majorHAnsi" w:cstheme="majorHAnsi"/>
        </w:rPr>
        <w:br/>
        <w:t>Matplotlib &amp; Seaborn — data visualization</w:t>
      </w:r>
      <w:r w:rsidRPr="00322DD0">
        <w:rPr>
          <w:rFonts w:asciiTheme="majorHAnsi" w:hAnsiTheme="majorHAnsi" w:cstheme="majorHAnsi"/>
        </w:rPr>
        <w:br/>
        <w:t>Statsmodels / SciPy — statistical analysis</w:t>
      </w:r>
      <w:r w:rsidRPr="00322DD0">
        <w:rPr>
          <w:rFonts w:asciiTheme="majorHAnsi" w:hAnsiTheme="majorHAnsi" w:cstheme="majorHAnsi"/>
        </w:rPr>
        <w:br/>
        <w:t>Scikit-Learn — regression &amp; clustering</w:t>
      </w:r>
    </w:p>
    <w:p w14:paraId="3F81C7E1" w14:textId="77777777" w:rsidR="00D82755" w:rsidRPr="00322DD0" w:rsidRDefault="00000000">
      <w:pPr>
        <w:rPr>
          <w:rFonts w:asciiTheme="majorHAnsi" w:hAnsiTheme="majorHAnsi" w:cstheme="majorHAnsi"/>
        </w:rPr>
      </w:pPr>
      <w:r w:rsidRPr="00322DD0">
        <w:rPr>
          <w:rFonts w:asciiTheme="majorHAnsi" w:eastAsiaTheme="majorEastAsia" w:hAnsiTheme="majorHAnsi" w:cstheme="majorHAnsi"/>
          <w:color w:val="17365D" w:themeColor="text2" w:themeShade="BF"/>
          <w:spacing w:val="5"/>
          <w:kern w:val="28"/>
          <w:sz w:val="40"/>
          <w:szCs w:val="40"/>
        </w:rPr>
        <w:t>Research Hypothesis</w:t>
      </w:r>
      <w:r w:rsidRPr="00322DD0">
        <w:rPr>
          <w:rFonts w:asciiTheme="majorHAnsi" w:hAnsiTheme="majorHAnsi" w:cstheme="majorHAnsi"/>
        </w:rPr>
        <w:br/>
      </w:r>
      <w:r w:rsidRPr="00216968">
        <w:rPr>
          <w:rFonts w:asciiTheme="majorHAnsi" w:hAnsiTheme="majorHAnsi" w:cstheme="majorHAnsi"/>
          <w:b/>
          <w:bCs/>
        </w:rPr>
        <w:t>H0 (Null Hypothesis):</w:t>
      </w:r>
      <w:r w:rsidRPr="00322DD0">
        <w:rPr>
          <w:rFonts w:asciiTheme="majorHAnsi" w:hAnsiTheme="majorHAnsi" w:cstheme="majorHAnsi"/>
        </w:rPr>
        <w:t xml:space="preserve"> ESG performance has no meaningful relationship with financial or environmental outcomes.</w:t>
      </w:r>
      <w:r w:rsidRPr="00322DD0">
        <w:rPr>
          <w:rFonts w:asciiTheme="majorHAnsi" w:hAnsiTheme="majorHAnsi" w:cstheme="majorHAnsi"/>
        </w:rPr>
        <w:br/>
      </w:r>
      <w:r w:rsidRPr="00216968">
        <w:rPr>
          <w:rFonts w:asciiTheme="majorHAnsi" w:hAnsiTheme="majorHAnsi" w:cstheme="majorHAnsi"/>
          <w:b/>
          <w:bCs/>
        </w:rPr>
        <w:t>H1 (Alternative Hypothesis):</w:t>
      </w:r>
      <w:r w:rsidRPr="00322DD0">
        <w:rPr>
          <w:rFonts w:asciiTheme="majorHAnsi" w:hAnsiTheme="majorHAnsi" w:cstheme="majorHAnsi"/>
        </w:rPr>
        <w:t xml:space="preserve"> Companies with higher ESG performance tend to exhibit better financial performance and lower environmental impact.</w:t>
      </w:r>
    </w:p>
    <w:p w14:paraId="4C6F6A9D" w14:textId="77777777" w:rsidR="001C50EF" w:rsidRDefault="001C50EF">
      <w:pPr>
        <w:rPr>
          <w:rFonts w:asciiTheme="majorHAnsi" w:eastAsiaTheme="majorEastAsia" w:hAnsiTheme="majorHAnsi" w:cstheme="majorHAnsi"/>
          <w:color w:val="17365D" w:themeColor="text2" w:themeShade="BF"/>
          <w:spacing w:val="5"/>
          <w:kern w:val="28"/>
          <w:sz w:val="40"/>
          <w:szCs w:val="40"/>
        </w:rPr>
      </w:pPr>
    </w:p>
    <w:p w14:paraId="396CD105" w14:textId="77777777" w:rsidR="001C50EF" w:rsidRDefault="001C50EF">
      <w:pPr>
        <w:rPr>
          <w:rFonts w:asciiTheme="majorHAnsi" w:eastAsiaTheme="majorEastAsia" w:hAnsiTheme="majorHAnsi" w:cstheme="majorHAnsi"/>
          <w:color w:val="17365D" w:themeColor="text2" w:themeShade="BF"/>
          <w:spacing w:val="5"/>
          <w:kern w:val="28"/>
          <w:sz w:val="40"/>
          <w:szCs w:val="40"/>
        </w:rPr>
      </w:pPr>
    </w:p>
    <w:p w14:paraId="70DDD408" w14:textId="6959E9D7" w:rsidR="00D82755" w:rsidRPr="00322DD0" w:rsidRDefault="00000000">
      <w:pPr>
        <w:rPr>
          <w:rFonts w:asciiTheme="majorHAnsi" w:hAnsiTheme="majorHAnsi" w:cstheme="majorHAnsi"/>
        </w:rPr>
      </w:pPr>
      <w:r w:rsidRPr="00322DD0">
        <w:rPr>
          <w:rFonts w:asciiTheme="majorHAnsi" w:eastAsiaTheme="majorEastAsia" w:hAnsiTheme="majorHAnsi" w:cstheme="majorHAnsi"/>
          <w:color w:val="17365D" w:themeColor="text2" w:themeShade="BF"/>
          <w:spacing w:val="5"/>
          <w:kern w:val="28"/>
          <w:sz w:val="40"/>
          <w:szCs w:val="40"/>
        </w:rPr>
        <w:lastRenderedPageBreak/>
        <w:t>Data Analysis</w:t>
      </w:r>
      <w:r w:rsidRPr="00322DD0">
        <w:rPr>
          <w:rFonts w:asciiTheme="majorHAnsi" w:hAnsiTheme="majorHAnsi" w:cstheme="majorHAnsi"/>
        </w:rPr>
        <w:br/>
      </w:r>
      <w:r w:rsidRPr="00322DD0">
        <w:rPr>
          <w:rFonts w:asciiTheme="majorHAnsi" w:hAnsiTheme="majorHAnsi" w:cstheme="majorHAnsi"/>
          <w:b/>
          <w:bCs/>
        </w:rPr>
        <w:t>1. Data Preprocessing &amp; Cleaning</w:t>
      </w:r>
      <w:r w:rsidRPr="00322DD0">
        <w:rPr>
          <w:rFonts w:asciiTheme="majorHAnsi" w:hAnsiTheme="majorHAnsi" w:cstheme="majorHAnsi"/>
        </w:rPr>
        <w:br/>
        <w:t>Data Quality: Duplicate records were checked and removed. Rows with missing values in critical target variables (Revenue, ProfitMargin, ESG_Overall) were dropped.</w:t>
      </w:r>
      <w:r w:rsidRPr="00322DD0">
        <w:rPr>
          <w:rFonts w:asciiTheme="majorHAnsi" w:hAnsiTheme="majorHAnsi" w:cstheme="majorHAnsi"/>
        </w:rPr>
        <w:br/>
        <w:t>Imputation: Missing GrowthRate values were filled using industry-specific medians.</w:t>
      </w:r>
      <w:r w:rsidRPr="00322DD0">
        <w:rPr>
          <w:rFonts w:asciiTheme="majorHAnsi" w:hAnsiTheme="majorHAnsi" w:cstheme="majorHAnsi"/>
        </w:rPr>
        <w:br/>
        <w:t>GDP Processing: IMF GDP data was transformed from wide to long format and cleaned for numeric consistency.</w:t>
      </w:r>
    </w:p>
    <w:p w14:paraId="6F82D444" w14:textId="77777777" w:rsidR="00216968" w:rsidRDefault="00216968">
      <w:pPr>
        <w:rPr>
          <w:rFonts w:asciiTheme="majorHAnsi" w:hAnsiTheme="majorHAnsi" w:cstheme="majorHAnsi"/>
          <w:b/>
          <w:bCs/>
        </w:rPr>
      </w:pPr>
    </w:p>
    <w:p w14:paraId="091C3A2F" w14:textId="09162E2A" w:rsidR="00D82755" w:rsidRPr="00216968" w:rsidRDefault="00000000" w:rsidP="00216968">
      <w:pPr>
        <w:rPr>
          <w:rFonts w:asciiTheme="majorHAnsi" w:hAnsiTheme="majorHAnsi" w:cstheme="majorHAnsi"/>
          <w:b/>
          <w:bCs/>
        </w:rPr>
      </w:pPr>
      <w:r w:rsidRPr="00322DD0">
        <w:rPr>
          <w:rFonts w:asciiTheme="majorHAnsi" w:hAnsiTheme="majorHAnsi" w:cstheme="majorHAnsi"/>
          <w:b/>
          <w:bCs/>
        </w:rPr>
        <w:t>Regional Aggregation Strategy:</w:t>
      </w:r>
      <w:r w:rsidRPr="00322DD0">
        <w:rPr>
          <w:rFonts w:asciiTheme="majorHAnsi" w:hAnsiTheme="majorHAnsi" w:cstheme="majorHAnsi"/>
        </w:rPr>
        <w:br/>
        <w:t>Step A (Mapping): 196 countries were mapped into 7 ESG regions.</w:t>
      </w:r>
      <w:r w:rsidRPr="00322DD0">
        <w:rPr>
          <w:rFonts w:asciiTheme="majorHAnsi" w:hAnsiTheme="majorHAnsi" w:cstheme="majorHAnsi"/>
        </w:rPr>
        <w:br/>
        <w:t>Step B (Aggregation): GDP values were summed by Region and Year.</w:t>
      </w:r>
      <w:r w:rsidRPr="00322DD0">
        <w:rPr>
          <w:rFonts w:asciiTheme="majorHAnsi" w:hAnsiTheme="majorHAnsi" w:cstheme="majorHAnsi"/>
        </w:rPr>
        <w:br/>
        <w:t>Step C (Merge): ESG and GDP datasets were merged using Region and Year keys.</w:t>
      </w:r>
    </w:p>
    <w:p w14:paraId="1AF0D98B" w14:textId="77777777" w:rsidR="00D82755" w:rsidRPr="00322DD0" w:rsidRDefault="00000000">
      <w:pPr>
        <w:rPr>
          <w:rFonts w:asciiTheme="majorHAnsi" w:hAnsiTheme="majorHAnsi" w:cstheme="majorHAnsi"/>
        </w:rPr>
      </w:pPr>
      <w:r w:rsidRPr="00322DD0">
        <w:rPr>
          <w:rFonts w:asciiTheme="majorHAnsi" w:hAnsiTheme="majorHAnsi" w:cstheme="majorHAnsi"/>
          <w:b/>
          <w:bCs/>
        </w:rPr>
        <w:t>2. Summary Statistics</w:t>
      </w:r>
      <w:r w:rsidRPr="00322DD0">
        <w:rPr>
          <w:rFonts w:asciiTheme="majorHAnsi" w:hAnsiTheme="majorHAnsi" w:cstheme="majorHAnsi"/>
        </w:rPr>
        <w:br/>
        <w:t>Completeness Verification:</w:t>
      </w:r>
      <w:r w:rsidRPr="00322DD0">
        <w:rPr>
          <w:rFonts w:asciiTheme="majorHAnsi" w:hAnsiTheme="majorHAnsi" w:cstheme="majorHAnsi"/>
        </w:rPr>
        <w:br/>
        <w:t>After preprocessing and merging, zero missing values remained in key modeling variables.</w:t>
      </w:r>
    </w:p>
    <w:p w14:paraId="24D67361" w14:textId="77777777" w:rsidR="00D82755" w:rsidRPr="00322DD0" w:rsidRDefault="00000000">
      <w:pPr>
        <w:rPr>
          <w:rFonts w:asciiTheme="majorHAnsi" w:hAnsiTheme="majorHAnsi" w:cstheme="majorHAnsi"/>
        </w:rPr>
      </w:pPr>
      <w:r w:rsidRPr="00322DD0">
        <w:rPr>
          <w:rFonts w:asciiTheme="majorHAnsi" w:hAnsiTheme="majorHAnsi" w:cstheme="majorHAnsi"/>
        </w:rPr>
        <w:t>Industry Baselines:</w:t>
      </w:r>
      <w:r w:rsidRPr="00322DD0">
        <w:rPr>
          <w:rFonts w:asciiTheme="majorHAnsi" w:hAnsiTheme="majorHAnsi" w:cstheme="majorHAnsi"/>
        </w:rPr>
        <w:br/>
        <w:t>Significant profitability differences exist across industries, with Technology showing the highest average margins and Transportation the lowest.</w:t>
      </w:r>
    </w:p>
    <w:p w14:paraId="52150776" w14:textId="77777777" w:rsidR="00D82755" w:rsidRPr="00322DD0" w:rsidRDefault="00000000">
      <w:pPr>
        <w:rPr>
          <w:rFonts w:asciiTheme="majorHAnsi" w:hAnsiTheme="majorHAnsi" w:cstheme="majorHAnsi"/>
        </w:rPr>
      </w:pPr>
      <w:r w:rsidRPr="00322DD0">
        <w:rPr>
          <w:rFonts w:asciiTheme="majorHAnsi" w:hAnsiTheme="majorHAnsi" w:cstheme="majorHAnsi"/>
        </w:rPr>
        <w:t>Regional Economic Context:</w:t>
      </w:r>
      <w:r w:rsidRPr="00322DD0">
        <w:rPr>
          <w:rFonts w:asciiTheme="majorHAnsi" w:hAnsiTheme="majorHAnsi" w:cstheme="majorHAnsi"/>
        </w:rPr>
        <w:br/>
        <w:t>Developed regions (North America, Europe) exhibit higher average GDP and ESG scores.</w:t>
      </w:r>
    </w:p>
    <w:p w14:paraId="0BCC0EB1" w14:textId="77777777" w:rsidR="00D82755" w:rsidRPr="00322DD0" w:rsidRDefault="00000000">
      <w:pPr>
        <w:rPr>
          <w:rFonts w:asciiTheme="majorHAnsi" w:hAnsiTheme="majorHAnsi" w:cstheme="majorHAnsi"/>
        </w:rPr>
      </w:pPr>
      <w:r w:rsidRPr="00322DD0">
        <w:rPr>
          <w:rFonts w:asciiTheme="majorHAnsi" w:hAnsiTheme="majorHAnsi" w:cstheme="majorHAnsi"/>
        </w:rPr>
        <w:t>Variable Distributions:</w:t>
      </w:r>
      <w:r w:rsidRPr="00322DD0">
        <w:rPr>
          <w:rFonts w:asciiTheme="majorHAnsi" w:hAnsiTheme="majorHAnsi" w:cstheme="majorHAnsi"/>
        </w:rPr>
        <w:br/>
        <w:t>ESG scores span the full 0–100 range, while ProfitMargin shows clustering patterns used later in clustering analysis.</w:t>
      </w:r>
    </w:p>
    <w:p w14:paraId="4F86CCD5" w14:textId="77777777" w:rsidR="001C50EF" w:rsidRDefault="001C50EF">
      <w:pPr>
        <w:rPr>
          <w:rFonts w:asciiTheme="majorHAnsi" w:hAnsiTheme="majorHAnsi" w:cstheme="majorHAnsi"/>
          <w:b/>
          <w:bCs/>
        </w:rPr>
      </w:pPr>
    </w:p>
    <w:p w14:paraId="4995CCAE" w14:textId="77777777" w:rsidR="001C50EF" w:rsidRDefault="001C50EF">
      <w:pPr>
        <w:rPr>
          <w:rFonts w:asciiTheme="majorHAnsi" w:hAnsiTheme="majorHAnsi" w:cstheme="majorHAnsi"/>
          <w:b/>
          <w:bCs/>
        </w:rPr>
      </w:pPr>
    </w:p>
    <w:p w14:paraId="5004C718" w14:textId="77777777" w:rsidR="001C50EF" w:rsidRDefault="001C50EF">
      <w:pPr>
        <w:rPr>
          <w:rFonts w:asciiTheme="majorHAnsi" w:hAnsiTheme="majorHAnsi" w:cstheme="majorHAnsi"/>
          <w:b/>
          <w:bCs/>
        </w:rPr>
      </w:pPr>
    </w:p>
    <w:p w14:paraId="3445AD89" w14:textId="77777777" w:rsidR="001C50EF" w:rsidRDefault="001C50EF">
      <w:pPr>
        <w:rPr>
          <w:rFonts w:asciiTheme="majorHAnsi" w:hAnsiTheme="majorHAnsi" w:cstheme="majorHAnsi"/>
          <w:b/>
          <w:bCs/>
        </w:rPr>
      </w:pPr>
    </w:p>
    <w:p w14:paraId="797FBFAF" w14:textId="77777777" w:rsidR="001C50EF" w:rsidRDefault="001C50EF">
      <w:pPr>
        <w:rPr>
          <w:rFonts w:asciiTheme="majorHAnsi" w:hAnsiTheme="majorHAnsi" w:cstheme="majorHAnsi"/>
          <w:b/>
          <w:bCs/>
        </w:rPr>
      </w:pPr>
    </w:p>
    <w:p w14:paraId="01E847C4" w14:textId="77777777" w:rsidR="001C50EF" w:rsidRDefault="001C50EF">
      <w:pPr>
        <w:rPr>
          <w:rFonts w:asciiTheme="majorHAnsi" w:hAnsiTheme="majorHAnsi" w:cstheme="majorHAnsi"/>
          <w:b/>
          <w:bCs/>
        </w:rPr>
      </w:pPr>
    </w:p>
    <w:p w14:paraId="2E983A5C" w14:textId="77777777" w:rsidR="001C50EF" w:rsidRDefault="001C50EF">
      <w:pPr>
        <w:rPr>
          <w:rFonts w:asciiTheme="majorHAnsi" w:hAnsiTheme="majorHAnsi" w:cstheme="majorHAnsi"/>
          <w:b/>
          <w:bCs/>
        </w:rPr>
      </w:pPr>
    </w:p>
    <w:p w14:paraId="22AA46EA" w14:textId="77777777" w:rsidR="001C50EF" w:rsidRDefault="001C50EF">
      <w:pPr>
        <w:rPr>
          <w:rFonts w:asciiTheme="majorHAnsi" w:hAnsiTheme="majorHAnsi" w:cstheme="majorHAnsi"/>
          <w:b/>
          <w:bCs/>
        </w:rPr>
      </w:pPr>
    </w:p>
    <w:p w14:paraId="2E5C4118" w14:textId="21039CFD" w:rsidR="00D82755" w:rsidRPr="00322DD0" w:rsidRDefault="00000000">
      <w:pPr>
        <w:rPr>
          <w:rFonts w:asciiTheme="majorHAnsi" w:hAnsiTheme="majorHAnsi" w:cstheme="majorHAnsi"/>
        </w:rPr>
      </w:pPr>
      <w:r w:rsidRPr="00322DD0">
        <w:rPr>
          <w:rFonts w:asciiTheme="majorHAnsi" w:hAnsiTheme="majorHAnsi" w:cstheme="majorHAnsi"/>
          <w:b/>
          <w:bCs/>
        </w:rPr>
        <w:lastRenderedPageBreak/>
        <w:t>3. Visualization</w:t>
      </w:r>
      <w:r w:rsidRPr="00322DD0">
        <w:rPr>
          <w:rFonts w:asciiTheme="majorHAnsi" w:hAnsiTheme="majorHAnsi" w:cstheme="majorHAnsi"/>
        </w:rPr>
        <w:br/>
        <w:t>Four high-impact figures were analyzed, supported by a correlation matrix:</w:t>
      </w:r>
    </w:p>
    <w:p w14:paraId="2E49F65E" w14:textId="1EE2A6EA" w:rsidR="007F2024" w:rsidRPr="001C50EF" w:rsidRDefault="00000000" w:rsidP="001C50EF">
      <w:pPr>
        <w:pStyle w:val="ListParagraph"/>
        <w:numPr>
          <w:ilvl w:val="0"/>
          <w:numId w:val="13"/>
        </w:numPr>
        <w:rPr>
          <w:rFonts w:asciiTheme="majorHAnsi" w:hAnsiTheme="majorHAnsi" w:cstheme="majorHAnsi"/>
        </w:rPr>
      </w:pPr>
      <w:r w:rsidRPr="001C50EF">
        <w:rPr>
          <w:rFonts w:asciiTheme="majorHAnsi" w:hAnsiTheme="majorHAnsi" w:cstheme="majorHAnsi"/>
        </w:rPr>
        <w:t xml:space="preserve">Scatter plot of ESG Score vs. Profit Margin (by </w:t>
      </w:r>
      <w:proofErr w:type="gramStart"/>
      <w:r w:rsidRPr="001C50EF">
        <w:rPr>
          <w:rFonts w:asciiTheme="majorHAnsi" w:hAnsiTheme="majorHAnsi" w:cstheme="majorHAnsi"/>
        </w:rPr>
        <w:t>Region</w:t>
      </w:r>
      <w:proofErr w:type="gramEnd"/>
      <w:r w:rsidRPr="001C50EF">
        <w:rPr>
          <w:rFonts w:asciiTheme="majorHAnsi" w:hAnsiTheme="majorHAnsi" w:cstheme="majorHAnsi"/>
        </w:rPr>
        <w:t>)</w:t>
      </w:r>
    </w:p>
    <w:p w14:paraId="11EEE744" w14:textId="77777777" w:rsidR="007F2024" w:rsidRPr="00322DD0" w:rsidRDefault="007F2024">
      <w:pPr>
        <w:rPr>
          <w:rFonts w:asciiTheme="majorHAnsi" w:hAnsiTheme="majorHAnsi" w:cstheme="majorHAnsi"/>
        </w:rPr>
      </w:pPr>
      <w:r w:rsidRPr="00322DD0">
        <w:rPr>
          <w:rFonts w:asciiTheme="majorHAnsi" w:hAnsiTheme="majorHAnsi" w:cstheme="majorHAnsi"/>
          <w:noProof/>
        </w:rPr>
        <w:drawing>
          <wp:inline distT="0" distB="0" distL="0" distR="0" wp14:anchorId="3A264231" wp14:editId="3882CB2F">
            <wp:extent cx="5486400" cy="3109595"/>
            <wp:effectExtent l="0" t="0" r="0" b="0"/>
            <wp:docPr id="75607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71425" name=""/>
                    <pic:cNvPicPr/>
                  </pic:nvPicPr>
                  <pic:blipFill>
                    <a:blip r:embed="rId6"/>
                    <a:stretch>
                      <a:fillRect/>
                    </a:stretch>
                  </pic:blipFill>
                  <pic:spPr>
                    <a:xfrm>
                      <a:off x="0" y="0"/>
                      <a:ext cx="5486400" cy="3109595"/>
                    </a:xfrm>
                    <a:prstGeom prst="rect">
                      <a:avLst/>
                    </a:prstGeom>
                  </pic:spPr>
                </pic:pic>
              </a:graphicData>
            </a:graphic>
          </wp:inline>
        </w:drawing>
      </w:r>
      <w:r w:rsidRPr="00322DD0">
        <w:rPr>
          <w:rFonts w:asciiTheme="majorHAnsi" w:hAnsiTheme="majorHAnsi" w:cstheme="majorHAnsi"/>
        </w:rPr>
        <w:br/>
      </w:r>
    </w:p>
    <w:p w14:paraId="26860772" w14:textId="77777777" w:rsidR="007F2024" w:rsidRPr="00322DD0" w:rsidRDefault="007F2024">
      <w:pPr>
        <w:rPr>
          <w:rFonts w:asciiTheme="majorHAnsi" w:hAnsiTheme="majorHAnsi" w:cstheme="majorHAnsi"/>
        </w:rPr>
      </w:pPr>
    </w:p>
    <w:p w14:paraId="4E41EA8A" w14:textId="77777777" w:rsidR="007F2024" w:rsidRPr="00322DD0" w:rsidRDefault="007F2024">
      <w:pPr>
        <w:rPr>
          <w:rFonts w:asciiTheme="majorHAnsi" w:hAnsiTheme="majorHAnsi" w:cstheme="majorHAnsi"/>
        </w:rPr>
      </w:pPr>
    </w:p>
    <w:p w14:paraId="46F20F47" w14:textId="75E2F51F" w:rsidR="007F2024" w:rsidRPr="001C50EF" w:rsidRDefault="00000000" w:rsidP="001C50EF">
      <w:pPr>
        <w:pStyle w:val="ListParagraph"/>
        <w:numPr>
          <w:ilvl w:val="0"/>
          <w:numId w:val="13"/>
        </w:numPr>
        <w:rPr>
          <w:rFonts w:asciiTheme="majorHAnsi" w:hAnsiTheme="majorHAnsi" w:cstheme="majorHAnsi"/>
        </w:rPr>
      </w:pPr>
      <w:r w:rsidRPr="001C50EF">
        <w:rPr>
          <w:rFonts w:asciiTheme="majorHAnsi" w:hAnsiTheme="majorHAnsi" w:cstheme="majorHAnsi"/>
        </w:rPr>
        <w:t>Three-panel dashboard showing ESG vs Carbon, Water, and Energy intensity</w:t>
      </w:r>
    </w:p>
    <w:p w14:paraId="08F1ED50" w14:textId="2C721F56" w:rsidR="007F2024" w:rsidRPr="00322DD0" w:rsidRDefault="007F2024">
      <w:pPr>
        <w:rPr>
          <w:rFonts w:asciiTheme="majorHAnsi" w:hAnsiTheme="majorHAnsi" w:cstheme="majorHAnsi"/>
        </w:rPr>
      </w:pPr>
      <w:r w:rsidRPr="00322DD0">
        <w:rPr>
          <w:rFonts w:asciiTheme="majorHAnsi" w:hAnsiTheme="majorHAnsi" w:cstheme="majorHAnsi"/>
          <w:noProof/>
        </w:rPr>
        <w:drawing>
          <wp:inline distT="0" distB="0" distL="0" distR="0" wp14:anchorId="3128FA03" wp14:editId="20E9A71D">
            <wp:extent cx="5486400" cy="1537335"/>
            <wp:effectExtent l="0" t="0" r="0" b="5715"/>
            <wp:docPr id="20998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93891" name=""/>
                    <pic:cNvPicPr/>
                  </pic:nvPicPr>
                  <pic:blipFill>
                    <a:blip r:embed="rId7"/>
                    <a:stretch>
                      <a:fillRect/>
                    </a:stretch>
                  </pic:blipFill>
                  <pic:spPr>
                    <a:xfrm>
                      <a:off x="0" y="0"/>
                      <a:ext cx="5486400" cy="1537335"/>
                    </a:xfrm>
                    <a:prstGeom prst="rect">
                      <a:avLst/>
                    </a:prstGeom>
                  </pic:spPr>
                </pic:pic>
              </a:graphicData>
            </a:graphic>
          </wp:inline>
        </w:drawing>
      </w:r>
    </w:p>
    <w:p w14:paraId="41A1215B" w14:textId="77777777" w:rsidR="001C50EF" w:rsidRDefault="00000000">
      <w:pPr>
        <w:rPr>
          <w:rFonts w:asciiTheme="majorHAnsi" w:hAnsiTheme="majorHAnsi" w:cstheme="majorHAnsi"/>
        </w:rPr>
      </w:pPr>
      <w:r w:rsidRPr="00322DD0">
        <w:rPr>
          <w:rFonts w:asciiTheme="majorHAnsi" w:hAnsiTheme="majorHAnsi" w:cstheme="majorHAnsi"/>
        </w:rPr>
        <w:br/>
      </w:r>
    </w:p>
    <w:p w14:paraId="7D5E4680" w14:textId="77777777" w:rsidR="001C50EF" w:rsidRDefault="001C50EF">
      <w:pPr>
        <w:rPr>
          <w:rFonts w:asciiTheme="majorHAnsi" w:hAnsiTheme="majorHAnsi" w:cstheme="majorHAnsi"/>
        </w:rPr>
      </w:pPr>
    </w:p>
    <w:p w14:paraId="7E964030" w14:textId="77777777" w:rsidR="001C50EF" w:rsidRDefault="001C50EF">
      <w:pPr>
        <w:rPr>
          <w:rFonts w:asciiTheme="majorHAnsi" w:hAnsiTheme="majorHAnsi" w:cstheme="majorHAnsi"/>
        </w:rPr>
      </w:pPr>
    </w:p>
    <w:p w14:paraId="6BDF1C11" w14:textId="24C39776" w:rsidR="007F2024" w:rsidRPr="001C50EF" w:rsidRDefault="00000000" w:rsidP="001C50EF">
      <w:pPr>
        <w:pStyle w:val="ListParagraph"/>
        <w:numPr>
          <w:ilvl w:val="0"/>
          <w:numId w:val="13"/>
        </w:numPr>
        <w:rPr>
          <w:rFonts w:asciiTheme="majorHAnsi" w:hAnsiTheme="majorHAnsi" w:cstheme="majorHAnsi"/>
        </w:rPr>
      </w:pPr>
      <w:r w:rsidRPr="001C50EF">
        <w:rPr>
          <w:rFonts w:asciiTheme="majorHAnsi" w:hAnsiTheme="majorHAnsi" w:cstheme="majorHAnsi"/>
        </w:rPr>
        <w:lastRenderedPageBreak/>
        <w:t>Scatter plot of Average Regional GDP vs Average ESG Score</w:t>
      </w:r>
    </w:p>
    <w:p w14:paraId="15090215" w14:textId="77777777" w:rsidR="007F2024" w:rsidRPr="00322DD0" w:rsidRDefault="007F2024">
      <w:pPr>
        <w:rPr>
          <w:rFonts w:asciiTheme="majorHAnsi" w:hAnsiTheme="majorHAnsi" w:cstheme="majorHAnsi"/>
        </w:rPr>
      </w:pPr>
      <w:r w:rsidRPr="00322DD0">
        <w:rPr>
          <w:rFonts w:asciiTheme="majorHAnsi" w:hAnsiTheme="majorHAnsi" w:cstheme="majorHAnsi"/>
          <w:noProof/>
        </w:rPr>
        <w:drawing>
          <wp:inline distT="0" distB="0" distL="0" distR="0" wp14:anchorId="16F5D6B0" wp14:editId="44FD7799">
            <wp:extent cx="5486400" cy="3264535"/>
            <wp:effectExtent l="0" t="0" r="0" b="0"/>
            <wp:docPr id="199281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10415" name=""/>
                    <pic:cNvPicPr/>
                  </pic:nvPicPr>
                  <pic:blipFill>
                    <a:blip r:embed="rId8"/>
                    <a:stretch>
                      <a:fillRect/>
                    </a:stretch>
                  </pic:blipFill>
                  <pic:spPr>
                    <a:xfrm>
                      <a:off x="0" y="0"/>
                      <a:ext cx="5486400" cy="3264535"/>
                    </a:xfrm>
                    <a:prstGeom prst="rect">
                      <a:avLst/>
                    </a:prstGeom>
                  </pic:spPr>
                </pic:pic>
              </a:graphicData>
            </a:graphic>
          </wp:inline>
        </w:drawing>
      </w:r>
      <w:r w:rsidRPr="00322DD0">
        <w:rPr>
          <w:rFonts w:asciiTheme="majorHAnsi" w:hAnsiTheme="majorHAnsi" w:cstheme="majorHAnsi"/>
        </w:rPr>
        <w:br/>
      </w:r>
    </w:p>
    <w:p w14:paraId="465895FE" w14:textId="77777777" w:rsidR="001C50EF" w:rsidRDefault="001C50EF">
      <w:pPr>
        <w:rPr>
          <w:rFonts w:asciiTheme="majorHAnsi" w:hAnsiTheme="majorHAnsi" w:cstheme="majorHAnsi"/>
        </w:rPr>
      </w:pPr>
    </w:p>
    <w:p w14:paraId="562DDC7A" w14:textId="77777777" w:rsidR="001C50EF" w:rsidRDefault="001C50EF">
      <w:pPr>
        <w:rPr>
          <w:rFonts w:asciiTheme="majorHAnsi" w:hAnsiTheme="majorHAnsi" w:cstheme="majorHAnsi"/>
        </w:rPr>
      </w:pPr>
    </w:p>
    <w:p w14:paraId="3A264CF2" w14:textId="4F7EFFF3" w:rsidR="007F2024" w:rsidRPr="001C50EF" w:rsidRDefault="00000000" w:rsidP="001C50EF">
      <w:pPr>
        <w:pStyle w:val="ListParagraph"/>
        <w:numPr>
          <w:ilvl w:val="0"/>
          <w:numId w:val="13"/>
        </w:numPr>
        <w:rPr>
          <w:rFonts w:asciiTheme="majorHAnsi" w:hAnsiTheme="majorHAnsi" w:cstheme="majorHAnsi"/>
        </w:rPr>
      </w:pPr>
      <w:r w:rsidRPr="001C50EF">
        <w:rPr>
          <w:rFonts w:asciiTheme="majorHAnsi" w:hAnsiTheme="majorHAnsi" w:cstheme="majorHAnsi"/>
        </w:rPr>
        <w:t>Boxplot of Profit Margin by Industry</w:t>
      </w:r>
    </w:p>
    <w:p w14:paraId="670D0356" w14:textId="77777777" w:rsidR="007F2024" w:rsidRPr="00322DD0" w:rsidRDefault="007F2024">
      <w:pPr>
        <w:rPr>
          <w:rFonts w:asciiTheme="majorHAnsi" w:hAnsiTheme="majorHAnsi" w:cstheme="majorHAnsi"/>
        </w:rPr>
      </w:pPr>
    </w:p>
    <w:p w14:paraId="0B248A6B" w14:textId="37431D8C" w:rsidR="007F2024" w:rsidRPr="00322DD0" w:rsidRDefault="007F2024">
      <w:pPr>
        <w:rPr>
          <w:rFonts w:asciiTheme="majorHAnsi" w:hAnsiTheme="majorHAnsi" w:cstheme="majorHAnsi"/>
        </w:rPr>
      </w:pPr>
      <w:r w:rsidRPr="00322DD0">
        <w:rPr>
          <w:rFonts w:asciiTheme="majorHAnsi" w:hAnsiTheme="majorHAnsi" w:cstheme="majorHAnsi"/>
          <w:noProof/>
        </w:rPr>
        <w:drawing>
          <wp:inline distT="0" distB="0" distL="0" distR="0" wp14:anchorId="24D14367" wp14:editId="12736B90">
            <wp:extent cx="5486400" cy="2601595"/>
            <wp:effectExtent l="0" t="0" r="0" b="8255"/>
            <wp:docPr id="52870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07736" name=""/>
                    <pic:cNvPicPr/>
                  </pic:nvPicPr>
                  <pic:blipFill>
                    <a:blip r:embed="rId9"/>
                    <a:stretch>
                      <a:fillRect/>
                    </a:stretch>
                  </pic:blipFill>
                  <pic:spPr>
                    <a:xfrm>
                      <a:off x="0" y="0"/>
                      <a:ext cx="5486400" cy="2601595"/>
                    </a:xfrm>
                    <a:prstGeom prst="rect">
                      <a:avLst/>
                    </a:prstGeom>
                  </pic:spPr>
                </pic:pic>
              </a:graphicData>
            </a:graphic>
          </wp:inline>
        </w:drawing>
      </w:r>
    </w:p>
    <w:p w14:paraId="5EDB4117" w14:textId="77777777" w:rsidR="00322DD0" w:rsidRDefault="00322DD0">
      <w:pPr>
        <w:rPr>
          <w:rFonts w:asciiTheme="majorHAnsi" w:hAnsiTheme="majorHAnsi" w:cstheme="majorHAnsi"/>
        </w:rPr>
      </w:pPr>
    </w:p>
    <w:p w14:paraId="2439F051" w14:textId="26C51174" w:rsidR="00D82755" w:rsidRPr="001C50EF" w:rsidRDefault="00000000" w:rsidP="001C50EF">
      <w:pPr>
        <w:pStyle w:val="ListParagraph"/>
        <w:numPr>
          <w:ilvl w:val="0"/>
          <w:numId w:val="13"/>
        </w:numPr>
        <w:rPr>
          <w:rFonts w:asciiTheme="majorHAnsi" w:hAnsiTheme="majorHAnsi" w:cstheme="majorHAnsi"/>
        </w:rPr>
      </w:pPr>
      <w:r w:rsidRPr="001C50EF">
        <w:rPr>
          <w:rFonts w:asciiTheme="majorHAnsi" w:hAnsiTheme="majorHAnsi" w:cstheme="majorHAnsi"/>
        </w:rPr>
        <w:lastRenderedPageBreak/>
        <w:t>Correlation matrix summarizing linear relationships between ESG, financial, environmental, and GDP metrics.</w:t>
      </w:r>
    </w:p>
    <w:p w14:paraId="1B1646DA" w14:textId="4D548506" w:rsidR="007F2024" w:rsidRPr="00322DD0" w:rsidRDefault="007F2024">
      <w:pPr>
        <w:rPr>
          <w:rFonts w:asciiTheme="majorHAnsi" w:hAnsiTheme="majorHAnsi" w:cstheme="majorHAnsi"/>
        </w:rPr>
      </w:pPr>
      <w:r w:rsidRPr="00322DD0">
        <w:rPr>
          <w:rFonts w:asciiTheme="majorHAnsi" w:hAnsiTheme="majorHAnsi" w:cstheme="majorHAnsi"/>
          <w:noProof/>
        </w:rPr>
        <w:drawing>
          <wp:inline distT="0" distB="0" distL="0" distR="0" wp14:anchorId="3E800960" wp14:editId="4412BA2D">
            <wp:extent cx="5486400" cy="3937635"/>
            <wp:effectExtent l="0" t="0" r="0" b="5715"/>
            <wp:docPr id="14636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87949" name=""/>
                    <pic:cNvPicPr/>
                  </pic:nvPicPr>
                  <pic:blipFill>
                    <a:blip r:embed="rId10"/>
                    <a:stretch>
                      <a:fillRect/>
                    </a:stretch>
                  </pic:blipFill>
                  <pic:spPr>
                    <a:xfrm>
                      <a:off x="0" y="0"/>
                      <a:ext cx="5486400" cy="3937635"/>
                    </a:xfrm>
                    <a:prstGeom prst="rect">
                      <a:avLst/>
                    </a:prstGeom>
                  </pic:spPr>
                </pic:pic>
              </a:graphicData>
            </a:graphic>
          </wp:inline>
        </w:drawing>
      </w:r>
    </w:p>
    <w:p w14:paraId="5BBAAA9B" w14:textId="77777777" w:rsidR="00B775AF" w:rsidRDefault="00000000" w:rsidP="00B775AF">
      <w:pPr>
        <w:rPr>
          <w:rFonts w:asciiTheme="majorHAnsi" w:hAnsiTheme="majorHAnsi" w:cstheme="majorHAnsi"/>
          <w:b/>
          <w:bCs/>
        </w:rPr>
      </w:pPr>
      <w:r w:rsidRPr="00322DD0">
        <w:rPr>
          <w:rFonts w:asciiTheme="majorHAnsi" w:hAnsiTheme="majorHAnsi" w:cstheme="majorHAnsi"/>
          <w:b/>
          <w:bCs/>
        </w:rPr>
        <w:t>4. Statistical Inference (Hypothesis Testing)</w:t>
      </w:r>
    </w:p>
    <w:p w14:paraId="66D263CE" w14:textId="403A9F57" w:rsidR="001C50EF" w:rsidRPr="001C50EF" w:rsidRDefault="001C50EF" w:rsidP="001C50EF">
      <w:pPr>
        <w:rPr>
          <w:rFonts w:asciiTheme="majorHAnsi" w:hAnsiTheme="majorHAnsi" w:cstheme="majorHAnsi"/>
        </w:rPr>
      </w:pPr>
      <w:r w:rsidRPr="001C50EF">
        <w:rPr>
          <w:rFonts w:asciiTheme="majorHAnsi" w:hAnsiTheme="majorHAnsi" w:cstheme="majorHAnsi"/>
        </w:rPr>
        <w:t xml:space="preserve">Table 1 </w:t>
      </w:r>
      <w:r>
        <w:rPr>
          <w:rFonts w:asciiTheme="majorHAnsi" w:hAnsiTheme="majorHAnsi" w:cstheme="majorHAnsi"/>
        </w:rPr>
        <w:t xml:space="preserve">below </w:t>
      </w:r>
      <w:r w:rsidRPr="001C50EF">
        <w:rPr>
          <w:rFonts w:asciiTheme="majorHAnsi" w:hAnsiTheme="majorHAnsi" w:cstheme="majorHAnsi"/>
        </w:rPr>
        <w:t>reports hypothesis tests examining the relationship between ESG performance and key financial, environmental, and economic variables. Pearson correlation tests were used for firm-level outcomes (</w:t>
      </w:r>
      <w:proofErr w:type="spellStart"/>
      <w:r w:rsidRPr="001C50EF">
        <w:rPr>
          <w:rFonts w:asciiTheme="majorHAnsi" w:hAnsiTheme="majorHAnsi" w:cstheme="majorHAnsi"/>
        </w:rPr>
        <w:t>ProfitMargin</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CarbonEmissions</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WaterUsage</w:t>
      </w:r>
      <w:proofErr w:type="spellEnd"/>
      <w:r w:rsidRPr="001C50EF">
        <w:rPr>
          <w:rFonts w:asciiTheme="majorHAnsi" w:hAnsiTheme="majorHAnsi" w:cstheme="majorHAnsi"/>
        </w:rPr>
        <w:t xml:space="preserve">, </w:t>
      </w:r>
      <w:proofErr w:type="spellStart"/>
      <w:r w:rsidRPr="001C50EF">
        <w:rPr>
          <w:rFonts w:asciiTheme="majorHAnsi" w:hAnsiTheme="majorHAnsi" w:cstheme="majorHAnsi"/>
        </w:rPr>
        <w:t>EnergyConsumption</w:t>
      </w:r>
      <w:proofErr w:type="spellEnd"/>
      <w:r w:rsidRPr="001C50EF">
        <w:rPr>
          <w:rFonts w:asciiTheme="majorHAnsi" w:hAnsiTheme="majorHAnsi" w:cstheme="majorHAnsi"/>
        </w:rPr>
        <w:t>), while an Independent T-Test compared ESG scores across high- and low-GDP regions.</w:t>
      </w:r>
    </w:p>
    <w:p w14:paraId="304BCA80" w14:textId="77777777" w:rsidR="001C50EF" w:rsidRPr="001C50EF" w:rsidRDefault="001C50EF" w:rsidP="001C50EF">
      <w:pPr>
        <w:rPr>
          <w:rFonts w:asciiTheme="majorHAnsi" w:hAnsiTheme="majorHAnsi" w:cstheme="majorHAnsi"/>
        </w:rPr>
      </w:pPr>
      <w:r w:rsidRPr="001C50EF">
        <w:rPr>
          <w:rFonts w:asciiTheme="majorHAnsi" w:hAnsiTheme="majorHAnsi" w:cstheme="majorHAnsi"/>
        </w:rPr>
        <w:t>A 5% significance level (α = 0.05) was applied. In all cases, p-values below 0.05 lead to rejection of the null hypothesis (H₀), indicating statistically significant relationships. The results show a weak but positive association between ESG and profitability, negative associations between ESG and environmental impact metrics, and significantly higher ESG scores in wealthier regions. Although statistically significant, the small correlation coefficients indicate that ESG is one of several factors influencing corporate performance.</w:t>
      </w:r>
    </w:p>
    <w:p w14:paraId="761F3589" w14:textId="77777777" w:rsidR="001C50EF" w:rsidRDefault="001C50EF" w:rsidP="00B775AF">
      <w:pPr>
        <w:rPr>
          <w:rFonts w:asciiTheme="majorHAnsi" w:hAnsiTheme="majorHAnsi" w:cstheme="majorHAnsi"/>
          <w:b/>
          <w:bCs/>
        </w:rPr>
      </w:pPr>
    </w:p>
    <w:p w14:paraId="1E79796E" w14:textId="77777777" w:rsidR="001C50EF" w:rsidRDefault="001C50EF" w:rsidP="00B775AF">
      <w:pPr>
        <w:rPr>
          <w:rFonts w:asciiTheme="majorHAnsi" w:hAnsiTheme="majorHAnsi" w:cstheme="majorHAnsi"/>
          <w:b/>
          <w:bCs/>
        </w:rPr>
      </w:pPr>
    </w:p>
    <w:p w14:paraId="2D6682DA" w14:textId="77777777" w:rsidR="001C50EF" w:rsidRDefault="001C50EF" w:rsidP="00B775AF">
      <w:pPr>
        <w:rPr>
          <w:rFonts w:asciiTheme="majorHAnsi" w:hAnsiTheme="majorHAnsi" w:cstheme="majorHAnsi"/>
          <w:b/>
          <w:bCs/>
        </w:rPr>
      </w:pPr>
    </w:p>
    <w:p w14:paraId="4C6F564E" w14:textId="0963FBAC" w:rsidR="00B775AF" w:rsidRPr="00B775AF" w:rsidRDefault="00000000" w:rsidP="00B775AF">
      <w:pPr>
        <w:rPr>
          <w:rFonts w:cstheme="majorHAnsi"/>
          <w:b/>
          <w:bCs/>
        </w:rPr>
      </w:pPr>
      <w:r w:rsidRPr="00322DD0">
        <w:rPr>
          <w:rFonts w:asciiTheme="majorHAnsi" w:hAnsiTheme="majorHAnsi" w:cstheme="majorHAnsi"/>
        </w:rPr>
        <w:lastRenderedPageBreak/>
        <w:br/>
      </w:r>
      <w:r w:rsidR="00B775AF" w:rsidRPr="00B775AF">
        <w:rPr>
          <w:rFonts w:asciiTheme="majorHAnsi" w:eastAsiaTheme="majorEastAsia" w:hAnsiTheme="majorHAnsi" w:cstheme="majorHAnsi"/>
          <w:b/>
          <w:bCs/>
          <w:color w:val="17365D" w:themeColor="text2" w:themeShade="BF"/>
          <w:spacing w:val="5"/>
          <w:kern w:val="28"/>
        </w:rPr>
        <w:t>Table 1. Statistical Relationships Between ESG and Key Outcomes</w:t>
      </w:r>
    </w:p>
    <w:tbl>
      <w:tblPr>
        <w:tblStyle w:val="PlainTable4"/>
        <w:tblW w:w="0" w:type="auto"/>
        <w:tblLook w:val="04A0" w:firstRow="1" w:lastRow="0" w:firstColumn="1" w:lastColumn="0" w:noHBand="0" w:noVBand="1"/>
      </w:tblPr>
      <w:tblGrid>
        <w:gridCol w:w="1689"/>
        <w:gridCol w:w="2026"/>
        <w:gridCol w:w="1638"/>
        <w:gridCol w:w="1619"/>
        <w:gridCol w:w="1668"/>
      </w:tblGrid>
      <w:tr w:rsidR="00B775AF" w:rsidRPr="00B775AF" w14:paraId="2C3F1919" w14:textId="77777777" w:rsidTr="00B77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664ED7C2"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Test</w:t>
            </w:r>
          </w:p>
        </w:tc>
        <w:tc>
          <w:tcPr>
            <w:tcW w:w="1728" w:type="dxa"/>
            <w:hideMark/>
          </w:tcPr>
          <w:p w14:paraId="79B81D1E" w14:textId="77777777" w:rsidR="00B775AF" w:rsidRPr="00B775AF" w:rsidRDefault="00B775AF" w:rsidP="00B77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Target Variable</w:t>
            </w:r>
          </w:p>
        </w:tc>
        <w:tc>
          <w:tcPr>
            <w:tcW w:w="1728" w:type="dxa"/>
            <w:hideMark/>
          </w:tcPr>
          <w:p w14:paraId="2741FA77" w14:textId="77777777" w:rsidR="00B775AF" w:rsidRPr="00B775AF" w:rsidRDefault="00B775AF" w:rsidP="00B77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Statistic</w:t>
            </w:r>
          </w:p>
        </w:tc>
        <w:tc>
          <w:tcPr>
            <w:tcW w:w="1728" w:type="dxa"/>
            <w:hideMark/>
          </w:tcPr>
          <w:p w14:paraId="293276BB" w14:textId="77777777" w:rsidR="00B775AF" w:rsidRPr="00B775AF" w:rsidRDefault="00B775AF" w:rsidP="00B77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P-value</w:t>
            </w:r>
          </w:p>
        </w:tc>
        <w:tc>
          <w:tcPr>
            <w:tcW w:w="1728" w:type="dxa"/>
            <w:hideMark/>
          </w:tcPr>
          <w:p w14:paraId="1001B310" w14:textId="77777777" w:rsidR="00B775AF" w:rsidRPr="00B775AF" w:rsidRDefault="00B775AF" w:rsidP="00B77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Conclusion</w:t>
            </w:r>
          </w:p>
        </w:tc>
      </w:tr>
      <w:tr w:rsidR="00B775AF" w:rsidRPr="00B775AF" w14:paraId="5EE340A5" w14:textId="77777777" w:rsidTr="00B77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0BB294F9"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Pearson Correlation</w:t>
            </w:r>
          </w:p>
        </w:tc>
        <w:tc>
          <w:tcPr>
            <w:tcW w:w="1728" w:type="dxa"/>
            <w:hideMark/>
          </w:tcPr>
          <w:p w14:paraId="5D09D378"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B775AF">
              <w:rPr>
                <w:rFonts w:asciiTheme="majorHAnsi" w:hAnsiTheme="majorHAnsi" w:cstheme="majorHAnsi"/>
              </w:rPr>
              <w:t>ProfitMargin</w:t>
            </w:r>
            <w:proofErr w:type="spellEnd"/>
          </w:p>
        </w:tc>
        <w:tc>
          <w:tcPr>
            <w:tcW w:w="1728" w:type="dxa"/>
            <w:hideMark/>
          </w:tcPr>
          <w:p w14:paraId="5D029994"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 = 0.0880</w:t>
            </w:r>
          </w:p>
        </w:tc>
        <w:tc>
          <w:tcPr>
            <w:tcW w:w="1728" w:type="dxa"/>
            <w:hideMark/>
          </w:tcPr>
          <w:p w14:paraId="47CAADB0"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gramStart"/>
            <w:r w:rsidRPr="00B775AF">
              <w:rPr>
                <w:rFonts w:asciiTheme="majorHAnsi" w:hAnsiTheme="majorHAnsi" w:cstheme="majorHAnsi"/>
              </w:rPr>
              <w:t>2.31e</w:t>
            </w:r>
            <w:proofErr w:type="gramEnd"/>
            <w:r w:rsidRPr="00B775AF">
              <w:rPr>
                <w:rFonts w:asciiTheme="majorHAnsi" w:hAnsiTheme="majorHAnsi" w:cstheme="majorHAnsi"/>
              </w:rPr>
              <w:t>-20</w:t>
            </w:r>
          </w:p>
        </w:tc>
        <w:tc>
          <w:tcPr>
            <w:tcW w:w="1728" w:type="dxa"/>
            <w:hideMark/>
          </w:tcPr>
          <w:p w14:paraId="45761A7E"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Reject H0</w:t>
            </w:r>
          </w:p>
        </w:tc>
      </w:tr>
      <w:tr w:rsidR="00B775AF" w:rsidRPr="00B775AF" w14:paraId="7239B3CF" w14:textId="77777777" w:rsidTr="00B775AF">
        <w:tc>
          <w:tcPr>
            <w:cnfStyle w:val="001000000000" w:firstRow="0" w:lastRow="0" w:firstColumn="1" w:lastColumn="0" w:oddVBand="0" w:evenVBand="0" w:oddHBand="0" w:evenHBand="0" w:firstRowFirstColumn="0" w:firstRowLastColumn="0" w:lastRowFirstColumn="0" w:lastRowLastColumn="0"/>
            <w:tcW w:w="1728" w:type="dxa"/>
            <w:hideMark/>
          </w:tcPr>
          <w:p w14:paraId="4F33D0DC"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Pearson Correlation</w:t>
            </w:r>
          </w:p>
        </w:tc>
        <w:tc>
          <w:tcPr>
            <w:tcW w:w="1728" w:type="dxa"/>
            <w:hideMark/>
          </w:tcPr>
          <w:p w14:paraId="11E05660"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B775AF">
              <w:rPr>
                <w:rFonts w:asciiTheme="majorHAnsi" w:hAnsiTheme="majorHAnsi" w:cstheme="majorHAnsi"/>
              </w:rPr>
              <w:t>CarbonEmissions</w:t>
            </w:r>
            <w:proofErr w:type="spellEnd"/>
          </w:p>
        </w:tc>
        <w:tc>
          <w:tcPr>
            <w:tcW w:w="1728" w:type="dxa"/>
            <w:hideMark/>
          </w:tcPr>
          <w:p w14:paraId="665E5B2B"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 = -0.0397</w:t>
            </w:r>
          </w:p>
        </w:tc>
        <w:tc>
          <w:tcPr>
            <w:tcW w:w="1728" w:type="dxa"/>
            <w:hideMark/>
          </w:tcPr>
          <w:p w14:paraId="4CDC6699"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3.15e-05</w:t>
            </w:r>
          </w:p>
        </w:tc>
        <w:tc>
          <w:tcPr>
            <w:tcW w:w="1728" w:type="dxa"/>
            <w:hideMark/>
          </w:tcPr>
          <w:p w14:paraId="3E58DD97"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Reject H0</w:t>
            </w:r>
          </w:p>
        </w:tc>
      </w:tr>
      <w:tr w:rsidR="00B775AF" w:rsidRPr="00B775AF" w14:paraId="6604529F" w14:textId="77777777" w:rsidTr="00B77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2AB3F0C1"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Pearson Correlation</w:t>
            </w:r>
          </w:p>
        </w:tc>
        <w:tc>
          <w:tcPr>
            <w:tcW w:w="1728" w:type="dxa"/>
            <w:hideMark/>
          </w:tcPr>
          <w:p w14:paraId="5427ECF6"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B775AF">
              <w:rPr>
                <w:rFonts w:asciiTheme="majorHAnsi" w:hAnsiTheme="majorHAnsi" w:cstheme="majorHAnsi"/>
              </w:rPr>
              <w:t>WaterUsage</w:t>
            </w:r>
            <w:proofErr w:type="spellEnd"/>
          </w:p>
        </w:tc>
        <w:tc>
          <w:tcPr>
            <w:tcW w:w="1728" w:type="dxa"/>
            <w:hideMark/>
          </w:tcPr>
          <w:p w14:paraId="1ABA72D6"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 = -0.0429</w:t>
            </w:r>
          </w:p>
        </w:tc>
        <w:tc>
          <w:tcPr>
            <w:tcW w:w="1728" w:type="dxa"/>
            <w:hideMark/>
          </w:tcPr>
          <w:p w14:paraId="7DD42A92"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6.73e-06</w:t>
            </w:r>
          </w:p>
        </w:tc>
        <w:tc>
          <w:tcPr>
            <w:tcW w:w="1728" w:type="dxa"/>
            <w:hideMark/>
          </w:tcPr>
          <w:p w14:paraId="4F721108"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Reject H0</w:t>
            </w:r>
          </w:p>
        </w:tc>
      </w:tr>
      <w:tr w:rsidR="00B775AF" w:rsidRPr="00B775AF" w14:paraId="644EEF0C" w14:textId="77777777" w:rsidTr="00B775AF">
        <w:tc>
          <w:tcPr>
            <w:cnfStyle w:val="001000000000" w:firstRow="0" w:lastRow="0" w:firstColumn="1" w:lastColumn="0" w:oddVBand="0" w:evenVBand="0" w:oddHBand="0" w:evenHBand="0" w:firstRowFirstColumn="0" w:firstRowLastColumn="0" w:lastRowFirstColumn="0" w:lastRowLastColumn="0"/>
            <w:tcW w:w="1728" w:type="dxa"/>
            <w:hideMark/>
          </w:tcPr>
          <w:p w14:paraId="4EE27B1F"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Pearson Correlation</w:t>
            </w:r>
          </w:p>
        </w:tc>
        <w:tc>
          <w:tcPr>
            <w:tcW w:w="1728" w:type="dxa"/>
            <w:hideMark/>
          </w:tcPr>
          <w:p w14:paraId="619A3A8A"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B775AF">
              <w:rPr>
                <w:rFonts w:asciiTheme="majorHAnsi" w:hAnsiTheme="majorHAnsi" w:cstheme="majorHAnsi"/>
              </w:rPr>
              <w:t>EnergyConsumption</w:t>
            </w:r>
            <w:proofErr w:type="spellEnd"/>
          </w:p>
        </w:tc>
        <w:tc>
          <w:tcPr>
            <w:tcW w:w="1728" w:type="dxa"/>
            <w:hideMark/>
          </w:tcPr>
          <w:p w14:paraId="74C497A5"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 = -0.0436</w:t>
            </w:r>
          </w:p>
        </w:tc>
        <w:tc>
          <w:tcPr>
            <w:tcW w:w="1728" w:type="dxa"/>
            <w:hideMark/>
          </w:tcPr>
          <w:p w14:paraId="34FA9B24"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4.66e-06</w:t>
            </w:r>
          </w:p>
        </w:tc>
        <w:tc>
          <w:tcPr>
            <w:tcW w:w="1728" w:type="dxa"/>
            <w:hideMark/>
          </w:tcPr>
          <w:p w14:paraId="0D1E73D8"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Reject H0</w:t>
            </w:r>
          </w:p>
        </w:tc>
      </w:tr>
      <w:tr w:rsidR="00B775AF" w:rsidRPr="00B775AF" w14:paraId="58B4AF55" w14:textId="77777777" w:rsidTr="00B77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hideMark/>
          </w:tcPr>
          <w:p w14:paraId="4335876F"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Independent T-Test</w:t>
            </w:r>
          </w:p>
        </w:tc>
        <w:tc>
          <w:tcPr>
            <w:tcW w:w="1728" w:type="dxa"/>
            <w:hideMark/>
          </w:tcPr>
          <w:p w14:paraId="779992A0"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ESG by GDP Level</w:t>
            </w:r>
          </w:p>
        </w:tc>
        <w:tc>
          <w:tcPr>
            <w:tcW w:w="1728" w:type="dxa"/>
            <w:hideMark/>
          </w:tcPr>
          <w:p w14:paraId="599AF424"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t = 30.39</w:t>
            </w:r>
          </w:p>
        </w:tc>
        <w:tc>
          <w:tcPr>
            <w:tcW w:w="1728" w:type="dxa"/>
            <w:hideMark/>
          </w:tcPr>
          <w:p w14:paraId="2894F833"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7.44e-195</w:t>
            </w:r>
          </w:p>
        </w:tc>
        <w:tc>
          <w:tcPr>
            <w:tcW w:w="1728" w:type="dxa"/>
            <w:hideMark/>
          </w:tcPr>
          <w:p w14:paraId="76027E50"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Reject H0</w:t>
            </w:r>
          </w:p>
        </w:tc>
      </w:tr>
    </w:tbl>
    <w:p w14:paraId="01B7ED9F" w14:textId="77777777" w:rsidR="00B775AF" w:rsidRDefault="00B775AF" w:rsidP="00B775AF">
      <w:pPr>
        <w:rPr>
          <w:rFonts w:asciiTheme="majorHAnsi" w:hAnsiTheme="majorHAnsi" w:cstheme="majorHAnsi"/>
          <w:b/>
          <w:bCs/>
        </w:rPr>
      </w:pPr>
    </w:p>
    <w:p w14:paraId="5CE726B1" w14:textId="550701A8" w:rsidR="00D82755" w:rsidRPr="00322DD0" w:rsidRDefault="00000000" w:rsidP="00B775AF">
      <w:pPr>
        <w:rPr>
          <w:rFonts w:asciiTheme="majorHAnsi" w:hAnsiTheme="majorHAnsi" w:cstheme="majorHAnsi"/>
        </w:rPr>
      </w:pPr>
      <w:r w:rsidRPr="00B775AF">
        <w:rPr>
          <w:rFonts w:asciiTheme="majorHAnsi" w:hAnsiTheme="majorHAnsi" w:cstheme="majorHAnsi"/>
          <w:b/>
          <w:bCs/>
        </w:rPr>
        <w:t>Overall Summary</w:t>
      </w:r>
      <w:r w:rsidRPr="00322DD0">
        <w:rPr>
          <w:rFonts w:asciiTheme="majorHAnsi" w:hAnsiTheme="majorHAnsi" w:cstheme="majorHAnsi"/>
        </w:rPr>
        <w:br/>
        <w:t>The results confirm that higher ESG performance is associated with improved environmental efficiency and modestly higher profitability.</w:t>
      </w:r>
      <w:r w:rsidRPr="00322DD0">
        <w:rPr>
          <w:rFonts w:asciiTheme="majorHAnsi" w:hAnsiTheme="majorHAnsi" w:cstheme="majorHAnsi"/>
        </w:rPr>
        <w:br/>
        <w:t>ESG–profitability relationships differ across industries and regions.</w:t>
      </w:r>
      <w:r w:rsidRPr="00322DD0">
        <w:rPr>
          <w:rFonts w:asciiTheme="majorHAnsi" w:hAnsiTheme="majorHAnsi" w:cstheme="majorHAnsi"/>
        </w:rPr>
        <w:br/>
        <w:t>Sustainability alignment is stronger in wealthier economies.</w:t>
      </w:r>
      <w:r w:rsidRPr="00322DD0">
        <w:rPr>
          <w:rFonts w:asciiTheme="majorHAnsi" w:hAnsiTheme="majorHAnsi" w:cstheme="majorHAnsi"/>
        </w:rPr>
        <w:br/>
      </w:r>
    </w:p>
    <w:p w14:paraId="6C3A89B1" w14:textId="34D8AFC0" w:rsidR="007F2024" w:rsidRPr="007F2024" w:rsidRDefault="007F2024" w:rsidP="007F2024">
      <w:pPr>
        <w:rPr>
          <w:rFonts w:asciiTheme="majorHAnsi" w:eastAsiaTheme="majorEastAsia" w:hAnsiTheme="majorHAnsi" w:cstheme="majorHAnsi"/>
          <w:color w:val="17365D" w:themeColor="text2" w:themeShade="BF"/>
          <w:spacing w:val="5"/>
          <w:kern w:val="28"/>
          <w:sz w:val="40"/>
          <w:szCs w:val="40"/>
        </w:rPr>
      </w:pPr>
      <w:r w:rsidRPr="007F2024">
        <w:rPr>
          <w:rFonts w:asciiTheme="majorHAnsi" w:eastAsiaTheme="majorEastAsia" w:hAnsiTheme="majorHAnsi" w:cstheme="majorHAnsi"/>
          <w:color w:val="17365D" w:themeColor="text2" w:themeShade="BF"/>
          <w:spacing w:val="5"/>
          <w:kern w:val="28"/>
          <w:sz w:val="40"/>
          <w:szCs w:val="40"/>
        </w:rPr>
        <w:t>Machine Learning Applications</w:t>
      </w:r>
    </w:p>
    <w:p w14:paraId="1CC148BC" w14:textId="77777777" w:rsidR="007F2024" w:rsidRPr="007F2024" w:rsidRDefault="007F2024" w:rsidP="007F2024">
      <w:pPr>
        <w:rPr>
          <w:rFonts w:asciiTheme="majorHAnsi" w:hAnsiTheme="majorHAnsi" w:cstheme="majorHAnsi"/>
        </w:rPr>
      </w:pPr>
      <w:r w:rsidRPr="007F2024">
        <w:rPr>
          <w:rFonts w:asciiTheme="majorHAnsi" w:hAnsiTheme="majorHAnsi" w:cstheme="majorHAnsi"/>
          <w:b/>
          <w:bCs/>
        </w:rPr>
        <w:t>1. Predictive Modeling (Regression)</w:t>
      </w:r>
      <w:r w:rsidRPr="007F2024">
        <w:rPr>
          <w:rFonts w:asciiTheme="majorHAnsi" w:hAnsiTheme="majorHAnsi" w:cstheme="majorHAnsi"/>
        </w:rPr>
        <w:br/>
        <w:t xml:space="preserve">Goal: Determine whether ESG and environmental indicators explain </w:t>
      </w:r>
      <w:proofErr w:type="spellStart"/>
      <w:r w:rsidRPr="007F2024">
        <w:rPr>
          <w:rFonts w:asciiTheme="majorHAnsi" w:hAnsiTheme="majorHAnsi" w:cstheme="majorHAnsi"/>
        </w:rPr>
        <w:t>ProfitMargin</w:t>
      </w:r>
      <w:proofErr w:type="spellEnd"/>
      <w:r w:rsidRPr="007F2024">
        <w:rPr>
          <w:rFonts w:asciiTheme="majorHAnsi" w:hAnsiTheme="majorHAnsi" w:cstheme="majorHAnsi"/>
        </w:rPr>
        <w:t>.</w:t>
      </w:r>
    </w:p>
    <w:p w14:paraId="3E100A78" w14:textId="77777777" w:rsidR="007F2024" w:rsidRPr="007F2024" w:rsidRDefault="007F2024" w:rsidP="007F2024">
      <w:pPr>
        <w:rPr>
          <w:rFonts w:asciiTheme="majorHAnsi" w:hAnsiTheme="majorHAnsi" w:cstheme="majorHAnsi"/>
        </w:rPr>
      </w:pPr>
      <w:r w:rsidRPr="007F2024">
        <w:rPr>
          <w:rFonts w:asciiTheme="majorHAnsi" w:hAnsiTheme="majorHAnsi" w:cstheme="majorHAnsi"/>
        </w:rPr>
        <w:t>Feature Engineering:</w:t>
      </w:r>
      <w:r w:rsidRPr="007F2024">
        <w:rPr>
          <w:rFonts w:asciiTheme="majorHAnsi" w:hAnsiTheme="majorHAnsi" w:cstheme="majorHAnsi"/>
        </w:rPr>
        <w:br/>
        <w:t>- Applied Z-score standardization (</w:t>
      </w:r>
      <w:proofErr w:type="spellStart"/>
      <w:r w:rsidRPr="007F2024">
        <w:rPr>
          <w:rFonts w:asciiTheme="majorHAnsi" w:hAnsiTheme="majorHAnsi" w:cstheme="majorHAnsi"/>
        </w:rPr>
        <w:t>StandardScaler</w:t>
      </w:r>
      <w:proofErr w:type="spellEnd"/>
      <w:r w:rsidRPr="007F2024">
        <w:rPr>
          <w:rFonts w:asciiTheme="majorHAnsi" w:hAnsiTheme="majorHAnsi" w:cstheme="majorHAnsi"/>
        </w:rPr>
        <w:t>) to all input features before training the Linear Regression model.</w:t>
      </w:r>
      <w:r w:rsidRPr="007F2024">
        <w:rPr>
          <w:rFonts w:asciiTheme="majorHAnsi" w:hAnsiTheme="majorHAnsi" w:cstheme="majorHAnsi"/>
        </w:rPr>
        <w:br/>
        <w:t>- Reasoning: Standardization ensures that variables measured on different scales (e.g., ESG scores, environmental quantities, and GDP) contribute proportionally to the model and allows regression coefficients to be interpreted more reliably.</w:t>
      </w:r>
      <w:r w:rsidRPr="007F2024">
        <w:rPr>
          <w:rFonts w:asciiTheme="majorHAnsi" w:hAnsiTheme="majorHAnsi" w:cstheme="majorHAnsi"/>
        </w:rPr>
        <w:br/>
        <w:t>- This step is particularly important for linear models, which are sensitive to feature scale, while tree-based models (Random Forest) were trained on the original (unscaled) data, as they are scale-invariant.</w:t>
      </w:r>
    </w:p>
    <w:p w14:paraId="315E07F4" w14:textId="4A0B1497" w:rsidR="00B775AF" w:rsidRDefault="007F2024" w:rsidP="007F2024">
      <w:pPr>
        <w:rPr>
          <w:rFonts w:asciiTheme="majorHAnsi" w:hAnsiTheme="majorHAnsi" w:cstheme="majorHAnsi"/>
        </w:rPr>
      </w:pPr>
      <w:r w:rsidRPr="007F2024">
        <w:rPr>
          <w:rFonts w:asciiTheme="majorHAnsi" w:hAnsiTheme="majorHAnsi" w:cstheme="majorHAnsi"/>
        </w:rPr>
        <w:t xml:space="preserve">Features used: </w:t>
      </w:r>
      <w:proofErr w:type="spellStart"/>
      <w:r w:rsidRPr="007F2024">
        <w:rPr>
          <w:rFonts w:asciiTheme="majorHAnsi" w:hAnsiTheme="majorHAnsi" w:cstheme="majorHAnsi"/>
        </w:rPr>
        <w:t>ESG_Overall</w:t>
      </w:r>
      <w:proofErr w:type="spellEnd"/>
      <w:r w:rsidRPr="007F2024">
        <w:rPr>
          <w:rFonts w:asciiTheme="majorHAnsi" w:hAnsiTheme="majorHAnsi" w:cstheme="majorHAnsi"/>
        </w:rPr>
        <w:t xml:space="preserve">, </w:t>
      </w:r>
      <w:proofErr w:type="spellStart"/>
      <w:r w:rsidRPr="007F2024">
        <w:rPr>
          <w:rFonts w:asciiTheme="majorHAnsi" w:hAnsiTheme="majorHAnsi" w:cstheme="majorHAnsi"/>
        </w:rPr>
        <w:t>CarbonEmissions</w:t>
      </w:r>
      <w:proofErr w:type="spellEnd"/>
      <w:r w:rsidRPr="007F2024">
        <w:rPr>
          <w:rFonts w:asciiTheme="majorHAnsi" w:hAnsiTheme="majorHAnsi" w:cstheme="majorHAnsi"/>
        </w:rPr>
        <w:t xml:space="preserve">, </w:t>
      </w:r>
      <w:proofErr w:type="spellStart"/>
      <w:r w:rsidRPr="007F2024">
        <w:rPr>
          <w:rFonts w:asciiTheme="majorHAnsi" w:hAnsiTheme="majorHAnsi" w:cstheme="majorHAnsi"/>
        </w:rPr>
        <w:t>WaterUsage</w:t>
      </w:r>
      <w:proofErr w:type="spellEnd"/>
      <w:r w:rsidRPr="007F2024">
        <w:rPr>
          <w:rFonts w:asciiTheme="majorHAnsi" w:hAnsiTheme="majorHAnsi" w:cstheme="majorHAnsi"/>
        </w:rPr>
        <w:t xml:space="preserve">, </w:t>
      </w:r>
      <w:proofErr w:type="spellStart"/>
      <w:r w:rsidRPr="007F2024">
        <w:rPr>
          <w:rFonts w:asciiTheme="majorHAnsi" w:hAnsiTheme="majorHAnsi" w:cstheme="majorHAnsi"/>
        </w:rPr>
        <w:t>EnergyConsumption</w:t>
      </w:r>
      <w:proofErr w:type="spellEnd"/>
      <w:r w:rsidRPr="007F2024">
        <w:rPr>
          <w:rFonts w:asciiTheme="majorHAnsi" w:hAnsiTheme="majorHAnsi" w:cstheme="majorHAnsi"/>
        </w:rPr>
        <w:t>, GDP</w:t>
      </w:r>
      <w:r w:rsidRPr="007F2024">
        <w:rPr>
          <w:rFonts w:asciiTheme="majorHAnsi" w:hAnsiTheme="majorHAnsi" w:cstheme="majorHAnsi"/>
        </w:rPr>
        <w:br/>
        <w:t xml:space="preserve">Target: </w:t>
      </w:r>
      <w:proofErr w:type="spellStart"/>
      <w:r w:rsidRPr="007F2024">
        <w:rPr>
          <w:rFonts w:asciiTheme="majorHAnsi" w:hAnsiTheme="majorHAnsi" w:cstheme="majorHAnsi"/>
        </w:rPr>
        <w:t>ProfitMargin</w:t>
      </w:r>
      <w:proofErr w:type="spellEnd"/>
    </w:p>
    <w:p w14:paraId="12C8B967" w14:textId="633CDFAE" w:rsidR="007F2024" w:rsidRPr="007F2024" w:rsidRDefault="007F2024" w:rsidP="007F2024">
      <w:pPr>
        <w:rPr>
          <w:rFonts w:asciiTheme="majorHAnsi" w:hAnsiTheme="majorHAnsi" w:cstheme="majorHAnsi"/>
        </w:rPr>
      </w:pPr>
      <w:r w:rsidRPr="007F2024">
        <w:rPr>
          <w:rFonts w:asciiTheme="majorHAnsi" w:hAnsiTheme="majorHAnsi" w:cstheme="majorHAnsi"/>
        </w:rPr>
        <w:t>Models:</w:t>
      </w:r>
      <w:r w:rsidRPr="007F2024">
        <w:rPr>
          <w:rFonts w:asciiTheme="majorHAnsi" w:hAnsiTheme="majorHAnsi" w:cstheme="majorHAnsi"/>
        </w:rPr>
        <w:br/>
        <w:t>- Dummy Regressor — establishes a baseline (predicting the mean)</w:t>
      </w:r>
      <w:r w:rsidRPr="007F2024">
        <w:rPr>
          <w:rFonts w:asciiTheme="majorHAnsi" w:hAnsiTheme="majorHAnsi" w:cstheme="majorHAnsi"/>
        </w:rPr>
        <w:br/>
        <w:t>- Multiple Linear Regression — tests for linear relationships</w:t>
      </w:r>
      <w:r w:rsidRPr="007F2024">
        <w:rPr>
          <w:rFonts w:asciiTheme="majorHAnsi" w:hAnsiTheme="majorHAnsi" w:cstheme="majorHAnsi"/>
        </w:rPr>
        <w:br/>
        <w:t>- Random Forest Regressor — captures non-linear effects</w:t>
      </w:r>
    </w:p>
    <w:p w14:paraId="397D59C5" w14:textId="77777777" w:rsidR="007F2024" w:rsidRPr="007F2024" w:rsidRDefault="007F2024" w:rsidP="007F2024">
      <w:pPr>
        <w:rPr>
          <w:rFonts w:asciiTheme="majorHAnsi" w:hAnsiTheme="majorHAnsi" w:cstheme="majorHAnsi"/>
        </w:rPr>
      </w:pPr>
      <w:r w:rsidRPr="007F2024">
        <w:rPr>
          <w:rFonts w:asciiTheme="majorHAnsi" w:hAnsiTheme="majorHAnsi" w:cstheme="majorHAnsi"/>
        </w:rPr>
        <w:lastRenderedPageBreak/>
        <w:t>Evaluation metrics:</w:t>
      </w:r>
      <w:r w:rsidRPr="007F2024">
        <w:rPr>
          <w:rFonts w:asciiTheme="majorHAnsi" w:hAnsiTheme="majorHAnsi" w:cstheme="majorHAnsi"/>
        </w:rPr>
        <w:br/>
        <w:t>- R²</w:t>
      </w:r>
      <w:r w:rsidRPr="007F2024">
        <w:rPr>
          <w:rFonts w:asciiTheme="majorHAnsi" w:hAnsiTheme="majorHAnsi" w:cstheme="majorHAnsi"/>
        </w:rPr>
        <w:br/>
        <w:t>- RMSE</w:t>
      </w:r>
      <w:r w:rsidRPr="007F2024">
        <w:rPr>
          <w:rFonts w:asciiTheme="majorHAnsi" w:hAnsiTheme="majorHAnsi" w:cstheme="majorHAnsi"/>
        </w:rPr>
        <w:br/>
        <w:t xml:space="preserve">- Feature importance (to identify which predictors matter most for </w:t>
      </w:r>
      <w:proofErr w:type="spellStart"/>
      <w:r w:rsidRPr="007F2024">
        <w:rPr>
          <w:rFonts w:asciiTheme="majorHAnsi" w:hAnsiTheme="majorHAnsi" w:cstheme="majorHAnsi"/>
        </w:rPr>
        <w:t>ProfitMargin</w:t>
      </w:r>
      <w:proofErr w:type="spellEnd"/>
      <w:r w:rsidRPr="007F2024">
        <w:rPr>
          <w:rFonts w:asciiTheme="majorHAnsi" w:hAnsiTheme="majorHAnsi" w:cstheme="majorHAnsi"/>
        </w:rPr>
        <w:t>)</w:t>
      </w:r>
    </w:p>
    <w:p w14:paraId="572B2B41" w14:textId="77777777" w:rsidR="00B775AF" w:rsidRPr="00B775AF" w:rsidRDefault="00B775AF" w:rsidP="00B775AF">
      <w:pPr>
        <w:rPr>
          <w:rFonts w:asciiTheme="majorHAnsi" w:eastAsiaTheme="majorEastAsia" w:hAnsiTheme="majorHAnsi" w:cstheme="majorHAnsi"/>
          <w:b/>
          <w:bCs/>
          <w:color w:val="17365D" w:themeColor="text2" w:themeShade="BF"/>
          <w:spacing w:val="5"/>
          <w:kern w:val="28"/>
        </w:rPr>
      </w:pPr>
      <w:r w:rsidRPr="00B775AF">
        <w:rPr>
          <w:rFonts w:asciiTheme="majorHAnsi" w:eastAsiaTheme="majorEastAsia" w:hAnsiTheme="majorHAnsi" w:cstheme="majorHAnsi"/>
          <w:b/>
          <w:bCs/>
          <w:color w:val="17365D" w:themeColor="text2" w:themeShade="BF"/>
          <w:spacing w:val="5"/>
          <w:kern w:val="28"/>
        </w:rPr>
        <w:t>Table 2. Predictive Model Performance (</w:t>
      </w:r>
      <w:proofErr w:type="spellStart"/>
      <w:r w:rsidRPr="00B775AF">
        <w:rPr>
          <w:rFonts w:asciiTheme="majorHAnsi" w:eastAsiaTheme="majorEastAsia" w:hAnsiTheme="majorHAnsi" w:cstheme="majorHAnsi"/>
          <w:b/>
          <w:bCs/>
          <w:color w:val="17365D" w:themeColor="text2" w:themeShade="BF"/>
          <w:spacing w:val="5"/>
          <w:kern w:val="28"/>
        </w:rPr>
        <w:t>ProfitMargin</w:t>
      </w:r>
      <w:proofErr w:type="spellEnd"/>
      <w:r w:rsidRPr="00B775AF">
        <w:rPr>
          <w:rFonts w:asciiTheme="majorHAnsi" w:eastAsiaTheme="majorEastAsia" w:hAnsiTheme="majorHAnsi" w:cstheme="majorHAnsi"/>
          <w:b/>
          <w:bCs/>
          <w:color w:val="17365D" w:themeColor="text2" w:themeShade="BF"/>
          <w:spacing w:val="5"/>
          <w:kern w:val="28"/>
        </w:rPr>
        <w:t>)</w:t>
      </w:r>
    </w:p>
    <w:tbl>
      <w:tblPr>
        <w:tblStyle w:val="PlainTable4"/>
        <w:tblW w:w="0" w:type="auto"/>
        <w:tblLook w:val="04A0" w:firstRow="1" w:lastRow="0" w:firstColumn="1" w:lastColumn="0" w:noHBand="0" w:noVBand="1"/>
      </w:tblPr>
      <w:tblGrid>
        <w:gridCol w:w="2880"/>
        <w:gridCol w:w="2880"/>
        <w:gridCol w:w="2880"/>
      </w:tblGrid>
      <w:tr w:rsidR="00B775AF" w:rsidRPr="00B775AF" w14:paraId="6124F66D" w14:textId="77777777" w:rsidTr="00B77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E274045"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Model</w:t>
            </w:r>
          </w:p>
        </w:tc>
        <w:tc>
          <w:tcPr>
            <w:tcW w:w="2880" w:type="dxa"/>
            <w:hideMark/>
          </w:tcPr>
          <w:p w14:paraId="32D960DF" w14:textId="77777777" w:rsidR="00B775AF" w:rsidRPr="00B775AF" w:rsidRDefault="00B775AF" w:rsidP="00B77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RMSE</w:t>
            </w:r>
          </w:p>
        </w:tc>
        <w:tc>
          <w:tcPr>
            <w:tcW w:w="2880" w:type="dxa"/>
            <w:hideMark/>
          </w:tcPr>
          <w:p w14:paraId="586621A1" w14:textId="77777777" w:rsidR="00B775AF" w:rsidRPr="00B775AF" w:rsidRDefault="00B775AF" w:rsidP="00B77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R² Score</w:t>
            </w:r>
          </w:p>
        </w:tc>
      </w:tr>
      <w:tr w:rsidR="00B775AF" w:rsidRPr="00B775AF" w14:paraId="73FAEDD8" w14:textId="77777777" w:rsidTr="00B77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20EA4BD"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Baseline (Mean)</w:t>
            </w:r>
          </w:p>
        </w:tc>
        <w:tc>
          <w:tcPr>
            <w:tcW w:w="2880" w:type="dxa"/>
            <w:hideMark/>
          </w:tcPr>
          <w:p w14:paraId="66D2CB23"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8.9234</w:t>
            </w:r>
          </w:p>
        </w:tc>
        <w:tc>
          <w:tcPr>
            <w:tcW w:w="2880" w:type="dxa"/>
            <w:hideMark/>
          </w:tcPr>
          <w:p w14:paraId="3FC7EDCF"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-0.0002</w:t>
            </w:r>
          </w:p>
        </w:tc>
      </w:tr>
      <w:tr w:rsidR="00B775AF" w:rsidRPr="00B775AF" w14:paraId="17621E55" w14:textId="77777777" w:rsidTr="00B775AF">
        <w:tc>
          <w:tcPr>
            <w:cnfStyle w:val="001000000000" w:firstRow="0" w:lastRow="0" w:firstColumn="1" w:lastColumn="0" w:oddVBand="0" w:evenVBand="0" w:oddHBand="0" w:evenHBand="0" w:firstRowFirstColumn="0" w:firstRowLastColumn="0" w:lastRowFirstColumn="0" w:lastRowLastColumn="0"/>
            <w:tcW w:w="2880" w:type="dxa"/>
            <w:hideMark/>
          </w:tcPr>
          <w:p w14:paraId="7C837AE4"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Linear Regression</w:t>
            </w:r>
          </w:p>
        </w:tc>
        <w:tc>
          <w:tcPr>
            <w:tcW w:w="2880" w:type="dxa"/>
            <w:hideMark/>
          </w:tcPr>
          <w:p w14:paraId="5B0E6DBE"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8.9303</w:t>
            </w:r>
          </w:p>
        </w:tc>
        <w:tc>
          <w:tcPr>
            <w:tcW w:w="2880" w:type="dxa"/>
            <w:hideMark/>
          </w:tcPr>
          <w:p w14:paraId="53950809"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-0.0017</w:t>
            </w:r>
          </w:p>
        </w:tc>
      </w:tr>
      <w:tr w:rsidR="00B775AF" w:rsidRPr="00B775AF" w14:paraId="5ED8E17F" w14:textId="77777777" w:rsidTr="00B77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A326D49"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Random Forest</w:t>
            </w:r>
          </w:p>
        </w:tc>
        <w:tc>
          <w:tcPr>
            <w:tcW w:w="2880" w:type="dxa"/>
            <w:hideMark/>
          </w:tcPr>
          <w:p w14:paraId="6B974B28"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6.7360</w:t>
            </w:r>
          </w:p>
        </w:tc>
        <w:tc>
          <w:tcPr>
            <w:tcW w:w="2880" w:type="dxa"/>
            <w:hideMark/>
          </w:tcPr>
          <w:p w14:paraId="262B1BDE"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0.4301</w:t>
            </w:r>
          </w:p>
        </w:tc>
      </w:tr>
    </w:tbl>
    <w:p w14:paraId="4373F5B1" w14:textId="77777777" w:rsidR="00B775AF" w:rsidRDefault="00B775AF" w:rsidP="007F2024">
      <w:pPr>
        <w:rPr>
          <w:rFonts w:asciiTheme="majorHAnsi" w:hAnsiTheme="majorHAnsi" w:cstheme="majorHAnsi"/>
        </w:rPr>
      </w:pPr>
    </w:p>
    <w:p w14:paraId="54DDF7F1" w14:textId="1F8B70D2" w:rsidR="007F2024" w:rsidRPr="007F2024" w:rsidRDefault="007F2024" w:rsidP="007F2024">
      <w:pPr>
        <w:rPr>
          <w:rFonts w:asciiTheme="majorHAnsi" w:hAnsiTheme="majorHAnsi" w:cstheme="majorHAnsi"/>
        </w:rPr>
      </w:pPr>
      <w:r w:rsidRPr="007F2024">
        <w:rPr>
          <w:rFonts w:asciiTheme="majorHAnsi" w:hAnsiTheme="majorHAnsi" w:cstheme="majorHAnsi"/>
        </w:rPr>
        <w:t>Interpretation:</w:t>
      </w:r>
      <w:r w:rsidRPr="007F2024">
        <w:rPr>
          <w:rFonts w:asciiTheme="majorHAnsi" w:hAnsiTheme="majorHAnsi" w:cstheme="majorHAnsi"/>
        </w:rPr>
        <w:br/>
        <w:t>- The baseline model performs essentially at chance level (R² ≈ 0), showing that predicting the mean provides no explanatory value.</w:t>
      </w:r>
      <w:r w:rsidRPr="007F2024">
        <w:rPr>
          <w:rFonts w:asciiTheme="majorHAnsi" w:hAnsiTheme="majorHAnsi" w:cstheme="majorHAnsi"/>
        </w:rPr>
        <w:br/>
        <w:t xml:space="preserve">- Multiple Linear Regression does not improve upon the baseline (negative R²), indicating that the relationship between ESG/environmental indicators and </w:t>
      </w:r>
      <w:proofErr w:type="spellStart"/>
      <w:r w:rsidRPr="007F2024">
        <w:rPr>
          <w:rFonts w:asciiTheme="majorHAnsi" w:hAnsiTheme="majorHAnsi" w:cstheme="majorHAnsi"/>
        </w:rPr>
        <w:t>ProfitMargin</w:t>
      </w:r>
      <w:proofErr w:type="spellEnd"/>
      <w:r w:rsidRPr="007F2024">
        <w:rPr>
          <w:rFonts w:asciiTheme="majorHAnsi" w:hAnsiTheme="majorHAnsi" w:cstheme="majorHAnsi"/>
        </w:rPr>
        <w:t xml:space="preserve"> is not well-captured by a purely linear specification.</w:t>
      </w:r>
      <w:r w:rsidRPr="007F2024">
        <w:rPr>
          <w:rFonts w:asciiTheme="majorHAnsi" w:hAnsiTheme="majorHAnsi" w:cstheme="majorHAnsi"/>
        </w:rPr>
        <w:br/>
        <w:t xml:space="preserve">- The Random Forest Regressor substantially improves performance (R² ≈ 0.43 and lower RMSE), suggesting that non-linear interactions and threshold effects are important in explaining </w:t>
      </w:r>
      <w:proofErr w:type="spellStart"/>
      <w:r w:rsidRPr="007F2024">
        <w:rPr>
          <w:rFonts w:asciiTheme="majorHAnsi" w:hAnsiTheme="majorHAnsi" w:cstheme="majorHAnsi"/>
        </w:rPr>
        <w:t>ProfitMargin</w:t>
      </w:r>
      <w:proofErr w:type="spellEnd"/>
      <w:r w:rsidRPr="007F2024">
        <w:rPr>
          <w:rFonts w:asciiTheme="majorHAnsi" w:hAnsiTheme="majorHAnsi" w:cstheme="majorHAnsi"/>
        </w:rPr>
        <w:t>.</w:t>
      </w:r>
    </w:p>
    <w:p w14:paraId="10765C31" w14:textId="77777777" w:rsidR="00322DD0" w:rsidRPr="00322DD0" w:rsidRDefault="00322DD0" w:rsidP="007F2024">
      <w:pPr>
        <w:rPr>
          <w:rFonts w:asciiTheme="majorHAnsi" w:hAnsiTheme="majorHAnsi" w:cstheme="majorHAnsi"/>
        </w:rPr>
      </w:pPr>
      <w:r w:rsidRPr="00322DD0">
        <w:rPr>
          <w:rFonts w:asciiTheme="majorHAnsi" w:hAnsiTheme="majorHAnsi" w:cstheme="majorHAnsi"/>
          <w:noProof/>
        </w:rPr>
        <w:drawing>
          <wp:inline distT="0" distB="0" distL="0" distR="0" wp14:anchorId="477D3EFC" wp14:editId="4029C75A">
            <wp:extent cx="5486400" cy="2793365"/>
            <wp:effectExtent l="0" t="0" r="0" b="6985"/>
            <wp:docPr id="25336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3490" name=""/>
                    <pic:cNvPicPr/>
                  </pic:nvPicPr>
                  <pic:blipFill>
                    <a:blip r:embed="rId11"/>
                    <a:stretch>
                      <a:fillRect/>
                    </a:stretch>
                  </pic:blipFill>
                  <pic:spPr>
                    <a:xfrm>
                      <a:off x="0" y="0"/>
                      <a:ext cx="5486400" cy="2793365"/>
                    </a:xfrm>
                    <a:prstGeom prst="rect">
                      <a:avLst/>
                    </a:prstGeom>
                  </pic:spPr>
                </pic:pic>
              </a:graphicData>
            </a:graphic>
          </wp:inline>
        </w:drawing>
      </w:r>
    </w:p>
    <w:p w14:paraId="756763E4" w14:textId="77777777" w:rsidR="002239BC" w:rsidRDefault="002239BC" w:rsidP="007F2024">
      <w:pPr>
        <w:rPr>
          <w:rFonts w:asciiTheme="majorHAnsi" w:hAnsiTheme="majorHAnsi" w:cstheme="majorHAnsi"/>
          <w:b/>
          <w:bCs/>
        </w:rPr>
      </w:pPr>
    </w:p>
    <w:p w14:paraId="5AD93E73" w14:textId="77777777" w:rsidR="002239BC" w:rsidRDefault="002239BC" w:rsidP="007F2024">
      <w:pPr>
        <w:rPr>
          <w:rFonts w:asciiTheme="majorHAnsi" w:hAnsiTheme="majorHAnsi" w:cstheme="majorHAnsi"/>
          <w:b/>
          <w:bCs/>
        </w:rPr>
      </w:pPr>
    </w:p>
    <w:p w14:paraId="64D875F5" w14:textId="77777777" w:rsidR="002239BC" w:rsidRDefault="002239BC" w:rsidP="007F2024">
      <w:pPr>
        <w:rPr>
          <w:rFonts w:asciiTheme="majorHAnsi" w:hAnsiTheme="majorHAnsi" w:cstheme="majorHAnsi"/>
          <w:b/>
          <w:bCs/>
        </w:rPr>
      </w:pPr>
    </w:p>
    <w:p w14:paraId="0ADB3BE2" w14:textId="5B3D970B" w:rsidR="007F2024" w:rsidRPr="007F2024" w:rsidRDefault="007F2024" w:rsidP="007F2024">
      <w:pPr>
        <w:rPr>
          <w:rFonts w:asciiTheme="majorHAnsi" w:hAnsiTheme="majorHAnsi" w:cstheme="majorHAnsi"/>
        </w:rPr>
      </w:pPr>
      <w:r w:rsidRPr="007F2024">
        <w:rPr>
          <w:rFonts w:asciiTheme="majorHAnsi" w:hAnsiTheme="majorHAnsi" w:cstheme="majorHAnsi"/>
          <w:b/>
          <w:bCs/>
        </w:rPr>
        <w:lastRenderedPageBreak/>
        <w:t>2. Clustering Analysis (Sustainability Profiles)</w:t>
      </w:r>
      <w:r w:rsidRPr="007F2024">
        <w:rPr>
          <w:rFonts w:asciiTheme="majorHAnsi" w:hAnsiTheme="majorHAnsi" w:cstheme="majorHAnsi"/>
        </w:rPr>
        <w:br/>
        <w:t>Goal: Identify sustainability-performance groups among companies.</w:t>
      </w:r>
    </w:p>
    <w:p w14:paraId="179508AC" w14:textId="77777777" w:rsidR="007F2024" w:rsidRPr="007F2024" w:rsidRDefault="007F2024" w:rsidP="007F2024">
      <w:pPr>
        <w:rPr>
          <w:rFonts w:asciiTheme="majorHAnsi" w:hAnsiTheme="majorHAnsi" w:cstheme="majorHAnsi"/>
        </w:rPr>
      </w:pPr>
      <w:r w:rsidRPr="007F2024">
        <w:rPr>
          <w:rFonts w:asciiTheme="majorHAnsi" w:hAnsiTheme="majorHAnsi" w:cstheme="majorHAnsi"/>
        </w:rPr>
        <w:t>Feature Engineering:</w:t>
      </w:r>
      <w:r w:rsidRPr="007F2024">
        <w:rPr>
          <w:rFonts w:asciiTheme="majorHAnsi" w:hAnsiTheme="majorHAnsi" w:cstheme="majorHAnsi"/>
        </w:rPr>
        <w:br/>
        <w:t>- Applied Z-score standardization (</w:t>
      </w:r>
      <w:proofErr w:type="spellStart"/>
      <w:r w:rsidRPr="007F2024">
        <w:rPr>
          <w:rFonts w:asciiTheme="majorHAnsi" w:hAnsiTheme="majorHAnsi" w:cstheme="majorHAnsi"/>
        </w:rPr>
        <w:t>StandardScaler</w:t>
      </w:r>
      <w:proofErr w:type="spellEnd"/>
      <w:r w:rsidRPr="007F2024">
        <w:rPr>
          <w:rFonts w:asciiTheme="majorHAnsi" w:hAnsiTheme="majorHAnsi" w:cstheme="majorHAnsi"/>
        </w:rPr>
        <w:t xml:space="preserve">) to </w:t>
      </w:r>
      <w:proofErr w:type="spellStart"/>
      <w:r w:rsidRPr="007F2024">
        <w:rPr>
          <w:rFonts w:asciiTheme="majorHAnsi" w:hAnsiTheme="majorHAnsi" w:cstheme="majorHAnsi"/>
        </w:rPr>
        <w:t>ESG_Overall</w:t>
      </w:r>
      <w:proofErr w:type="spellEnd"/>
      <w:r w:rsidRPr="007F2024">
        <w:rPr>
          <w:rFonts w:asciiTheme="majorHAnsi" w:hAnsiTheme="majorHAnsi" w:cstheme="majorHAnsi"/>
        </w:rPr>
        <w:t xml:space="preserve"> and </w:t>
      </w:r>
      <w:proofErr w:type="spellStart"/>
      <w:r w:rsidRPr="007F2024">
        <w:rPr>
          <w:rFonts w:asciiTheme="majorHAnsi" w:hAnsiTheme="majorHAnsi" w:cstheme="majorHAnsi"/>
        </w:rPr>
        <w:t>ProfitMargin</w:t>
      </w:r>
      <w:proofErr w:type="spellEnd"/>
      <w:r w:rsidRPr="007F2024">
        <w:rPr>
          <w:rFonts w:asciiTheme="majorHAnsi" w:hAnsiTheme="majorHAnsi" w:cstheme="majorHAnsi"/>
        </w:rPr>
        <w:t>.</w:t>
      </w:r>
      <w:r w:rsidRPr="007F2024">
        <w:rPr>
          <w:rFonts w:asciiTheme="majorHAnsi" w:hAnsiTheme="majorHAnsi" w:cstheme="majorHAnsi"/>
        </w:rPr>
        <w:br/>
        <w:t>- Reasoning: This normalization ensures that the large numerical difference between ESG scores (0–100) and profit percentages (0–1) does not bias the K-Means clustering distances.</w:t>
      </w:r>
    </w:p>
    <w:p w14:paraId="4B7A7178" w14:textId="77777777" w:rsidR="007F2024" w:rsidRDefault="007F2024" w:rsidP="007F2024">
      <w:pPr>
        <w:rPr>
          <w:rFonts w:asciiTheme="majorHAnsi" w:hAnsiTheme="majorHAnsi" w:cstheme="majorHAnsi"/>
        </w:rPr>
      </w:pPr>
      <w:r w:rsidRPr="007F2024">
        <w:rPr>
          <w:rFonts w:asciiTheme="majorHAnsi" w:hAnsiTheme="majorHAnsi" w:cstheme="majorHAnsi"/>
        </w:rPr>
        <w:t>Method:</w:t>
      </w:r>
      <w:r w:rsidRPr="007F2024">
        <w:rPr>
          <w:rFonts w:asciiTheme="majorHAnsi" w:hAnsiTheme="majorHAnsi" w:cstheme="majorHAnsi"/>
        </w:rPr>
        <w:br/>
        <w:t>- K-Means Clustering on the standardized features</w:t>
      </w:r>
      <w:r w:rsidRPr="007F2024">
        <w:rPr>
          <w:rFonts w:asciiTheme="majorHAnsi" w:hAnsiTheme="majorHAnsi" w:cstheme="majorHAnsi"/>
        </w:rPr>
        <w:br/>
        <w:t>- Optimal k explored using:</w:t>
      </w:r>
      <w:r w:rsidRPr="007F2024">
        <w:rPr>
          <w:rFonts w:asciiTheme="majorHAnsi" w:hAnsiTheme="majorHAnsi" w:cstheme="majorHAnsi"/>
        </w:rPr>
        <w:br/>
        <w:t xml:space="preserve">  - Elbow Method (Inertia)</w:t>
      </w:r>
      <w:r w:rsidRPr="007F2024">
        <w:rPr>
          <w:rFonts w:asciiTheme="majorHAnsi" w:hAnsiTheme="majorHAnsi" w:cstheme="majorHAnsi"/>
        </w:rPr>
        <w:br/>
        <w:t xml:space="preserve">  - Silhouette Score</w:t>
      </w:r>
    </w:p>
    <w:p w14:paraId="34D8904E" w14:textId="77B73662" w:rsidR="00B775AF" w:rsidRPr="007F2024" w:rsidRDefault="00B775AF" w:rsidP="007F2024">
      <w:pPr>
        <w:rPr>
          <w:rFonts w:asciiTheme="majorHAnsi" w:hAnsiTheme="majorHAnsi" w:cstheme="majorHAnsi"/>
        </w:rPr>
      </w:pPr>
      <w:r w:rsidRPr="00322DD0">
        <w:rPr>
          <w:rFonts w:asciiTheme="majorHAnsi" w:hAnsiTheme="majorHAnsi" w:cstheme="majorHAnsi"/>
          <w:noProof/>
        </w:rPr>
        <w:drawing>
          <wp:inline distT="0" distB="0" distL="0" distR="0" wp14:anchorId="4AAE4AE2" wp14:editId="4761AE2E">
            <wp:extent cx="5486400" cy="1654175"/>
            <wp:effectExtent l="0" t="0" r="0" b="3175"/>
            <wp:docPr id="19500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0021" name=""/>
                    <pic:cNvPicPr/>
                  </pic:nvPicPr>
                  <pic:blipFill>
                    <a:blip r:embed="rId12"/>
                    <a:stretch>
                      <a:fillRect/>
                    </a:stretch>
                  </pic:blipFill>
                  <pic:spPr>
                    <a:xfrm>
                      <a:off x="0" y="0"/>
                      <a:ext cx="5486400" cy="1654175"/>
                    </a:xfrm>
                    <a:prstGeom prst="rect">
                      <a:avLst/>
                    </a:prstGeom>
                  </pic:spPr>
                </pic:pic>
              </a:graphicData>
            </a:graphic>
          </wp:inline>
        </w:drawing>
      </w:r>
    </w:p>
    <w:p w14:paraId="10F036D5" w14:textId="77777777" w:rsidR="00B775AF" w:rsidRPr="00B775AF" w:rsidRDefault="00B775AF" w:rsidP="00B775AF">
      <w:pPr>
        <w:rPr>
          <w:rFonts w:asciiTheme="majorHAnsi" w:eastAsiaTheme="majorEastAsia" w:hAnsiTheme="majorHAnsi" w:cstheme="majorHAnsi"/>
          <w:b/>
          <w:bCs/>
          <w:color w:val="17365D" w:themeColor="text2" w:themeShade="BF"/>
          <w:spacing w:val="5"/>
          <w:kern w:val="28"/>
        </w:rPr>
      </w:pPr>
      <w:r w:rsidRPr="00B775AF">
        <w:rPr>
          <w:rFonts w:asciiTheme="majorHAnsi" w:eastAsiaTheme="majorEastAsia" w:hAnsiTheme="majorHAnsi" w:cstheme="majorHAnsi"/>
          <w:b/>
          <w:bCs/>
          <w:color w:val="17365D" w:themeColor="text2" w:themeShade="BF"/>
          <w:spacing w:val="5"/>
          <w:kern w:val="28"/>
        </w:rPr>
        <w:t>Table 3. Sustainability–Profitability Cluster Profiles</w:t>
      </w:r>
    </w:p>
    <w:tbl>
      <w:tblPr>
        <w:tblStyle w:val="PlainTable4"/>
        <w:tblW w:w="0" w:type="auto"/>
        <w:tblLook w:val="04A0" w:firstRow="1" w:lastRow="0" w:firstColumn="1" w:lastColumn="0" w:noHBand="0" w:noVBand="1"/>
      </w:tblPr>
      <w:tblGrid>
        <w:gridCol w:w="2880"/>
        <w:gridCol w:w="2880"/>
        <w:gridCol w:w="2880"/>
      </w:tblGrid>
      <w:tr w:rsidR="00B775AF" w:rsidRPr="00B775AF" w14:paraId="1F45AB91" w14:textId="77777777" w:rsidTr="00B77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A7439C8"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Cluster</w:t>
            </w:r>
          </w:p>
        </w:tc>
        <w:tc>
          <w:tcPr>
            <w:tcW w:w="2880" w:type="dxa"/>
            <w:hideMark/>
          </w:tcPr>
          <w:p w14:paraId="07D99489" w14:textId="77777777" w:rsidR="00B775AF" w:rsidRPr="00B775AF" w:rsidRDefault="00B775AF" w:rsidP="00B77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Average ESG Score</w:t>
            </w:r>
          </w:p>
        </w:tc>
        <w:tc>
          <w:tcPr>
            <w:tcW w:w="2880" w:type="dxa"/>
            <w:hideMark/>
          </w:tcPr>
          <w:p w14:paraId="41240E4E" w14:textId="77777777" w:rsidR="00B775AF" w:rsidRPr="00B775AF" w:rsidRDefault="00B775AF" w:rsidP="00B775A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Average Profit Margin (%)</w:t>
            </w:r>
          </w:p>
        </w:tc>
      </w:tr>
      <w:tr w:rsidR="00B775AF" w:rsidRPr="00B775AF" w14:paraId="6F3E0E85" w14:textId="77777777" w:rsidTr="00B77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ED39C5D"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0</w:t>
            </w:r>
          </w:p>
        </w:tc>
        <w:tc>
          <w:tcPr>
            <w:tcW w:w="2880" w:type="dxa"/>
            <w:hideMark/>
          </w:tcPr>
          <w:p w14:paraId="27226897"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38.91</w:t>
            </w:r>
          </w:p>
        </w:tc>
        <w:tc>
          <w:tcPr>
            <w:tcW w:w="2880" w:type="dxa"/>
            <w:hideMark/>
          </w:tcPr>
          <w:p w14:paraId="6E13234C"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8.59</w:t>
            </w:r>
          </w:p>
        </w:tc>
      </w:tr>
      <w:tr w:rsidR="00B775AF" w:rsidRPr="00B775AF" w14:paraId="635AA43D" w14:textId="77777777" w:rsidTr="00B775AF">
        <w:tc>
          <w:tcPr>
            <w:cnfStyle w:val="001000000000" w:firstRow="0" w:lastRow="0" w:firstColumn="1" w:lastColumn="0" w:oddVBand="0" w:evenVBand="0" w:oddHBand="0" w:evenHBand="0" w:firstRowFirstColumn="0" w:firstRowLastColumn="0" w:lastRowFirstColumn="0" w:lastRowLastColumn="0"/>
            <w:tcW w:w="2880" w:type="dxa"/>
            <w:hideMark/>
          </w:tcPr>
          <w:p w14:paraId="3AC00485"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1</w:t>
            </w:r>
          </w:p>
        </w:tc>
        <w:tc>
          <w:tcPr>
            <w:tcW w:w="2880" w:type="dxa"/>
            <w:hideMark/>
          </w:tcPr>
          <w:p w14:paraId="737A340F"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65.12</w:t>
            </w:r>
          </w:p>
        </w:tc>
        <w:tc>
          <w:tcPr>
            <w:tcW w:w="2880" w:type="dxa"/>
            <w:hideMark/>
          </w:tcPr>
          <w:p w14:paraId="322C2A2C" w14:textId="77777777" w:rsidR="00B775AF" w:rsidRPr="00B775AF" w:rsidRDefault="00B775AF" w:rsidP="00B775A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5.15</w:t>
            </w:r>
          </w:p>
        </w:tc>
      </w:tr>
      <w:tr w:rsidR="00B775AF" w:rsidRPr="00B775AF" w14:paraId="04EC0636" w14:textId="77777777" w:rsidTr="00B77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75B923A"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2</w:t>
            </w:r>
          </w:p>
        </w:tc>
        <w:tc>
          <w:tcPr>
            <w:tcW w:w="2880" w:type="dxa"/>
            <w:hideMark/>
          </w:tcPr>
          <w:p w14:paraId="7F057B48"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61.19</w:t>
            </w:r>
          </w:p>
        </w:tc>
        <w:tc>
          <w:tcPr>
            <w:tcW w:w="2880" w:type="dxa"/>
            <w:hideMark/>
          </w:tcPr>
          <w:p w14:paraId="10576C8D" w14:textId="77777777" w:rsidR="00B775AF" w:rsidRPr="00B775AF" w:rsidRDefault="00B775AF" w:rsidP="00B775A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B775AF">
              <w:rPr>
                <w:rFonts w:asciiTheme="majorHAnsi" w:hAnsiTheme="majorHAnsi" w:cstheme="majorHAnsi"/>
              </w:rPr>
              <w:t>20.45</w:t>
            </w:r>
          </w:p>
        </w:tc>
      </w:tr>
    </w:tbl>
    <w:p w14:paraId="2B72EBEF" w14:textId="77777777" w:rsidR="00B775AF" w:rsidRDefault="00B775AF" w:rsidP="007F2024">
      <w:pPr>
        <w:rPr>
          <w:rFonts w:asciiTheme="majorHAnsi" w:hAnsiTheme="majorHAnsi" w:cstheme="majorHAnsi"/>
        </w:rPr>
      </w:pPr>
    </w:p>
    <w:p w14:paraId="3F4160A7" w14:textId="52A55321" w:rsidR="00322DD0" w:rsidRPr="00322DD0" w:rsidRDefault="007F2024" w:rsidP="007F2024">
      <w:pPr>
        <w:rPr>
          <w:rFonts w:asciiTheme="majorHAnsi" w:hAnsiTheme="majorHAnsi" w:cstheme="majorHAnsi"/>
        </w:rPr>
      </w:pPr>
      <w:r w:rsidRPr="007F2024">
        <w:rPr>
          <w:rFonts w:asciiTheme="majorHAnsi" w:hAnsiTheme="majorHAnsi" w:cstheme="majorHAnsi"/>
        </w:rPr>
        <w:t>Interpretation:</w:t>
      </w:r>
      <w:r w:rsidRPr="007F2024">
        <w:rPr>
          <w:rFonts w:asciiTheme="majorHAnsi" w:hAnsiTheme="majorHAnsi" w:cstheme="majorHAnsi"/>
        </w:rPr>
        <w:br/>
        <w:t>- Cluster 0 represents a low-ESG, moderate-profit profile.</w:t>
      </w:r>
      <w:r w:rsidRPr="007F2024">
        <w:rPr>
          <w:rFonts w:asciiTheme="majorHAnsi" w:hAnsiTheme="majorHAnsi" w:cstheme="majorHAnsi"/>
        </w:rPr>
        <w:br/>
        <w:t>- Cluster 1 represents a high-ESG, low-profit profile.</w:t>
      </w:r>
      <w:r w:rsidRPr="007F2024">
        <w:rPr>
          <w:rFonts w:asciiTheme="majorHAnsi" w:hAnsiTheme="majorHAnsi" w:cstheme="majorHAnsi"/>
        </w:rPr>
        <w:br/>
        <w:t>- Cluster 2 represents a high-ESG, high-profit profile.</w:t>
      </w:r>
    </w:p>
    <w:p w14:paraId="02B7B465" w14:textId="72D20C95" w:rsidR="007F2024" w:rsidRPr="007F2024" w:rsidRDefault="007F2024" w:rsidP="007F2024">
      <w:pPr>
        <w:rPr>
          <w:rFonts w:asciiTheme="majorHAnsi" w:hAnsiTheme="majorHAnsi" w:cstheme="majorHAnsi"/>
        </w:rPr>
      </w:pPr>
      <w:r w:rsidRPr="007F2024">
        <w:rPr>
          <w:rFonts w:asciiTheme="majorHAnsi" w:hAnsiTheme="majorHAnsi" w:cstheme="majorHAnsi"/>
        </w:rPr>
        <w:t>These profiles highlight that “high ESG” does not imply a single profitability outcome; instead, firms appear to adopt different sustainability strategies with heterogeneous financial performance.</w:t>
      </w:r>
    </w:p>
    <w:p w14:paraId="423BAFBC" w14:textId="4ABBB1A4" w:rsidR="00322DD0" w:rsidRPr="00322DD0" w:rsidRDefault="00322DD0" w:rsidP="007F2024">
      <w:pPr>
        <w:rPr>
          <w:rFonts w:asciiTheme="majorHAnsi" w:hAnsiTheme="majorHAnsi" w:cstheme="majorHAnsi"/>
        </w:rPr>
      </w:pPr>
    </w:p>
    <w:p w14:paraId="2EC4E9BB" w14:textId="77777777" w:rsidR="00322DD0" w:rsidRPr="00322DD0" w:rsidRDefault="00322DD0" w:rsidP="007F2024">
      <w:pPr>
        <w:rPr>
          <w:rFonts w:asciiTheme="majorHAnsi" w:hAnsiTheme="majorHAnsi" w:cstheme="majorHAnsi"/>
        </w:rPr>
      </w:pPr>
    </w:p>
    <w:p w14:paraId="1A66FDD9" w14:textId="1D9AAAD6" w:rsidR="00322DD0" w:rsidRPr="00322DD0" w:rsidRDefault="00322DD0" w:rsidP="007F2024">
      <w:pPr>
        <w:rPr>
          <w:rFonts w:asciiTheme="majorHAnsi" w:hAnsiTheme="majorHAnsi" w:cstheme="majorHAnsi"/>
        </w:rPr>
      </w:pPr>
      <w:r w:rsidRPr="00322DD0">
        <w:rPr>
          <w:rFonts w:asciiTheme="majorHAnsi" w:hAnsiTheme="majorHAnsi" w:cstheme="majorHAnsi"/>
          <w:noProof/>
        </w:rPr>
        <w:lastRenderedPageBreak/>
        <w:drawing>
          <wp:inline distT="0" distB="0" distL="0" distR="0" wp14:anchorId="378AD3BF" wp14:editId="639974EF">
            <wp:extent cx="5486400" cy="3168650"/>
            <wp:effectExtent l="0" t="0" r="0" b="0"/>
            <wp:docPr id="36417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2988" name=""/>
                    <pic:cNvPicPr/>
                  </pic:nvPicPr>
                  <pic:blipFill>
                    <a:blip r:embed="rId13"/>
                    <a:stretch>
                      <a:fillRect/>
                    </a:stretch>
                  </pic:blipFill>
                  <pic:spPr>
                    <a:xfrm>
                      <a:off x="0" y="0"/>
                      <a:ext cx="5486400" cy="3168650"/>
                    </a:xfrm>
                    <a:prstGeom prst="rect">
                      <a:avLst/>
                    </a:prstGeom>
                  </pic:spPr>
                </pic:pic>
              </a:graphicData>
            </a:graphic>
          </wp:inline>
        </w:drawing>
      </w:r>
    </w:p>
    <w:p w14:paraId="5DA9052D" w14:textId="7F63EB23" w:rsidR="00322DD0" w:rsidRDefault="007F2024">
      <w:pPr>
        <w:rPr>
          <w:rFonts w:asciiTheme="majorHAnsi" w:hAnsiTheme="majorHAnsi" w:cstheme="majorHAnsi"/>
        </w:rPr>
      </w:pPr>
      <w:r w:rsidRPr="007F2024">
        <w:rPr>
          <w:rFonts w:asciiTheme="majorHAnsi" w:hAnsiTheme="majorHAnsi" w:cstheme="majorHAnsi"/>
          <w:b/>
          <w:bCs/>
        </w:rPr>
        <w:t>Overall ML Summary:</w:t>
      </w:r>
      <w:r w:rsidRPr="007F2024">
        <w:rPr>
          <w:rFonts w:asciiTheme="majorHAnsi" w:hAnsiTheme="majorHAnsi" w:cstheme="majorHAnsi"/>
        </w:rPr>
        <w:br/>
        <w:t>The machine learning results reinforce the broader project conclusion: ESG and environmental variables are informative, but their relationship with profitability is complex. Linear models fail to capture the structure, while non-linear models (Random Forest) provide meaningful predictive power. Clustering further reveals distinct sustainability–performance profiles, suggesting strategic heterogeneity rather than a universal ESG-profit trade-off.</w:t>
      </w:r>
    </w:p>
    <w:p w14:paraId="522FE562" w14:textId="77777777" w:rsidR="00322DD0" w:rsidRPr="00322DD0" w:rsidRDefault="00322DD0" w:rsidP="00322DD0">
      <w:pPr>
        <w:rPr>
          <w:rFonts w:asciiTheme="majorHAnsi" w:eastAsiaTheme="majorEastAsia" w:hAnsiTheme="majorHAnsi" w:cstheme="majorHAnsi"/>
          <w:color w:val="17365D" w:themeColor="text2" w:themeShade="BF"/>
          <w:spacing w:val="5"/>
          <w:kern w:val="28"/>
          <w:sz w:val="40"/>
          <w:szCs w:val="40"/>
        </w:rPr>
      </w:pPr>
      <w:r w:rsidRPr="00322DD0">
        <w:rPr>
          <w:rFonts w:asciiTheme="majorHAnsi" w:eastAsiaTheme="majorEastAsia" w:hAnsiTheme="majorHAnsi" w:cstheme="majorHAnsi"/>
          <w:color w:val="17365D" w:themeColor="text2" w:themeShade="BF"/>
          <w:spacing w:val="5"/>
          <w:kern w:val="28"/>
          <w:sz w:val="40"/>
          <w:szCs w:val="40"/>
        </w:rPr>
        <w:t>Expected Outcomes</w:t>
      </w:r>
    </w:p>
    <w:p w14:paraId="127FBB7E" w14:textId="77777777" w:rsidR="00322DD0" w:rsidRPr="00322DD0" w:rsidRDefault="00322DD0" w:rsidP="00322DD0">
      <w:pPr>
        <w:rPr>
          <w:rFonts w:asciiTheme="majorHAnsi" w:hAnsiTheme="majorHAnsi" w:cstheme="majorHAnsi"/>
        </w:rPr>
      </w:pPr>
      <w:r w:rsidRPr="00322DD0">
        <w:rPr>
          <w:rFonts w:asciiTheme="majorHAnsi" w:hAnsiTheme="majorHAnsi" w:cstheme="majorHAnsi"/>
        </w:rPr>
        <w:t>Higher ESG scores may correspond to lower emissions and higher operational efficiency.</w:t>
      </w:r>
    </w:p>
    <w:p w14:paraId="494890E9" w14:textId="77777777" w:rsidR="00322DD0" w:rsidRPr="00322DD0" w:rsidRDefault="00322DD0" w:rsidP="00322DD0">
      <w:pPr>
        <w:rPr>
          <w:rFonts w:asciiTheme="majorHAnsi" w:hAnsiTheme="majorHAnsi" w:cstheme="majorHAnsi"/>
        </w:rPr>
      </w:pPr>
      <w:r w:rsidRPr="00322DD0">
        <w:rPr>
          <w:rFonts w:asciiTheme="majorHAnsi" w:hAnsiTheme="majorHAnsi" w:cstheme="majorHAnsi"/>
        </w:rPr>
        <w:t>ESG–profitability patterns may differ across industries and regions.</w:t>
      </w:r>
    </w:p>
    <w:p w14:paraId="7FEC2710" w14:textId="77777777" w:rsidR="00322DD0" w:rsidRPr="00322DD0" w:rsidRDefault="00322DD0" w:rsidP="00322DD0">
      <w:pPr>
        <w:rPr>
          <w:rFonts w:asciiTheme="majorHAnsi" w:hAnsiTheme="majorHAnsi" w:cstheme="majorHAnsi"/>
        </w:rPr>
      </w:pPr>
      <w:r w:rsidRPr="00322DD0">
        <w:rPr>
          <w:rFonts w:asciiTheme="majorHAnsi" w:hAnsiTheme="majorHAnsi" w:cstheme="majorHAnsi"/>
        </w:rPr>
        <w:t>GDP comparisons may reveal whether sustainability alignment is stronger in economically developed regions.</w:t>
      </w:r>
    </w:p>
    <w:p w14:paraId="21A38AA6" w14:textId="77777777" w:rsidR="00322DD0" w:rsidRPr="00322DD0" w:rsidRDefault="00322DD0" w:rsidP="00322DD0">
      <w:pPr>
        <w:rPr>
          <w:rFonts w:asciiTheme="majorHAnsi" w:hAnsiTheme="majorHAnsi" w:cstheme="majorHAnsi"/>
        </w:rPr>
      </w:pPr>
      <w:r w:rsidRPr="00322DD0">
        <w:rPr>
          <w:rFonts w:asciiTheme="majorHAnsi" w:hAnsiTheme="majorHAnsi" w:cstheme="majorHAnsi"/>
        </w:rPr>
        <w:t>Clustering analysis may uncover distinct corporate sustainability strategies.</w:t>
      </w:r>
    </w:p>
    <w:p w14:paraId="596AB52F" w14:textId="77777777" w:rsidR="00DA09EE" w:rsidRDefault="00DA09EE" w:rsidP="00322DD0">
      <w:pPr>
        <w:rPr>
          <w:rFonts w:asciiTheme="majorHAnsi" w:eastAsiaTheme="majorEastAsia" w:hAnsiTheme="majorHAnsi" w:cstheme="majorHAnsi"/>
          <w:color w:val="17365D" w:themeColor="text2" w:themeShade="BF"/>
          <w:spacing w:val="5"/>
          <w:kern w:val="28"/>
          <w:sz w:val="40"/>
          <w:szCs w:val="40"/>
        </w:rPr>
      </w:pPr>
    </w:p>
    <w:p w14:paraId="6DFB248C" w14:textId="77777777" w:rsidR="00DA09EE" w:rsidRDefault="00DA09EE" w:rsidP="00322DD0">
      <w:pPr>
        <w:rPr>
          <w:rFonts w:asciiTheme="majorHAnsi" w:eastAsiaTheme="majorEastAsia" w:hAnsiTheme="majorHAnsi" w:cstheme="majorHAnsi"/>
          <w:color w:val="17365D" w:themeColor="text2" w:themeShade="BF"/>
          <w:spacing w:val="5"/>
          <w:kern w:val="28"/>
          <w:sz w:val="40"/>
          <w:szCs w:val="40"/>
        </w:rPr>
      </w:pPr>
    </w:p>
    <w:p w14:paraId="1E19D0D8" w14:textId="77777777" w:rsidR="00DA09EE" w:rsidRDefault="00DA09EE" w:rsidP="00322DD0">
      <w:pPr>
        <w:rPr>
          <w:rFonts w:asciiTheme="majorHAnsi" w:eastAsiaTheme="majorEastAsia" w:hAnsiTheme="majorHAnsi" w:cstheme="majorHAnsi"/>
          <w:color w:val="17365D" w:themeColor="text2" w:themeShade="BF"/>
          <w:spacing w:val="5"/>
          <w:kern w:val="28"/>
          <w:sz w:val="40"/>
          <w:szCs w:val="40"/>
        </w:rPr>
      </w:pPr>
    </w:p>
    <w:p w14:paraId="1A0AC345" w14:textId="6E5955BD" w:rsidR="00322DD0" w:rsidRPr="00322DD0" w:rsidRDefault="00322DD0" w:rsidP="00322DD0">
      <w:pPr>
        <w:rPr>
          <w:rFonts w:asciiTheme="majorHAnsi" w:eastAsiaTheme="majorEastAsia" w:hAnsiTheme="majorHAnsi" w:cstheme="majorHAnsi"/>
          <w:color w:val="17365D" w:themeColor="text2" w:themeShade="BF"/>
          <w:spacing w:val="5"/>
          <w:kern w:val="28"/>
          <w:sz w:val="40"/>
          <w:szCs w:val="40"/>
        </w:rPr>
      </w:pPr>
      <w:r w:rsidRPr="00322DD0">
        <w:rPr>
          <w:rFonts w:asciiTheme="majorHAnsi" w:eastAsiaTheme="majorEastAsia" w:hAnsiTheme="majorHAnsi" w:cstheme="majorHAnsi"/>
          <w:color w:val="17365D" w:themeColor="text2" w:themeShade="BF"/>
          <w:spacing w:val="5"/>
          <w:kern w:val="28"/>
          <w:sz w:val="40"/>
          <w:szCs w:val="40"/>
        </w:rPr>
        <w:lastRenderedPageBreak/>
        <w:t>Limitations and Future Work</w:t>
      </w:r>
    </w:p>
    <w:p w14:paraId="29F1F40D" w14:textId="77777777" w:rsidR="00322DD0" w:rsidRPr="00322DD0" w:rsidRDefault="00322DD0" w:rsidP="00322DD0">
      <w:pPr>
        <w:rPr>
          <w:rFonts w:asciiTheme="majorHAnsi" w:hAnsiTheme="majorHAnsi" w:cstheme="majorHAnsi"/>
          <w:b/>
          <w:bCs/>
        </w:rPr>
      </w:pPr>
      <w:r w:rsidRPr="00322DD0">
        <w:rPr>
          <w:rFonts w:asciiTheme="majorHAnsi" w:hAnsiTheme="majorHAnsi" w:cstheme="majorHAnsi"/>
          <w:b/>
          <w:bCs/>
        </w:rPr>
        <w:t>Limitations</w:t>
      </w:r>
    </w:p>
    <w:p w14:paraId="422C633A" w14:textId="77777777" w:rsidR="00322DD0" w:rsidRPr="00B775AF" w:rsidRDefault="00322DD0" w:rsidP="00B775AF">
      <w:pPr>
        <w:pStyle w:val="ListParagraph"/>
        <w:numPr>
          <w:ilvl w:val="0"/>
          <w:numId w:val="11"/>
        </w:numPr>
        <w:rPr>
          <w:rFonts w:asciiTheme="majorHAnsi" w:hAnsiTheme="majorHAnsi" w:cstheme="majorHAnsi"/>
        </w:rPr>
      </w:pPr>
      <w:r w:rsidRPr="00B775AF">
        <w:rPr>
          <w:rFonts w:asciiTheme="majorHAnsi" w:hAnsiTheme="majorHAnsi" w:cstheme="majorHAnsi"/>
        </w:rPr>
        <w:t>Synthetic Data: The Corporate ESG &amp; Financial Performance Dataset is simulated, meaning observed relationships may appear cleaner and more distinct than in real-world data.</w:t>
      </w:r>
    </w:p>
    <w:p w14:paraId="3BE76D01" w14:textId="77777777" w:rsidR="00322DD0" w:rsidRPr="00B775AF" w:rsidRDefault="00322DD0" w:rsidP="00B775AF">
      <w:pPr>
        <w:pStyle w:val="ListParagraph"/>
        <w:numPr>
          <w:ilvl w:val="0"/>
          <w:numId w:val="11"/>
        </w:numPr>
        <w:rPr>
          <w:rFonts w:asciiTheme="majorHAnsi" w:hAnsiTheme="majorHAnsi" w:cstheme="majorHAnsi"/>
        </w:rPr>
      </w:pPr>
      <w:r w:rsidRPr="00B775AF">
        <w:rPr>
          <w:rFonts w:asciiTheme="majorHAnsi" w:hAnsiTheme="majorHAnsi" w:cstheme="majorHAnsi"/>
        </w:rPr>
        <w:t>Regional Aggregation: Grouping countries into broad regions (e.g., Europe) masks country-specific economic and regulatory differences.</w:t>
      </w:r>
    </w:p>
    <w:p w14:paraId="384D9D66" w14:textId="77777777" w:rsidR="00322DD0" w:rsidRPr="00B775AF" w:rsidRDefault="00322DD0" w:rsidP="00B775AF">
      <w:pPr>
        <w:pStyle w:val="ListParagraph"/>
        <w:numPr>
          <w:ilvl w:val="0"/>
          <w:numId w:val="11"/>
        </w:numPr>
        <w:rPr>
          <w:rFonts w:asciiTheme="majorHAnsi" w:hAnsiTheme="majorHAnsi" w:cstheme="majorHAnsi"/>
        </w:rPr>
      </w:pPr>
      <w:r w:rsidRPr="00B775AF">
        <w:rPr>
          <w:rFonts w:asciiTheme="majorHAnsi" w:hAnsiTheme="majorHAnsi" w:cstheme="majorHAnsi"/>
        </w:rPr>
        <w:t>No Causality: While strong correlations are observed, the analysis cannot establish causal relationships between ESG performance and profitability.</w:t>
      </w:r>
    </w:p>
    <w:p w14:paraId="149C2A53" w14:textId="77777777" w:rsidR="00322DD0" w:rsidRPr="00B775AF" w:rsidRDefault="00322DD0" w:rsidP="00B775AF">
      <w:pPr>
        <w:pStyle w:val="ListParagraph"/>
        <w:numPr>
          <w:ilvl w:val="0"/>
          <w:numId w:val="11"/>
        </w:numPr>
        <w:rPr>
          <w:rFonts w:asciiTheme="majorHAnsi" w:hAnsiTheme="majorHAnsi" w:cstheme="majorHAnsi"/>
        </w:rPr>
      </w:pPr>
      <w:r w:rsidRPr="00B775AF">
        <w:rPr>
          <w:rFonts w:asciiTheme="majorHAnsi" w:hAnsiTheme="majorHAnsi" w:cstheme="majorHAnsi"/>
        </w:rPr>
        <w:t>Non-Linear Relationships: Simple linear models fail (R² &lt; 0), indicating that standard linear formulations cannot adequately capture these dynamics.</w:t>
      </w:r>
    </w:p>
    <w:p w14:paraId="46106494" w14:textId="77777777" w:rsidR="00322DD0" w:rsidRPr="00322DD0" w:rsidRDefault="00322DD0" w:rsidP="00322DD0">
      <w:pPr>
        <w:rPr>
          <w:rFonts w:asciiTheme="majorHAnsi" w:hAnsiTheme="majorHAnsi" w:cstheme="majorHAnsi"/>
          <w:b/>
          <w:bCs/>
        </w:rPr>
      </w:pPr>
      <w:r w:rsidRPr="00322DD0">
        <w:rPr>
          <w:rFonts w:asciiTheme="majorHAnsi" w:hAnsiTheme="majorHAnsi" w:cstheme="majorHAnsi"/>
          <w:b/>
          <w:bCs/>
        </w:rPr>
        <w:t>Future Work</w:t>
      </w:r>
    </w:p>
    <w:p w14:paraId="7DEF64F8" w14:textId="77777777" w:rsidR="00322DD0" w:rsidRPr="00B775AF" w:rsidRDefault="00322DD0" w:rsidP="00B775AF">
      <w:pPr>
        <w:pStyle w:val="ListParagraph"/>
        <w:numPr>
          <w:ilvl w:val="0"/>
          <w:numId w:val="12"/>
        </w:numPr>
        <w:rPr>
          <w:rFonts w:asciiTheme="majorHAnsi" w:hAnsiTheme="majorHAnsi" w:cstheme="majorHAnsi"/>
        </w:rPr>
      </w:pPr>
      <w:r w:rsidRPr="00B775AF">
        <w:rPr>
          <w:rFonts w:asciiTheme="majorHAnsi" w:hAnsiTheme="majorHAnsi" w:cstheme="majorHAnsi"/>
        </w:rPr>
        <w:t>Granular Analysis: Incorporate country-level data to capture more precise economic and regulatory effects.</w:t>
      </w:r>
    </w:p>
    <w:p w14:paraId="64016AD0" w14:textId="77777777" w:rsidR="00322DD0" w:rsidRPr="00B775AF" w:rsidRDefault="00322DD0" w:rsidP="00B775AF">
      <w:pPr>
        <w:pStyle w:val="ListParagraph"/>
        <w:numPr>
          <w:ilvl w:val="0"/>
          <w:numId w:val="12"/>
        </w:numPr>
        <w:rPr>
          <w:rFonts w:asciiTheme="majorHAnsi" w:hAnsiTheme="majorHAnsi" w:cstheme="majorHAnsi"/>
        </w:rPr>
      </w:pPr>
      <w:r w:rsidRPr="00B775AF">
        <w:rPr>
          <w:rFonts w:asciiTheme="majorHAnsi" w:hAnsiTheme="majorHAnsi" w:cstheme="majorHAnsi"/>
        </w:rPr>
        <w:t>Time-Series Forecasting: Apply advanced models such as ARIMA or LSTM to forecast future ESG and financial performance trends.</w:t>
      </w:r>
    </w:p>
    <w:p w14:paraId="256B9CFC" w14:textId="77777777" w:rsidR="00322DD0" w:rsidRPr="00B775AF" w:rsidRDefault="00322DD0" w:rsidP="00B775AF">
      <w:pPr>
        <w:pStyle w:val="ListParagraph"/>
        <w:numPr>
          <w:ilvl w:val="0"/>
          <w:numId w:val="12"/>
        </w:numPr>
        <w:rPr>
          <w:rFonts w:asciiTheme="majorHAnsi" w:hAnsiTheme="majorHAnsi" w:cstheme="majorHAnsi"/>
        </w:rPr>
      </w:pPr>
      <w:r w:rsidRPr="00B775AF">
        <w:rPr>
          <w:rFonts w:asciiTheme="majorHAnsi" w:hAnsiTheme="majorHAnsi" w:cstheme="majorHAnsi"/>
        </w:rPr>
        <w:t>Industry-Specific Models: Develop separate machine learning models for distinct sectors (e.g., Technology vs Energy) to improve predictive accuracy.</w:t>
      </w:r>
    </w:p>
    <w:p w14:paraId="435C0489" w14:textId="77777777" w:rsidR="00B775AF" w:rsidRDefault="00B775AF" w:rsidP="00B775AF">
      <w:pPr>
        <w:rPr>
          <w:rFonts w:asciiTheme="majorHAnsi" w:eastAsiaTheme="majorEastAsia" w:hAnsiTheme="majorHAnsi" w:cstheme="majorHAnsi"/>
          <w:color w:val="17365D" w:themeColor="text2" w:themeShade="BF"/>
          <w:spacing w:val="5"/>
          <w:kern w:val="28"/>
          <w:sz w:val="40"/>
          <w:szCs w:val="40"/>
        </w:rPr>
      </w:pPr>
    </w:p>
    <w:p w14:paraId="3AE01C32" w14:textId="77777777" w:rsidR="00B775AF" w:rsidRDefault="00B775AF" w:rsidP="00B775AF">
      <w:pPr>
        <w:rPr>
          <w:rFonts w:asciiTheme="majorHAnsi" w:eastAsiaTheme="majorEastAsia" w:hAnsiTheme="majorHAnsi" w:cstheme="majorHAnsi"/>
          <w:color w:val="17365D" w:themeColor="text2" w:themeShade="BF"/>
          <w:spacing w:val="5"/>
          <w:kern w:val="28"/>
          <w:sz w:val="40"/>
          <w:szCs w:val="40"/>
        </w:rPr>
      </w:pPr>
    </w:p>
    <w:p w14:paraId="07C15BF2" w14:textId="77777777" w:rsidR="00B775AF" w:rsidRDefault="00B775AF" w:rsidP="00B775AF">
      <w:pPr>
        <w:rPr>
          <w:rFonts w:asciiTheme="majorHAnsi" w:eastAsiaTheme="majorEastAsia" w:hAnsiTheme="majorHAnsi" w:cstheme="majorHAnsi"/>
          <w:color w:val="17365D" w:themeColor="text2" w:themeShade="BF"/>
          <w:spacing w:val="5"/>
          <w:kern w:val="28"/>
          <w:sz w:val="40"/>
          <w:szCs w:val="40"/>
        </w:rPr>
      </w:pPr>
    </w:p>
    <w:p w14:paraId="7DB70EAD" w14:textId="77777777" w:rsidR="00B775AF" w:rsidRDefault="00B775AF" w:rsidP="00B775AF">
      <w:pPr>
        <w:rPr>
          <w:rFonts w:asciiTheme="majorHAnsi" w:eastAsiaTheme="majorEastAsia" w:hAnsiTheme="majorHAnsi" w:cstheme="majorHAnsi"/>
          <w:color w:val="17365D" w:themeColor="text2" w:themeShade="BF"/>
          <w:spacing w:val="5"/>
          <w:kern w:val="28"/>
          <w:sz w:val="40"/>
          <w:szCs w:val="40"/>
        </w:rPr>
      </w:pPr>
    </w:p>
    <w:p w14:paraId="0B00C071" w14:textId="77777777" w:rsidR="00B775AF" w:rsidRDefault="00B775AF" w:rsidP="00B775AF">
      <w:pPr>
        <w:rPr>
          <w:rFonts w:asciiTheme="majorHAnsi" w:eastAsiaTheme="majorEastAsia" w:hAnsiTheme="majorHAnsi" w:cstheme="majorHAnsi"/>
          <w:color w:val="17365D" w:themeColor="text2" w:themeShade="BF"/>
          <w:spacing w:val="5"/>
          <w:kern w:val="28"/>
          <w:sz w:val="40"/>
          <w:szCs w:val="40"/>
        </w:rPr>
      </w:pPr>
    </w:p>
    <w:p w14:paraId="4D501AD1" w14:textId="77777777" w:rsidR="00B775AF" w:rsidRDefault="00B775AF" w:rsidP="00B775AF">
      <w:pPr>
        <w:rPr>
          <w:rFonts w:asciiTheme="majorHAnsi" w:eastAsiaTheme="majorEastAsia" w:hAnsiTheme="majorHAnsi" w:cstheme="majorHAnsi"/>
          <w:color w:val="17365D" w:themeColor="text2" w:themeShade="BF"/>
          <w:spacing w:val="5"/>
          <w:kern w:val="28"/>
          <w:sz w:val="40"/>
          <w:szCs w:val="40"/>
        </w:rPr>
      </w:pPr>
    </w:p>
    <w:p w14:paraId="464972E4" w14:textId="77777777" w:rsidR="00B775AF" w:rsidRDefault="00B775AF" w:rsidP="00B775AF">
      <w:pPr>
        <w:rPr>
          <w:rFonts w:asciiTheme="majorHAnsi" w:eastAsiaTheme="majorEastAsia" w:hAnsiTheme="majorHAnsi" w:cstheme="majorHAnsi"/>
          <w:color w:val="17365D" w:themeColor="text2" w:themeShade="BF"/>
          <w:spacing w:val="5"/>
          <w:kern w:val="28"/>
          <w:sz w:val="40"/>
          <w:szCs w:val="40"/>
        </w:rPr>
      </w:pPr>
    </w:p>
    <w:p w14:paraId="6DBB5B60" w14:textId="77777777" w:rsidR="00B775AF" w:rsidRDefault="00B775AF" w:rsidP="00B775AF">
      <w:pPr>
        <w:rPr>
          <w:rFonts w:asciiTheme="majorHAnsi" w:eastAsiaTheme="majorEastAsia" w:hAnsiTheme="majorHAnsi" w:cstheme="majorHAnsi"/>
          <w:color w:val="17365D" w:themeColor="text2" w:themeShade="BF"/>
          <w:spacing w:val="5"/>
          <w:kern w:val="28"/>
          <w:sz w:val="40"/>
          <w:szCs w:val="40"/>
        </w:rPr>
      </w:pPr>
    </w:p>
    <w:p w14:paraId="2DB323A6" w14:textId="515525FA" w:rsidR="00B775AF" w:rsidRPr="00B775AF" w:rsidRDefault="00B775AF" w:rsidP="00B775AF">
      <w:pPr>
        <w:rPr>
          <w:rFonts w:asciiTheme="majorHAnsi" w:eastAsiaTheme="majorEastAsia" w:hAnsiTheme="majorHAnsi" w:cstheme="majorHAnsi"/>
          <w:color w:val="17365D" w:themeColor="text2" w:themeShade="BF"/>
          <w:spacing w:val="5"/>
          <w:kern w:val="28"/>
          <w:sz w:val="40"/>
          <w:szCs w:val="40"/>
        </w:rPr>
      </w:pPr>
      <w:r w:rsidRPr="00B775AF">
        <w:rPr>
          <w:rFonts w:asciiTheme="majorHAnsi" w:eastAsiaTheme="majorEastAsia" w:hAnsiTheme="majorHAnsi" w:cstheme="majorHAnsi"/>
          <w:color w:val="17365D" w:themeColor="text2" w:themeShade="BF"/>
          <w:spacing w:val="5"/>
          <w:kern w:val="28"/>
          <w:sz w:val="40"/>
          <w:szCs w:val="40"/>
        </w:rPr>
        <w:lastRenderedPageBreak/>
        <w:t xml:space="preserve">Key Findings </w:t>
      </w:r>
    </w:p>
    <w:p w14:paraId="4C6B5665"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Based on the visualizations, statistical tests, predictive modeling, and clustering results, the following key findings summarize the core insights of the project:</w:t>
      </w:r>
    </w:p>
    <w:p w14:paraId="4CDE3848" w14:textId="77777777" w:rsidR="00B775AF" w:rsidRPr="00B775AF" w:rsidRDefault="00B775AF" w:rsidP="00B775AF">
      <w:pPr>
        <w:pStyle w:val="ListParagraph"/>
        <w:numPr>
          <w:ilvl w:val="0"/>
          <w:numId w:val="10"/>
        </w:numPr>
        <w:rPr>
          <w:rFonts w:asciiTheme="majorHAnsi" w:hAnsiTheme="majorHAnsi" w:cstheme="majorHAnsi"/>
        </w:rPr>
      </w:pPr>
      <w:r w:rsidRPr="00B775AF">
        <w:rPr>
          <w:rFonts w:asciiTheme="majorHAnsi" w:hAnsiTheme="majorHAnsi" w:cstheme="majorHAnsi"/>
        </w:rPr>
        <w:t xml:space="preserve">ESG performance is statistically linked to both profitability and efficiency. </w:t>
      </w:r>
      <w:proofErr w:type="spellStart"/>
      <w:r w:rsidRPr="00B775AF">
        <w:rPr>
          <w:rFonts w:asciiTheme="majorHAnsi" w:hAnsiTheme="majorHAnsi" w:cstheme="majorHAnsi"/>
        </w:rPr>
        <w:t>ESG_Overall</w:t>
      </w:r>
      <w:proofErr w:type="spellEnd"/>
      <w:r w:rsidRPr="00B775AF">
        <w:rPr>
          <w:rFonts w:asciiTheme="majorHAnsi" w:hAnsiTheme="majorHAnsi" w:cstheme="majorHAnsi"/>
        </w:rPr>
        <w:t xml:space="preserve"> shows a weak but significant positive correlation with </w:t>
      </w:r>
      <w:proofErr w:type="spellStart"/>
      <w:r w:rsidRPr="00B775AF">
        <w:rPr>
          <w:rFonts w:asciiTheme="majorHAnsi" w:hAnsiTheme="majorHAnsi" w:cstheme="majorHAnsi"/>
        </w:rPr>
        <w:t>ProfitMargin</w:t>
      </w:r>
      <w:proofErr w:type="spellEnd"/>
      <w:r w:rsidRPr="00B775AF">
        <w:rPr>
          <w:rFonts w:asciiTheme="majorHAnsi" w:hAnsiTheme="majorHAnsi" w:cstheme="majorHAnsi"/>
        </w:rPr>
        <w:t xml:space="preserve">, and small but significant negative correlations with </w:t>
      </w:r>
      <w:proofErr w:type="spellStart"/>
      <w:r w:rsidRPr="00B775AF">
        <w:rPr>
          <w:rFonts w:asciiTheme="majorHAnsi" w:hAnsiTheme="majorHAnsi" w:cstheme="majorHAnsi"/>
        </w:rPr>
        <w:t>CarbonEmissions</w:t>
      </w:r>
      <w:proofErr w:type="spellEnd"/>
      <w:r w:rsidRPr="00B775AF">
        <w:rPr>
          <w:rFonts w:asciiTheme="majorHAnsi" w:hAnsiTheme="majorHAnsi" w:cstheme="majorHAnsi"/>
        </w:rPr>
        <w:t xml:space="preserve">, </w:t>
      </w:r>
      <w:proofErr w:type="spellStart"/>
      <w:r w:rsidRPr="00B775AF">
        <w:rPr>
          <w:rFonts w:asciiTheme="majorHAnsi" w:hAnsiTheme="majorHAnsi" w:cstheme="majorHAnsi"/>
        </w:rPr>
        <w:t>WaterUsage</w:t>
      </w:r>
      <w:proofErr w:type="spellEnd"/>
      <w:r w:rsidRPr="00B775AF">
        <w:rPr>
          <w:rFonts w:asciiTheme="majorHAnsi" w:hAnsiTheme="majorHAnsi" w:cstheme="majorHAnsi"/>
        </w:rPr>
        <w:t xml:space="preserve">, and </w:t>
      </w:r>
      <w:proofErr w:type="spellStart"/>
      <w:r w:rsidRPr="00B775AF">
        <w:rPr>
          <w:rFonts w:asciiTheme="majorHAnsi" w:hAnsiTheme="majorHAnsi" w:cstheme="majorHAnsi"/>
        </w:rPr>
        <w:t>EnergyConsumption</w:t>
      </w:r>
      <w:proofErr w:type="spellEnd"/>
      <w:r w:rsidRPr="00B775AF">
        <w:rPr>
          <w:rFonts w:asciiTheme="majorHAnsi" w:hAnsiTheme="majorHAnsi" w:cstheme="majorHAnsi"/>
        </w:rPr>
        <w:t>—supporting the idea that higher ESG aligns with lower environmental footprint.</w:t>
      </w:r>
    </w:p>
    <w:p w14:paraId="042208F6" w14:textId="77777777" w:rsidR="00B775AF" w:rsidRPr="00B775AF" w:rsidRDefault="00B775AF" w:rsidP="00B775AF">
      <w:pPr>
        <w:pStyle w:val="ListParagraph"/>
        <w:numPr>
          <w:ilvl w:val="0"/>
          <w:numId w:val="10"/>
        </w:numPr>
        <w:rPr>
          <w:rFonts w:asciiTheme="majorHAnsi" w:hAnsiTheme="majorHAnsi" w:cstheme="majorHAnsi"/>
        </w:rPr>
      </w:pPr>
      <w:r w:rsidRPr="00B775AF">
        <w:rPr>
          <w:rFonts w:asciiTheme="majorHAnsi" w:hAnsiTheme="majorHAnsi" w:cstheme="majorHAnsi"/>
        </w:rPr>
        <w:t>Economic maturity strengthens sustainability alignment. High-GDP regions have significantly higher ESG scores (t-test p ≈ 0), indicating that wealthier economies tend to support stronger sustainability performance as a baseline context factor.</w:t>
      </w:r>
    </w:p>
    <w:p w14:paraId="28BE80F0" w14:textId="77777777" w:rsidR="00B775AF" w:rsidRPr="00B775AF" w:rsidRDefault="00B775AF" w:rsidP="00B775AF">
      <w:pPr>
        <w:pStyle w:val="ListParagraph"/>
        <w:numPr>
          <w:ilvl w:val="0"/>
          <w:numId w:val="10"/>
        </w:numPr>
        <w:rPr>
          <w:rFonts w:asciiTheme="majorHAnsi" w:hAnsiTheme="majorHAnsi" w:cstheme="majorHAnsi"/>
        </w:rPr>
      </w:pPr>
      <w:r w:rsidRPr="00B775AF">
        <w:rPr>
          <w:rFonts w:asciiTheme="majorHAnsi" w:hAnsiTheme="majorHAnsi" w:cstheme="majorHAnsi"/>
        </w:rPr>
        <w:t>ESG–profitability relationships are not one-size-fits-all. Profit margins differ substantially across industries, so ESG effects should be interpreted with sector context rather than assuming a uniform global relationship.</w:t>
      </w:r>
    </w:p>
    <w:p w14:paraId="2F653A2D" w14:textId="77777777" w:rsidR="00B775AF" w:rsidRPr="00B775AF" w:rsidRDefault="00B775AF" w:rsidP="00B775AF">
      <w:pPr>
        <w:pStyle w:val="ListParagraph"/>
        <w:numPr>
          <w:ilvl w:val="0"/>
          <w:numId w:val="10"/>
        </w:numPr>
        <w:rPr>
          <w:rFonts w:asciiTheme="majorHAnsi" w:hAnsiTheme="majorHAnsi" w:cstheme="majorHAnsi"/>
        </w:rPr>
      </w:pPr>
      <w:r w:rsidRPr="00B775AF">
        <w:rPr>
          <w:rFonts w:asciiTheme="majorHAnsi" w:hAnsiTheme="majorHAnsi" w:cstheme="majorHAnsi"/>
        </w:rPr>
        <w:t>Profitability is better explained by non-linear interactions than linear formulas. Linear regression fails to outperform a baseline predictor (negative R²), while Random Forest provides meaningful predictive power (R² ≈ 0.43), implying that ESG and environmental variables influence profitability through complex, non-linear dynamics.</w:t>
      </w:r>
    </w:p>
    <w:p w14:paraId="597592A8" w14:textId="77777777" w:rsidR="00B775AF" w:rsidRPr="00B775AF" w:rsidRDefault="00B775AF" w:rsidP="00B775AF">
      <w:pPr>
        <w:pStyle w:val="ListParagraph"/>
        <w:numPr>
          <w:ilvl w:val="0"/>
          <w:numId w:val="10"/>
        </w:numPr>
        <w:rPr>
          <w:rFonts w:asciiTheme="majorHAnsi" w:hAnsiTheme="majorHAnsi" w:cstheme="majorHAnsi"/>
        </w:rPr>
      </w:pPr>
      <w:r w:rsidRPr="00B775AF">
        <w:rPr>
          <w:rFonts w:asciiTheme="majorHAnsi" w:hAnsiTheme="majorHAnsi" w:cstheme="majorHAnsi"/>
        </w:rPr>
        <w:t>Companies separate into distinct sustainability–profitability profiles. Clustering reveals multiple strategic patterns (e.g., high-ESG/high-profit and high-ESG/low-profit groups), suggesting that high ESG can coexist with different profitability outcomes depending on business model, efficiency, and operating context.</w:t>
      </w:r>
    </w:p>
    <w:p w14:paraId="0E882DB9" w14:textId="77777777" w:rsidR="00B775AF" w:rsidRPr="00B775AF" w:rsidRDefault="00B775AF" w:rsidP="00B775AF">
      <w:pPr>
        <w:rPr>
          <w:rFonts w:asciiTheme="majorHAnsi" w:hAnsiTheme="majorHAnsi" w:cstheme="majorHAnsi"/>
        </w:rPr>
      </w:pPr>
      <w:r w:rsidRPr="00B775AF">
        <w:rPr>
          <w:rFonts w:asciiTheme="majorHAnsi" w:hAnsiTheme="majorHAnsi" w:cstheme="majorHAnsi"/>
        </w:rPr>
        <w:t>Overall, ESG appears not only ethically relevant but also structurally embedded in corporate performance dynamics. When sustainability metrics are analyzed jointly with environmental and contextual variables—and modeled with flexible methods—ESG emerges as a meaningful indicator of operational efficiency and long-term corporate resilience, especially in developed economies.</w:t>
      </w:r>
    </w:p>
    <w:p w14:paraId="4568F223" w14:textId="77777777" w:rsidR="00B775AF" w:rsidRPr="00322DD0" w:rsidRDefault="00B775AF">
      <w:pPr>
        <w:rPr>
          <w:rFonts w:asciiTheme="majorHAnsi" w:hAnsiTheme="majorHAnsi" w:cstheme="majorHAnsi"/>
        </w:rPr>
      </w:pPr>
    </w:p>
    <w:sectPr w:rsidR="00B775AF" w:rsidRPr="00322D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4312E9"/>
    <w:multiLevelType w:val="hybridMultilevel"/>
    <w:tmpl w:val="6BE0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45D50"/>
    <w:multiLevelType w:val="hybridMultilevel"/>
    <w:tmpl w:val="CDFCF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5A3979"/>
    <w:multiLevelType w:val="hybridMultilevel"/>
    <w:tmpl w:val="4A1C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674A93"/>
    <w:multiLevelType w:val="hybridMultilevel"/>
    <w:tmpl w:val="5A7A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533724">
    <w:abstractNumId w:val="8"/>
  </w:num>
  <w:num w:numId="2" w16cid:durableId="2083289252">
    <w:abstractNumId w:val="6"/>
  </w:num>
  <w:num w:numId="3" w16cid:durableId="1586571614">
    <w:abstractNumId w:val="5"/>
  </w:num>
  <w:num w:numId="4" w16cid:durableId="392241267">
    <w:abstractNumId w:val="4"/>
  </w:num>
  <w:num w:numId="5" w16cid:durableId="2054884710">
    <w:abstractNumId w:val="7"/>
  </w:num>
  <w:num w:numId="6" w16cid:durableId="1325667127">
    <w:abstractNumId w:val="3"/>
  </w:num>
  <w:num w:numId="7" w16cid:durableId="1715152445">
    <w:abstractNumId w:val="2"/>
  </w:num>
  <w:num w:numId="8" w16cid:durableId="1172335408">
    <w:abstractNumId w:val="1"/>
  </w:num>
  <w:num w:numId="9" w16cid:durableId="1834299762">
    <w:abstractNumId w:val="0"/>
  </w:num>
  <w:num w:numId="10" w16cid:durableId="462188524">
    <w:abstractNumId w:val="12"/>
  </w:num>
  <w:num w:numId="11" w16cid:durableId="1208957556">
    <w:abstractNumId w:val="11"/>
  </w:num>
  <w:num w:numId="12" w16cid:durableId="857935939">
    <w:abstractNumId w:val="9"/>
  </w:num>
  <w:num w:numId="13" w16cid:durableId="703018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0EF"/>
    <w:rsid w:val="001E04B1"/>
    <w:rsid w:val="00216968"/>
    <w:rsid w:val="002239BC"/>
    <w:rsid w:val="0029639D"/>
    <w:rsid w:val="00322DD0"/>
    <w:rsid w:val="00326F90"/>
    <w:rsid w:val="00516AA1"/>
    <w:rsid w:val="007F2024"/>
    <w:rsid w:val="009F7F5D"/>
    <w:rsid w:val="00AA1D8D"/>
    <w:rsid w:val="00B47730"/>
    <w:rsid w:val="00B775AF"/>
    <w:rsid w:val="00CB0664"/>
    <w:rsid w:val="00D82755"/>
    <w:rsid w:val="00DA0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D7E48"/>
  <w14:defaultImageDpi w14:val="300"/>
  <w15:docId w15:val="{3E7F5E6E-E1AC-4A56-AFA0-1B6F259C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B775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1959</Words>
  <Characters>11171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Lutfi Barkin Yilgor</cp:lastModifiedBy>
  <cp:revision>4</cp:revision>
  <dcterms:created xsi:type="dcterms:W3CDTF">2025-12-31T01:01:00Z</dcterms:created>
  <dcterms:modified xsi:type="dcterms:W3CDTF">2025-12-31T01:16:00Z</dcterms:modified>
  <cp:category/>
</cp:coreProperties>
</file>