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2243158</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A" w14:textId="52E9843B" w:rsidR="00E13C27" w:rsidRPr="00CF1AA2" w:rsidRDefault="008F6665" w:rsidP="006E74D0">
      <w:pPr>
        <w:pStyle w:val="David"/>
        <w:ind w:left="3544"/>
        <w:rPr>
          <w:b/>
          <w:bCs/>
          <w:sz w:val="16"/>
          <w:szCs w:val="16"/>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אלון שוסטר</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6DC317D3" w14:textId="77777777" w:rsidR="006E74D0" w:rsidRDefault="00266D86" w:rsidP="006E74D0">
      <w:pPr>
        <w:pStyle w:val="David"/>
        <w:ind w:left="3544"/>
        <w:rPr>
          <w:rtl/>
        </w:rPr>
      </w:pPr>
      <w:r>
        <w:t>____</w:t>
      </w:r>
      <w:r w:rsidR="00E374F2">
        <w:t>__</w:t>
      </w:r>
      <w:r>
        <w:t>________________________________________</w:t>
      </w:r>
    </w:p>
    <w:p w14:paraId="34DB4103" w14:textId="2584ABE4" w:rsidR="00904591" w:rsidRPr="00904591" w:rsidRDefault="007A6A70" w:rsidP="006E74D0">
      <w:pPr>
        <w:pStyle w:val="David"/>
        <w:ind w:left="6424" w:firstLine="56"/>
        <w:rPr>
          <w:sz w:val="4"/>
          <w:szCs w:val="4"/>
          <w:rtl/>
        </w:rPr>
      </w:pPr>
      <w:r>
        <w:rPr>
          <w:rFonts w:hint="cs"/>
          <w:rtl/>
        </w:rPr>
        <w:t>פ/6756/25</w:t>
      </w:r>
      <w:r w:rsidR="00E13C27" w:rsidRPr="00E06736">
        <w:rPr>
          <w:rFonts w:hint="cs"/>
          <w:rtl/>
        </w:rPr>
        <w:tab/>
      </w:r>
      <w:r w:rsidR="00904591">
        <w:t xml:space="preserve">           </w:t>
      </w:r>
    </w:p>
    <w:p w14:paraId="7AD67CDF" w14:textId="28B0C0CE" w:rsidR="009F2601" w:rsidRPr="00F67051" w:rsidRDefault="009F2601" w:rsidP="007A6A70">
      <w:pPr>
        <w:pStyle w:val="HeadHatzaotHok"/>
        <w:rPr>
          <w:rtl/>
        </w:rPr>
      </w:pPr>
      <w:bookmarkStart w:id="6" w:name="LGS_Subject"/>
      <w:r>
        <w:rPr>
          <w:rFonts w:hint="cs"/>
          <w:rtl/>
        </w:rPr>
        <w:t>הצעת חוק הרשויות המקומיות (בחירות) (תיקון – הגבלת הזכות להיבחר בשל כתב אישום),  התשפ"ו</w:t>
      </w:r>
      <w:bookmarkEnd w:id="6"/>
      <w:r w:rsidR="007A6A70">
        <w:rPr>
          <w:rFonts w:hint="cs"/>
          <w:rtl/>
        </w:rPr>
        <w:t>–2026</w:t>
      </w:r>
    </w:p>
    <w:tbl>
      <w:tblPr>
        <w:bidiVisual/>
        <w:tblW w:w="96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0" w:type="dxa"/>
          <w:bottom w:w="57" w:type="dxa"/>
          <w:right w:w="0" w:type="dxa"/>
        </w:tblCellMar>
        <w:tblLook w:val="01E0" w:firstRow="1" w:lastRow="1" w:firstColumn="1" w:lastColumn="1" w:noHBand="0" w:noVBand="0"/>
      </w:tblPr>
      <w:tblGrid>
        <w:gridCol w:w="1868"/>
        <w:gridCol w:w="624"/>
        <w:gridCol w:w="626"/>
        <w:gridCol w:w="624"/>
        <w:gridCol w:w="624"/>
        <w:gridCol w:w="624"/>
        <w:gridCol w:w="4647"/>
      </w:tblGrid>
      <w:tr w:rsidR="009F2601" w:rsidRPr="00C07914" w14:paraId="053FF17F" w14:textId="77777777" w:rsidTr="007A6A70">
        <w:trPr>
          <w:cantSplit/>
        </w:trPr>
        <w:tc>
          <w:tcPr>
            <w:tcW w:w="1870" w:type="dxa"/>
            <w:tcBorders>
              <w:top w:val="nil"/>
              <w:left w:val="nil"/>
              <w:bottom w:val="nil"/>
              <w:right w:val="nil"/>
            </w:tcBorders>
          </w:tcPr>
          <w:p w14:paraId="11815F8A" w14:textId="77777777" w:rsidR="009F2601" w:rsidRPr="00487B27" w:rsidRDefault="009F2601" w:rsidP="00C253AD">
            <w:pPr>
              <w:pStyle w:val="TableSideHeading"/>
            </w:pPr>
            <w:r w:rsidRPr="00487B27">
              <w:rPr>
                <w:rtl/>
              </w:rPr>
              <w:t xml:space="preserve">תיקון סעיף </w:t>
            </w:r>
            <w:r w:rsidRPr="00487B27">
              <w:rPr>
                <w:rFonts w:hint="cs"/>
                <w:rtl/>
              </w:rPr>
              <w:t>7</w:t>
            </w:r>
          </w:p>
        </w:tc>
        <w:tc>
          <w:tcPr>
            <w:tcW w:w="624" w:type="dxa"/>
            <w:tcBorders>
              <w:top w:val="nil"/>
              <w:left w:val="nil"/>
              <w:bottom w:val="nil"/>
              <w:right w:val="nil"/>
            </w:tcBorders>
          </w:tcPr>
          <w:p w14:paraId="2B3AF399" w14:textId="77777777" w:rsidR="009F2601" w:rsidRPr="00C07914" w:rsidRDefault="009F2601" w:rsidP="00C253AD">
            <w:pPr>
              <w:pStyle w:val="TableText"/>
              <w:keepLines w:val="0"/>
              <w:rPr>
                <w:sz w:val="26"/>
              </w:rPr>
            </w:pPr>
            <w:r w:rsidRPr="00C07914">
              <w:rPr>
                <w:sz w:val="26"/>
                <w:rtl/>
              </w:rPr>
              <w:t>1.</w:t>
            </w:r>
          </w:p>
        </w:tc>
        <w:tc>
          <w:tcPr>
            <w:tcW w:w="7143" w:type="dxa"/>
            <w:gridSpan w:val="5"/>
            <w:tcBorders>
              <w:top w:val="nil"/>
              <w:left w:val="nil"/>
              <w:bottom w:val="nil"/>
              <w:right w:val="nil"/>
            </w:tcBorders>
          </w:tcPr>
          <w:p w14:paraId="0F9FEC7B" w14:textId="77777777" w:rsidR="009F2601" w:rsidRPr="00C07914" w:rsidRDefault="009F2601" w:rsidP="007A6A70">
            <w:pPr>
              <w:pStyle w:val="TableBlock"/>
              <w:rPr>
                <w:sz w:val="26"/>
              </w:rPr>
            </w:pPr>
            <w:r w:rsidRPr="00C07914">
              <w:rPr>
                <w:sz w:val="26"/>
                <w:rtl/>
              </w:rPr>
              <w:t>ב</w:t>
            </w:r>
            <w:r>
              <w:rPr>
                <w:rFonts w:hint="cs"/>
                <w:sz w:val="26"/>
                <w:rtl/>
              </w:rPr>
              <w:t xml:space="preserve">חוק </w:t>
            </w:r>
            <w:r>
              <w:rPr>
                <w:rFonts w:hint="cs"/>
                <w:rtl/>
              </w:rPr>
              <w:t>הרשויות המקומיות (בחירות), התשכ"ה–1965</w:t>
            </w:r>
            <w:r w:rsidRPr="007A6A70">
              <w:rPr>
                <w:rStyle w:val="a6"/>
                <w:rFonts w:ascii="David" w:hAnsi="David"/>
                <w:sz w:val="26"/>
                <w:rtl/>
              </w:rPr>
              <w:footnoteReference w:id="2"/>
            </w:r>
            <w:r>
              <w:rPr>
                <w:rFonts w:hint="cs"/>
                <w:rtl/>
              </w:rPr>
              <w:t xml:space="preserve"> (להלן </w:t>
            </w:r>
            <w:r>
              <w:rPr>
                <w:rtl/>
              </w:rPr>
              <w:t>–</w:t>
            </w:r>
            <w:r>
              <w:rPr>
                <w:rFonts w:hint="cs"/>
                <w:rtl/>
              </w:rPr>
              <w:t xml:space="preserve"> החוק העיקרי), בסעיף 7 – </w:t>
            </w:r>
          </w:p>
        </w:tc>
      </w:tr>
      <w:tr w:rsidR="009F2601" w:rsidRPr="00C07914" w14:paraId="7B9445D5" w14:textId="77777777" w:rsidTr="007A6A70">
        <w:trPr>
          <w:cantSplit/>
        </w:trPr>
        <w:tc>
          <w:tcPr>
            <w:tcW w:w="1870" w:type="dxa"/>
            <w:tcBorders>
              <w:top w:val="nil"/>
              <w:left w:val="nil"/>
              <w:bottom w:val="nil"/>
              <w:right w:val="nil"/>
            </w:tcBorders>
          </w:tcPr>
          <w:p w14:paraId="01203B34" w14:textId="77777777" w:rsidR="009F2601" w:rsidRPr="00487B27" w:rsidRDefault="009F2601" w:rsidP="00C253AD">
            <w:pPr>
              <w:pStyle w:val="TableSideHeading"/>
              <w:rPr>
                <w:rtl/>
              </w:rPr>
            </w:pPr>
          </w:p>
        </w:tc>
        <w:tc>
          <w:tcPr>
            <w:tcW w:w="624" w:type="dxa"/>
            <w:tcBorders>
              <w:top w:val="nil"/>
              <w:left w:val="nil"/>
              <w:bottom w:val="nil"/>
              <w:right w:val="nil"/>
            </w:tcBorders>
          </w:tcPr>
          <w:p w14:paraId="4C8BF7DB" w14:textId="77777777" w:rsidR="009F2601" w:rsidRPr="00C07914" w:rsidRDefault="009F2601" w:rsidP="00C253AD">
            <w:pPr>
              <w:pStyle w:val="TableText"/>
              <w:rPr>
                <w:rtl/>
              </w:rPr>
            </w:pPr>
          </w:p>
        </w:tc>
        <w:tc>
          <w:tcPr>
            <w:tcW w:w="7143" w:type="dxa"/>
            <w:gridSpan w:val="5"/>
            <w:tcBorders>
              <w:top w:val="nil"/>
              <w:left w:val="nil"/>
              <w:bottom w:val="nil"/>
              <w:right w:val="nil"/>
            </w:tcBorders>
          </w:tcPr>
          <w:p w14:paraId="30B06EB8" w14:textId="77777777" w:rsidR="009F2601" w:rsidRPr="00C07914" w:rsidRDefault="009F2601" w:rsidP="007A6A70">
            <w:pPr>
              <w:pStyle w:val="TableBlock"/>
              <w:rPr>
                <w:sz w:val="26"/>
                <w:rtl/>
              </w:rPr>
            </w:pPr>
            <w:r>
              <w:rPr>
                <w:rFonts w:hint="cs"/>
                <w:sz w:val="26"/>
                <w:rtl/>
              </w:rPr>
              <w:t>(1)</w:t>
            </w:r>
            <w:r>
              <w:rPr>
                <w:sz w:val="26"/>
                <w:rtl/>
              </w:rPr>
              <w:tab/>
            </w:r>
            <w:r>
              <w:rPr>
                <w:rFonts w:hint="cs"/>
                <w:sz w:val="26"/>
                <w:rtl/>
              </w:rPr>
              <w:t>ב</w:t>
            </w:r>
            <w:r w:rsidRPr="00C07914">
              <w:rPr>
                <w:sz w:val="26"/>
                <w:rtl/>
              </w:rPr>
              <w:t>סעיף קטן (</w:t>
            </w:r>
            <w:r w:rsidRPr="00C07914">
              <w:rPr>
                <w:rFonts w:hint="cs"/>
                <w:sz w:val="26"/>
                <w:rtl/>
              </w:rPr>
              <w:t>א</w:t>
            </w:r>
            <w:r w:rsidRPr="00C07914">
              <w:rPr>
                <w:sz w:val="26"/>
                <w:rtl/>
              </w:rPr>
              <w:t>)</w:t>
            </w:r>
            <w:r>
              <w:rPr>
                <w:rFonts w:hint="cs"/>
                <w:sz w:val="26"/>
                <w:rtl/>
              </w:rPr>
              <w:t>,</w:t>
            </w:r>
            <w:r w:rsidRPr="00C07914">
              <w:rPr>
                <w:sz w:val="26"/>
                <w:rtl/>
              </w:rPr>
              <w:t xml:space="preserve"> במקום </w:t>
            </w:r>
            <w:r w:rsidRPr="00C07914">
              <w:rPr>
                <w:rFonts w:hint="cs"/>
                <w:sz w:val="26"/>
                <w:rtl/>
              </w:rPr>
              <w:t>"(א2) ו-(ב)" יבוא "(א2), (א3) ו-</w:t>
            </w:r>
            <w:r>
              <w:rPr>
                <w:rFonts w:hint="cs"/>
                <w:sz w:val="26"/>
                <w:rtl/>
              </w:rPr>
              <w:t>(ב)";</w:t>
            </w:r>
          </w:p>
        </w:tc>
      </w:tr>
      <w:tr w:rsidR="009F2601" w:rsidRPr="00C07914" w14:paraId="43EFE466" w14:textId="77777777" w:rsidTr="007A6A70">
        <w:trPr>
          <w:cantSplit/>
        </w:trPr>
        <w:tc>
          <w:tcPr>
            <w:tcW w:w="1870" w:type="dxa"/>
            <w:tcBorders>
              <w:top w:val="nil"/>
              <w:left w:val="nil"/>
              <w:bottom w:val="nil"/>
              <w:right w:val="nil"/>
            </w:tcBorders>
          </w:tcPr>
          <w:p w14:paraId="0247F70A" w14:textId="77777777" w:rsidR="009F2601" w:rsidRPr="00487B27" w:rsidRDefault="009F2601" w:rsidP="00C253AD">
            <w:pPr>
              <w:pStyle w:val="TableSideHeading"/>
              <w:rPr>
                <w:rtl/>
              </w:rPr>
            </w:pPr>
          </w:p>
        </w:tc>
        <w:tc>
          <w:tcPr>
            <w:tcW w:w="624" w:type="dxa"/>
            <w:tcBorders>
              <w:top w:val="nil"/>
              <w:left w:val="nil"/>
              <w:bottom w:val="nil"/>
              <w:right w:val="nil"/>
            </w:tcBorders>
          </w:tcPr>
          <w:p w14:paraId="1DDCFB73" w14:textId="77777777" w:rsidR="009F2601" w:rsidRPr="00C07914" w:rsidRDefault="009F2601" w:rsidP="00C253AD">
            <w:pPr>
              <w:pStyle w:val="TableText"/>
              <w:rPr>
                <w:rtl/>
              </w:rPr>
            </w:pPr>
          </w:p>
        </w:tc>
        <w:tc>
          <w:tcPr>
            <w:tcW w:w="7143" w:type="dxa"/>
            <w:gridSpan w:val="5"/>
            <w:tcBorders>
              <w:top w:val="nil"/>
              <w:left w:val="nil"/>
              <w:bottom w:val="nil"/>
              <w:right w:val="nil"/>
            </w:tcBorders>
          </w:tcPr>
          <w:p w14:paraId="41A722D4" w14:textId="77777777" w:rsidR="009F2601" w:rsidRPr="00C07914" w:rsidRDefault="009F2601" w:rsidP="007A6A70">
            <w:pPr>
              <w:pStyle w:val="TableBlock"/>
              <w:rPr>
                <w:sz w:val="26"/>
                <w:rtl/>
              </w:rPr>
            </w:pPr>
            <w:r>
              <w:rPr>
                <w:rFonts w:hint="cs"/>
                <w:sz w:val="26"/>
                <w:rtl/>
              </w:rPr>
              <w:t>(2)</w:t>
            </w:r>
            <w:r>
              <w:rPr>
                <w:sz w:val="26"/>
                <w:rtl/>
              </w:rPr>
              <w:tab/>
            </w:r>
            <w:r>
              <w:rPr>
                <w:rFonts w:hint="cs"/>
                <w:sz w:val="26"/>
                <w:rtl/>
              </w:rPr>
              <w:t xml:space="preserve">אחרי </w:t>
            </w:r>
            <w:r w:rsidRPr="00C07914">
              <w:rPr>
                <w:rFonts w:hint="cs"/>
                <w:sz w:val="26"/>
                <w:rtl/>
              </w:rPr>
              <w:t>סעיף</w:t>
            </w:r>
            <w:r>
              <w:rPr>
                <w:rFonts w:hint="cs"/>
                <w:sz w:val="26"/>
                <w:rtl/>
              </w:rPr>
              <w:t xml:space="preserve"> קטן</w:t>
            </w:r>
            <w:r w:rsidRPr="00C07914">
              <w:rPr>
                <w:rFonts w:hint="cs"/>
                <w:sz w:val="26"/>
                <w:rtl/>
              </w:rPr>
              <w:t xml:space="preserve"> (א2) יבוא:</w:t>
            </w:r>
          </w:p>
        </w:tc>
      </w:tr>
      <w:tr w:rsidR="009F2601" w:rsidRPr="00C07914" w14:paraId="0812D24C" w14:textId="77777777" w:rsidTr="007A6A70">
        <w:trPr>
          <w:cantSplit/>
        </w:trPr>
        <w:tc>
          <w:tcPr>
            <w:tcW w:w="1870" w:type="dxa"/>
            <w:tcBorders>
              <w:top w:val="nil"/>
              <w:left w:val="nil"/>
              <w:bottom w:val="nil"/>
              <w:right w:val="nil"/>
            </w:tcBorders>
          </w:tcPr>
          <w:p w14:paraId="6519FE89" w14:textId="77777777" w:rsidR="009F2601" w:rsidRPr="00487B27" w:rsidRDefault="009F2601" w:rsidP="00C253AD">
            <w:pPr>
              <w:pStyle w:val="TableSideHeading"/>
              <w:rPr>
                <w:rtl/>
              </w:rPr>
            </w:pPr>
          </w:p>
        </w:tc>
        <w:tc>
          <w:tcPr>
            <w:tcW w:w="624" w:type="dxa"/>
            <w:tcBorders>
              <w:top w:val="nil"/>
              <w:left w:val="nil"/>
              <w:bottom w:val="nil"/>
              <w:right w:val="nil"/>
            </w:tcBorders>
          </w:tcPr>
          <w:p w14:paraId="3146B3AC" w14:textId="77777777" w:rsidR="009F2601" w:rsidRPr="00C07914" w:rsidRDefault="009F2601" w:rsidP="00C253AD">
            <w:pPr>
              <w:pStyle w:val="TableText"/>
              <w:keepLines w:val="0"/>
              <w:rPr>
                <w:sz w:val="26"/>
                <w:rtl/>
              </w:rPr>
            </w:pPr>
          </w:p>
        </w:tc>
        <w:tc>
          <w:tcPr>
            <w:tcW w:w="626" w:type="dxa"/>
            <w:tcBorders>
              <w:top w:val="nil"/>
              <w:left w:val="nil"/>
              <w:bottom w:val="nil"/>
              <w:right w:val="nil"/>
            </w:tcBorders>
          </w:tcPr>
          <w:p w14:paraId="0067A887" w14:textId="77777777" w:rsidR="009F2601" w:rsidRPr="00C07914" w:rsidRDefault="009F2601" w:rsidP="00C253AD">
            <w:pPr>
              <w:pStyle w:val="TableText"/>
              <w:jc w:val="both"/>
              <w:rPr>
                <w:sz w:val="26"/>
                <w:rtl/>
              </w:rPr>
            </w:pPr>
          </w:p>
        </w:tc>
        <w:tc>
          <w:tcPr>
            <w:tcW w:w="6517" w:type="dxa"/>
            <w:gridSpan w:val="4"/>
            <w:tcBorders>
              <w:top w:val="nil"/>
              <w:left w:val="nil"/>
              <w:bottom w:val="nil"/>
              <w:right w:val="nil"/>
            </w:tcBorders>
          </w:tcPr>
          <w:p w14:paraId="23B8EAC2" w14:textId="77777777" w:rsidR="009F2601" w:rsidRPr="00C07914" w:rsidRDefault="009F2601" w:rsidP="007A6A70">
            <w:pPr>
              <w:pStyle w:val="TableBlock"/>
              <w:rPr>
                <w:sz w:val="26"/>
                <w:rtl/>
              </w:rPr>
            </w:pPr>
            <w:r w:rsidRPr="00C07914">
              <w:rPr>
                <w:rFonts w:hint="cs"/>
                <w:sz w:val="26"/>
                <w:rtl/>
              </w:rPr>
              <w:t>"(א3)</w:t>
            </w:r>
            <w:r>
              <w:rPr>
                <w:rFonts w:hint="cs"/>
                <w:sz w:val="26"/>
                <w:rtl/>
              </w:rPr>
              <w:tab/>
            </w:r>
            <w:r w:rsidRPr="00C07914">
              <w:rPr>
                <w:sz w:val="26"/>
                <w:rtl/>
              </w:rPr>
              <w:t xml:space="preserve">מי שהוגש נגדו כתב אישום בגין עבירות מסוג פשע, </w:t>
            </w:r>
            <w:r>
              <w:rPr>
                <w:rFonts w:hint="cs"/>
                <w:sz w:val="26"/>
                <w:rtl/>
              </w:rPr>
              <w:t>אינו</w:t>
            </w:r>
            <w:r w:rsidRPr="00C07914">
              <w:rPr>
                <w:sz w:val="26"/>
                <w:rtl/>
              </w:rPr>
              <w:t xml:space="preserve"> זכאי </w:t>
            </w:r>
            <w:r>
              <w:rPr>
                <w:rFonts w:hint="cs"/>
                <w:sz w:val="26"/>
                <w:rtl/>
              </w:rPr>
              <w:t>להיכלל ברשימת מועמדים ולהיבחר לחבר מועצה של רשות מקומית</w:t>
            </w:r>
            <w:r w:rsidRPr="00C07914">
              <w:rPr>
                <w:sz w:val="26"/>
                <w:rtl/>
              </w:rPr>
              <w:t>,</w:t>
            </w:r>
            <w:r>
              <w:rPr>
                <w:rFonts w:hint="cs"/>
                <w:sz w:val="26"/>
                <w:rtl/>
              </w:rPr>
              <w:t xml:space="preserve"> אלא</w:t>
            </w:r>
            <w:r w:rsidRPr="00C07914">
              <w:rPr>
                <w:sz w:val="26"/>
                <w:rtl/>
              </w:rPr>
              <w:t xml:space="preserve"> אם </w:t>
            </w:r>
            <w:r>
              <w:rPr>
                <w:rFonts w:hint="cs"/>
                <w:sz w:val="26"/>
                <w:rtl/>
              </w:rPr>
              <w:t xml:space="preserve">כן </w:t>
            </w:r>
            <w:r w:rsidRPr="00C07914">
              <w:rPr>
                <w:sz w:val="26"/>
                <w:rtl/>
              </w:rPr>
              <w:t>קבע יושב ראש ועדת הבחירות המרכזית כי הוא זכאי להיבחר.</w:t>
            </w:r>
            <w:r w:rsidRPr="00C07914">
              <w:rPr>
                <w:rFonts w:hint="cs"/>
                <w:sz w:val="26"/>
                <w:rtl/>
              </w:rPr>
              <w:t>"</w:t>
            </w:r>
          </w:p>
        </w:tc>
      </w:tr>
      <w:tr w:rsidR="009F2601" w:rsidRPr="00C07914" w14:paraId="2A8CF8E8" w14:textId="77777777" w:rsidTr="007A6A70">
        <w:trPr>
          <w:cantSplit/>
        </w:trPr>
        <w:tc>
          <w:tcPr>
            <w:tcW w:w="1870" w:type="dxa"/>
            <w:tcBorders>
              <w:top w:val="nil"/>
              <w:left w:val="nil"/>
              <w:bottom w:val="nil"/>
              <w:right w:val="nil"/>
            </w:tcBorders>
          </w:tcPr>
          <w:p w14:paraId="551A69DA" w14:textId="77777777" w:rsidR="009F2601" w:rsidRPr="00487B27" w:rsidRDefault="009F2601" w:rsidP="00C253AD">
            <w:pPr>
              <w:pStyle w:val="TableSideHeading"/>
              <w:rPr>
                <w:rtl/>
              </w:rPr>
            </w:pPr>
            <w:r w:rsidRPr="00487B27">
              <w:rPr>
                <w:rFonts w:hint="cs"/>
                <w:rtl/>
              </w:rPr>
              <w:t>הוספת סעיף 7ב</w:t>
            </w:r>
          </w:p>
        </w:tc>
        <w:tc>
          <w:tcPr>
            <w:tcW w:w="624" w:type="dxa"/>
            <w:tcBorders>
              <w:top w:val="nil"/>
              <w:left w:val="nil"/>
              <w:bottom w:val="nil"/>
              <w:right w:val="nil"/>
            </w:tcBorders>
          </w:tcPr>
          <w:p w14:paraId="715BAB88" w14:textId="77777777" w:rsidR="009F2601" w:rsidRPr="00C07914" w:rsidRDefault="009F2601" w:rsidP="00C253AD">
            <w:pPr>
              <w:pStyle w:val="TableText"/>
              <w:keepLines w:val="0"/>
              <w:rPr>
                <w:sz w:val="26"/>
                <w:rtl/>
              </w:rPr>
            </w:pPr>
            <w:r>
              <w:rPr>
                <w:rFonts w:hint="cs"/>
                <w:sz w:val="26"/>
                <w:rtl/>
              </w:rPr>
              <w:t>2</w:t>
            </w:r>
            <w:r w:rsidRPr="00C07914">
              <w:rPr>
                <w:sz w:val="26"/>
                <w:rtl/>
              </w:rPr>
              <w:t xml:space="preserve">. </w:t>
            </w:r>
          </w:p>
        </w:tc>
        <w:tc>
          <w:tcPr>
            <w:tcW w:w="7143" w:type="dxa"/>
            <w:gridSpan w:val="5"/>
            <w:tcBorders>
              <w:top w:val="nil"/>
              <w:left w:val="nil"/>
              <w:bottom w:val="nil"/>
              <w:right w:val="nil"/>
            </w:tcBorders>
          </w:tcPr>
          <w:p w14:paraId="64D06A5A" w14:textId="77777777" w:rsidR="009F2601" w:rsidRPr="00C07914" w:rsidRDefault="009F2601" w:rsidP="007A6A70">
            <w:pPr>
              <w:pStyle w:val="TableBlock"/>
              <w:rPr>
                <w:sz w:val="26"/>
                <w:rtl/>
              </w:rPr>
            </w:pPr>
            <w:r>
              <w:rPr>
                <w:rFonts w:hint="cs"/>
                <w:sz w:val="26"/>
                <w:rtl/>
              </w:rPr>
              <w:t>אחרי</w:t>
            </w:r>
            <w:r w:rsidRPr="00C07914">
              <w:rPr>
                <w:rFonts w:hint="cs"/>
                <w:sz w:val="26"/>
                <w:rtl/>
              </w:rPr>
              <w:t xml:space="preserve"> סעיף 7א </w:t>
            </w:r>
            <w:r>
              <w:rPr>
                <w:rFonts w:hint="cs"/>
                <w:sz w:val="26"/>
                <w:rtl/>
              </w:rPr>
              <w:t>לחוק העיקרי יבוא:</w:t>
            </w:r>
          </w:p>
        </w:tc>
      </w:tr>
      <w:tr w:rsidR="009F2601" w14:paraId="2501108E" w14:textId="77777777" w:rsidTr="007A6A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870" w:type="dxa"/>
          </w:tcPr>
          <w:p w14:paraId="7D359992" w14:textId="77777777" w:rsidR="009F2601" w:rsidRPr="00487B27" w:rsidRDefault="009F2601" w:rsidP="00C253AD">
            <w:pPr>
              <w:pStyle w:val="TableSideHeading"/>
            </w:pPr>
          </w:p>
        </w:tc>
        <w:tc>
          <w:tcPr>
            <w:tcW w:w="624" w:type="dxa"/>
          </w:tcPr>
          <w:p w14:paraId="0C516636" w14:textId="77777777" w:rsidR="009F2601" w:rsidRDefault="009F2601" w:rsidP="00C253AD">
            <w:pPr>
              <w:pStyle w:val="TableText"/>
              <w:keepLines w:val="0"/>
            </w:pPr>
          </w:p>
        </w:tc>
        <w:tc>
          <w:tcPr>
            <w:tcW w:w="1871" w:type="dxa"/>
            <w:gridSpan w:val="3"/>
          </w:tcPr>
          <w:p w14:paraId="29CAD5F3" w14:textId="77777777" w:rsidR="009F2601" w:rsidRDefault="009F2601" w:rsidP="00C253AD">
            <w:pPr>
              <w:pStyle w:val="TableInnerSideHeading"/>
            </w:pPr>
            <w:r>
              <w:rPr>
                <w:rFonts w:hint="cs"/>
                <w:rtl/>
              </w:rPr>
              <w:t>"הוראות לעניין הגבלת הזכות להיבחר בשל כתב אישום</w:t>
            </w:r>
          </w:p>
        </w:tc>
        <w:tc>
          <w:tcPr>
            <w:tcW w:w="624" w:type="dxa"/>
          </w:tcPr>
          <w:p w14:paraId="657E84D2" w14:textId="77777777" w:rsidR="009F2601" w:rsidRDefault="009F2601" w:rsidP="00C253AD">
            <w:pPr>
              <w:pStyle w:val="TableText"/>
            </w:pPr>
            <w:r>
              <w:rPr>
                <w:rFonts w:hint="cs"/>
                <w:rtl/>
              </w:rPr>
              <w:t>7ב.</w:t>
            </w:r>
          </w:p>
        </w:tc>
        <w:tc>
          <w:tcPr>
            <w:tcW w:w="4648" w:type="dxa"/>
          </w:tcPr>
          <w:p w14:paraId="41BA594F" w14:textId="77777777" w:rsidR="009F2601" w:rsidRDefault="009F2601" w:rsidP="007A6A70">
            <w:pPr>
              <w:pStyle w:val="TableBlock"/>
            </w:pPr>
            <w:r w:rsidRPr="00C07914">
              <w:rPr>
                <w:sz w:val="26"/>
                <w:rtl/>
              </w:rPr>
              <w:t>(</w:t>
            </w:r>
            <w:r w:rsidRPr="00C07914">
              <w:rPr>
                <w:rFonts w:hint="cs"/>
                <w:sz w:val="26"/>
                <w:rtl/>
              </w:rPr>
              <w:t>א</w:t>
            </w:r>
            <w:r w:rsidRPr="00C07914">
              <w:rPr>
                <w:sz w:val="26"/>
                <w:rtl/>
              </w:rPr>
              <w:t>)</w:t>
            </w:r>
            <w:r>
              <w:rPr>
                <w:rFonts w:hint="cs"/>
                <w:sz w:val="26"/>
                <w:rtl/>
              </w:rPr>
              <w:tab/>
            </w:r>
            <w:r w:rsidRPr="00C07914">
              <w:rPr>
                <w:sz w:val="26"/>
                <w:rtl/>
              </w:rPr>
              <w:t>מועמד או מי שרוצה להיות מועמד, שהוגש נגדו כתב אישום בגין עבירות מסוג פשע, המבקש כי יושב ראש ועדת הבחירות המרכזית יחליט כי הוא זכאי להיבחר</w:t>
            </w:r>
            <w:r>
              <w:rPr>
                <w:rFonts w:hint="cs"/>
                <w:sz w:val="26"/>
                <w:rtl/>
              </w:rPr>
              <w:t xml:space="preserve"> כאמור בסעיף 7(א3) (בסעיף זה המבקש), </w:t>
            </w:r>
            <w:r w:rsidRPr="00C07914">
              <w:rPr>
                <w:sz w:val="26"/>
                <w:rtl/>
              </w:rPr>
              <w:t xml:space="preserve">יגיש ליושב ראש </w:t>
            </w:r>
            <w:r>
              <w:rPr>
                <w:rFonts w:hint="cs"/>
                <w:sz w:val="26"/>
                <w:rtl/>
              </w:rPr>
              <w:t>ועדת הבחירות המרכזית</w:t>
            </w:r>
            <w:r w:rsidRPr="00C07914">
              <w:rPr>
                <w:sz w:val="26"/>
                <w:rtl/>
              </w:rPr>
              <w:t xml:space="preserve"> בקשה לכך, לא יאוחר מהיום ה-</w:t>
            </w:r>
            <w:r w:rsidRPr="00C07914">
              <w:rPr>
                <w:rFonts w:hint="cs"/>
                <w:sz w:val="26"/>
                <w:rtl/>
              </w:rPr>
              <w:t>45</w:t>
            </w:r>
            <w:r w:rsidRPr="00C07914">
              <w:rPr>
                <w:sz w:val="26"/>
                <w:rtl/>
              </w:rPr>
              <w:t xml:space="preserve"> שלפני יום הבחירות; לבקשה יצורפו כתב האישום וכל חומר אחר הנוגע לעניין.</w:t>
            </w:r>
          </w:p>
        </w:tc>
      </w:tr>
      <w:tr w:rsidR="009F2601" w14:paraId="1EF40E63" w14:textId="77777777" w:rsidTr="007A6A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870" w:type="dxa"/>
          </w:tcPr>
          <w:p w14:paraId="34E4DDCB" w14:textId="77777777" w:rsidR="009F2601" w:rsidRPr="00487B27" w:rsidRDefault="009F2601" w:rsidP="00C253AD">
            <w:pPr>
              <w:pStyle w:val="TableSideHeading"/>
            </w:pPr>
          </w:p>
        </w:tc>
        <w:tc>
          <w:tcPr>
            <w:tcW w:w="624" w:type="dxa"/>
          </w:tcPr>
          <w:p w14:paraId="4B1D9627" w14:textId="77777777" w:rsidR="009F2601" w:rsidRDefault="009F2601" w:rsidP="00C253AD">
            <w:pPr>
              <w:pStyle w:val="TableText"/>
            </w:pPr>
          </w:p>
        </w:tc>
        <w:tc>
          <w:tcPr>
            <w:tcW w:w="626" w:type="dxa"/>
          </w:tcPr>
          <w:p w14:paraId="4916351A" w14:textId="77777777" w:rsidR="009F2601" w:rsidRDefault="009F2601" w:rsidP="00C253AD">
            <w:pPr>
              <w:pStyle w:val="TableText"/>
            </w:pPr>
          </w:p>
        </w:tc>
        <w:tc>
          <w:tcPr>
            <w:tcW w:w="624" w:type="dxa"/>
          </w:tcPr>
          <w:p w14:paraId="7400059A" w14:textId="77777777" w:rsidR="009F2601" w:rsidRDefault="009F2601" w:rsidP="00C253AD">
            <w:pPr>
              <w:pStyle w:val="TableText"/>
            </w:pPr>
          </w:p>
        </w:tc>
        <w:tc>
          <w:tcPr>
            <w:tcW w:w="624" w:type="dxa"/>
          </w:tcPr>
          <w:p w14:paraId="3FE3D902" w14:textId="77777777" w:rsidR="009F2601" w:rsidRDefault="009F2601" w:rsidP="00C253AD">
            <w:pPr>
              <w:pStyle w:val="TableText"/>
            </w:pPr>
          </w:p>
        </w:tc>
        <w:tc>
          <w:tcPr>
            <w:tcW w:w="624" w:type="dxa"/>
          </w:tcPr>
          <w:p w14:paraId="23090981" w14:textId="77777777" w:rsidR="009F2601" w:rsidRDefault="009F2601" w:rsidP="00C253AD">
            <w:pPr>
              <w:pStyle w:val="TableText"/>
            </w:pPr>
          </w:p>
        </w:tc>
        <w:tc>
          <w:tcPr>
            <w:tcW w:w="4645" w:type="dxa"/>
          </w:tcPr>
          <w:p w14:paraId="2CBE634B" w14:textId="77777777" w:rsidR="009F2601" w:rsidRDefault="009F2601" w:rsidP="007A6A70">
            <w:pPr>
              <w:pStyle w:val="TableBlock"/>
            </w:pPr>
            <w:r>
              <w:rPr>
                <w:rFonts w:hint="cs"/>
                <w:sz w:val="26"/>
                <w:rtl/>
              </w:rPr>
              <w:t>(ב)</w:t>
            </w:r>
            <w:r>
              <w:rPr>
                <w:sz w:val="26"/>
                <w:rtl/>
              </w:rPr>
              <w:tab/>
            </w:r>
            <w:r w:rsidRPr="00C07914">
              <w:rPr>
                <w:sz w:val="26"/>
                <w:rtl/>
              </w:rPr>
              <w:t>החלטת יושב ראש ועדת הבחירות המרכזית תינתן לא יאוחר מהיום ה-30 שלפני יום הבחירות</w:t>
            </w:r>
            <w:r>
              <w:rPr>
                <w:rFonts w:hint="cs"/>
                <w:sz w:val="26"/>
                <w:rtl/>
              </w:rPr>
              <w:t>;</w:t>
            </w:r>
            <w:r w:rsidRPr="00C07914">
              <w:rPr>
                <w:sz w:val="26"/>
                <w:rtl/>
              </w:rPr>
              <w:t xml:space="preserve"> ההחלטה המנומקת תימסר למנהל הבחירות</w:t>
            </w:r>
            <w:r>
              <w:rPr>
                <w:rFonts w:hint="cs"/>
                <w:sz w:val="26"/>
                <w:rtl/>
              </w:rPr>
              <w:t xml:space="preserve"> ולמבקש.</w:t>
            </w:r>
          </w:p>
        </w:tc>
      </w:tr>
      <w:tr w:rsidR="009F2601" w14:paraId="4283C774" w14:textId="77777777" w:rsidTr="007A6A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870" w:type="dxa"/>
          </w:tcPr>
          <w:p w14:paraId="13D8B326" w14:textId="77777777" w:rsidR="009F2601" w:rsidRPr="00487B27" w:rsidRDefault="009F2601" w:rsidP="00C253AD">
            <w:pPr>
              <w:pStyle w:val="TableSideHeading"/>
            </w:pPr>
          </w:p>
        </w:tc>
        <w:tc>
          <w:tcPr>
            <w:tcW w:w="624" w:type="dxa"/>
          </w:tcPr>
          <w:p w14:paraId="7B5D81B5" w14:textId="77777777" w:rsidR="009F2601" w:rsidRDefault="009F2601" w:rsidP="00C253AD">
            <w:pPr>
              <w:pStyle w:val="TableText"/>
            </w:pPr>
          </w:p>
        </w:tc>
        <w:tc>
          <w:tcPr>
            <w:tcW w:w="626" w:type="dxa"/>
          </w:tcPr>
          <w:p w14:paraId="4D45F2D7" w14:textId="77777777" w:rsidR="009F2601" w:rsidRDefault="009F2601" w:rsidP="00C253AD">
            <w:pPr>
              <w:pStyle w:val="TableText"/>
            </w:pPr>
          </w:p>
        </w:tc>
        <w:tc>
          <w:tcPr>
            <w:tcW w:w="624" w:type="dxa"/>
          </w:tcPr>
          <w:p w14:paraId="0F820623" w14:textId="77777777" w:rsidR="009F2601" w:rsidRDefault="009F2601" w:rsidP="00C253AD">
            <w:pPr>
              <w:pStyle w:val="TableText"/>
            </w:pPr>
          </w:p>
        </w:tc>
        <w:tc>
          <w:tcPr>
            <w:tcW w:w="624" w:type="dxa"/>
          </w:tcPr>
          <w:p w14:paraId="0A323300" w14:textId="77777777" w:rsidR="009F2601" w:rsidRDefault="009F2601" w:rsidP="00C253AD">
            <w:pPr>
              <w:pStyle w:val="TableText"/>
            </w:pPr>
          </w:p>
        </w:tc>
        <w:tc>
          <w:tcPr>
            <w:tcW w:w="624" w:type="dxa"/>
          </w:tcPr>
          <w:p w14:paraId="42DB4903" w14:textId="77777777" w:rsidR="009F2601" w:rsidRDefault="009F2601" w:rsidP="00C253AD">
            <w:pPr>
              <w:pStyle w:val="TableText"/>
            </w:pPr>
          </w:p>
        </w:tc>
        <w:tc>
          <w:tcPr>
            <w:tcW w:w="4645" w:type="dxa"/>
          </w:tcPr>
          <w:p w14:paraId="718CD2E6" w14:textId="77777777" w:rsidR="009F2601" w:rsidRDefault="009F2601" w:rsidP="007A6A70">
            <w:pPr>
              <w:pStyle w:val="TableBlock"/>
            </w:pPr>
            <w:r>
              <w:rPr>
                <w:rFonts w:hint="cs"/>
                <w:sz w:val="26"/>
                <w:rtl/>
              </w:rPr>
              <w:t>(ג)</w:t>
            </w:r>
            <w:r>
              <w:rPr>
                <w:sz w:val="26"/>
                <w:rtl/>
              </w:rPr>
              <w:tab/>
            </w:r>
            <w:r>
              <w:rPr>
                <w:rFonts w:hint="cs"/>
                <w:sz w:val="26"/>
                <w:rtl/>
              </w:rPr>
              <w:t>החלטת</w:t>
            </w:r>
            <w:r w:rsidRPr="00C07914">
              <w:rPr>
                <w:sz w:val="26"/>
                <w:rtl/>
              </w:rPr>
              <w:t xml:space="preserve"> יושב ראש ועדת הבחירות המרכזית כי </w:t>
            </w:r>
            <w:r w:rsidRPr="00DB4C5D">
              <w:rPr>
                <w:rFonts w:hint="cs"/>
                <w:sz w:val="26"/>
                <w:rtl/>
              </w:rPr>
              <w:t>המבקש</w:t>
            </w:r>
            <w:r>
              <w:rPr>
                <w:rFonts w:hint="cs"/>
                <w:sz w:val="26"/>
                <w:rtl/>
              </w:rPr>
              <w:t xml:space="preserve"> מנוע מלהשתתף בבחירות</w:t>
            </w:r>
            <w:r w:rsidRPr="00C07914">
              <w:rPr>
                <w:sz w:val="26"/>
                <w:rtl/>
              </w:rPr>
              <w:t xml:space="preserve"> </w:t>
            </w:r>
            <w:r>
              <w:rPr>
                <w:rFonts w:hint="cs"/>
                <w:sz w:val="26"/>
                <w:rtl/>
              </w:rPr>
              <w:t>ל</w:t>
            </w:r>
            <w:r w:rsidRPr="00C07914">
              <w:rPr>
                <w:rFonts w:hint="cs"/>
                <w:sz w:val="26"/>
                <w:rtl/>
              </w:rPr>
              <w:t>חבר</w:t>
            </w:r>
            <w:r>
              <w:rPr>
                <w:rFonts w:hint="cs"/>
                <w:sz w:val="26"/>
                <w:rtl/>
              </w:rPr>
              <w:t>ות</w:t>
            </w:r>
            <w:r w:rsidRPr="00C07914">
              <w:rPr>
                <w:rFonts w:hint="cs"/>
                <w:sz w:val="26"/>
                <w:rtl/>
              </w:rPr>
              <w:t xml:space="preserve"> </w:t>
            </w:r>
            <w:r>
              <w:rPr>
                <w:rFonts w:hint="cs"/>
                <w:sz w:val="26"/>
                <w:rtl/>
              </w:rPr>
              <w:t>ב</w:t>
            </w:r>
            <w:r w:rsidRPr="00C07914">
              <w:rPr>
                <w:rFonts w:hint="cs"/>
                <w:sz w:val="26"/>
                <w:rtl/>
              </w:rPr>
              <w:t>מועצה</w:t>
            </w:r>
            <w:r w:rsidRPr="00C07914">
              <w:rPr>
                <w:sz w:val="26"/>
                <w:rtl/>
              </w:rPr>
              <w:t xml:space="preserve"> לפי סעיף זה, </w:t>
            </w:r>
            <w:r>
              <w:rPr>
                <w:rFonts w:hint="cs"/>
                <w:sz w:val="26"/>
                <w:rtl/>
              </w:rPr>
              <w:t xml:space="preserve">טעונה אישור </w:t>
            </w:r>
            <w:r w:rsidRPr="006E7348">
              <w:rPr>
                <w:sz w:val="26"/>
                <w:rtl/>
              </w:rPr>
              <w:t>בית המשפט העליון</w:t>
            </w:r>
            <w:r w:rsidRPr="006E7348">
              <w:rPr>
                <w:rFonts w:hint="cs"/>
                <w:sz w:val="26"/>
                <w:rtl/>
              </w:rPr>
              <w:t>; החליט יושב ראש ועדת הבחירות כאמור, יודיע על כך</w:t>
            </w:r>
            <w:r>
              <w:rPr>
                <w:rFonts w:hint="cs"/>
                <w:sz w:val="26"/>
                <w:rtl/>
              </w:rPr>
              <w:t>, ללא דיחוי, למבקש ולמנהל הבחירות.</w:t>
            </w:r>
          </w:p>
        </w:tc>
      </w:tr>
      <w:tr w:rsidR="009F2601" w14:paraId="561A0C5C" w14:textId="77777777" w:rsidTr="007A6A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870" w:type="dxa"/>
          </w:tcPr>
          <w:p w14:paraId="54877765" w14:textId="77777777" w:rsidR="009F2601" w:rsidRPr="00487B27" w:rsidRDefault="009F2601" w:rsidP="00C253AD">
            <w:pPr>
              <w:pStyle w:val="TableSideHeading"/>
            </w:pPr>
          </w:p>
        </w:tc>
        <w:tc>
          <w:tcPr>
            <w:tcW w:w="624" w:type="dxa"/>
          </w:tcPr>
          <w:p w14:paraId="6BFC37C1" w14:textId="77777777" w:rsidR="009F2601" w:rsidRDefault="009F2601" w:rsidP="00C253AD">
            <w:pPr>
              <w:pStyle w:val="TableText"/>
            </w:pPr>
          </w:p>
        </w:tc>
        <w:tc>
          <w:tcPr>
            <w:tcW w:w="626" w:type="dxa"/>
          </w:tcPr>
          <w:p w14:paraId="45F3CDB1" w14:textId="77777777" w:rsidR="009F2601" w:rsidRDefault="009F2601" w:rsidP="00C253AD">
            <w:pPr>
              <w:pStyle w:val="TableText"/>
            </w:pPr>
          </w:p>
        </w:tc>
        <w:tc>
          <w:tcPr>
            <w:tcW w:w="624" w:type="dxa"/>
          </w:tcPr>
          <w:p w14:paraId="3526CC67" w14:textId="77777777" w:rsidR="009F2601" w:rsidRDefault="009F2601" w:rsidP="00C253AD">
            <w:pPr>
              <w:pStyle w:val="TableText"/>
            </w:pPr>
          </w:p>
        </w:tc>
        <w:tc>
          <w:tcPr>
            <w:tcW w:w="624" w:type="dxa"/>
          </w:tcPr>
          <w:p w14:paraId="2C7C61BD" w14:textId="77777777" w:rsidR="009F2601" w:rsidRDefault="009F2601" w:rsidP="00C253AD">
            <w:pPr>
              <w:pStyle w:val="TableText"/>
            </w:pPr>
          </w:p>
        </w:tc>
        <w:tc>
          <w:tcPr>
            <w:tcW w:w="624" w:type="dxa"/>
          </w:tcPr>
          <w:p w14:paraId="3ABE4CBA" w14:textId="77777777" w:rsidR="009F2601" w:rsidRDefault="009F2601" w:rsidP="00C253AD">
            <w:pPr>
              <w:pStyle w:val="TableText"/>
            </w:pPr>
          </w:p>
        </w:tc>
        <w:tc>
          <w:tcPr>
            <w:tcW w:w="4645" w:type="dxa"/>
          </w:tcPr>
          <w:p w14:paraId="319256D6" w14:textId="77777777" w:rsidR="009F2601" w:rsidRDefault="009F2601" w:rsidP="007A6A70">
            <w:pPr>
              <w:pStyle w:val="TableBlock"/>
            </w:pPr>
            <w:r>
              <w:rPr>
                <w:rFonts w:hint="cs"/>
                <w:sz w:val="26"/>
                <w:rtl/>
              </w:rPr>
              <w:t>(ד)</w:t>
            </w:r>
            <w:r>
              <w:rPr>
                <w:sz w:val="26"/>
                <w:rtl/>
              </w:rPr>
              <w:tab/>
            </w:r>
            <w:r w:rsidRPr="00C07914">
              <w:rPr>
                <w:sz w:val="26"/>
                <w:rtl/>
              </w:rPr>
              <w:t xml:space="preserve">אישר בית המשפט העליון את ההחלטה, </w:t>
            </w:r>
            <w:r>
              <w:rPr>
                <w:rFonts w:hint="cs"/>
                <w:sz w:val="26"/>
                <w:rtl/>
              </w:rPr>
              <w:t xml:space="preserve">יימחק </w:t>
            </w:r>
            <w:r w:rsidRPr="00C07914">
              <w:rPr>
                <w:sz w:val="26"/>
                <w:rtl/>
              </w:rPr>
              <w:t>שמו של המועמד מרשימת המועמדים.</w:t>
            </w:r>
          </w:p>
        </w:tc>
      </w:tr>
      <w:tr w:rsidR="009F2601" w14:paraId="09DB8DFB" w14:textId="77777777" w:rsidTr="007A6A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870" w:type="dxa"/>
          </w:tcPr>
          <w:p w14:paraId="4058FD3D" w14:textId="77777777" w:rsidR="009F2601" w:rsidRPr="00487B27" w:rsidRDefault="009F2601" w:rsidP="00C253AD">
            <w:pPr>
              <w:pStyle w:val="TableSideHeading"/>
            </w:pPr>
          </w:p>
        </w:tc>
        <w:tc>
          <w:tcPr>
            <w:tcW w:w="624" w:type="dxa"/>
          </w:tcPr>
          <w:p w14:paraId="30F7E281" w14:textId="77777777" w:rsidR="009F2601" w:rsidRDefault="009F2601" w:rsidP="00C253AD">
            <w:pPr>
              <w:pStyle w:val="TableText"/>
            </w:pPr>
          </w:p>
        </w:tc>
        <w:tc>
          <w:tcPr>
            <w:tcW w:w="626" w:type="dxa"/>
          </w:tcPr>
          <w:p w14:paraId="30B9446F" w14:textId="77777777" w:rsidR="009F2601" w:rsidRDefault="009F2601" w:rsidP="00C253AD">
            <w:pPr>
              <w:pStyle w:val="TableText"/>
            </w:pPr>
          </w:p>
        </w:tc>
        <w:tc>
          <w:tcPr>
            <w:tcW w:w="624" w:type="dxa"/>
          </w:tcPr>
          <w:p w14:paraId="4E831A6F" w14:textId="77777777" w:rsidR="009F2601" w:rsidRDefault="009F2601" w:rsidP="00C253AD">
            <w:pPr>
              <w:pStyle w:val="TableText"/>
            </w:pPr>
          </w:p>
        </w:tc>
        <w:tc>
          <w:tcPr>
            <w:tcW w:w="624" w:type="dxa"/>
          </w:tcPr>
          <w:p w14:paraId="1699F270" w14:textId="77777777" w:rsidR="009F2601" w:rsidRDefault="009F2601" w:rsidP="00C253AD">
            <w:pPr>
              <w:pStyle w:val="TableText"/>
            </w:pPr>
          </w:p>
        </w:tc>
        <w:tc>
          <w:tcPr>
            <w:tcW w:w="624" w:type="dxa"/>
          </w:tcPr>
          <w:p w14:paraId="2AF66B8F" w14:textId="77777777" w:rsidR="009F2601" w:rsidRDefault="009F2601" w:rsidP="00C253AD">
            <w:pPr>
              <w:pStyle w:val="TableText"/>
            </w:pPr>
          </w:p>
        </w:tc>
        <w:tc>
          <w:tcPr>
            <w:tcW w:w="4645" w:type="dxa"/>
          </w:tcPr>
          <w:p w14:paraId="4A89219E" w14:textId="77777777" w:rsidR="009F2601" w:rsidRDefault="009F2601" w:rsidP="007A6A70">
            <w:pPr>
              <w:pStyle w:val="TableBlock"/>
            </w:pPr>
            <w:r>
              <w:rPr>
                <w:rFonts w:hint="cs"/>
                <w:sz w:val="26"/>
                <w:rtl/>
              </w:rPr>
              <w:t>(ה)</w:t>
            </w:r>
            <w:r>
              <w:rPr>
                <w:sz w:val="26"/>
                <w:rtl/>
              </w:rPr>
              <w:tab/>
            </w:r>
            <w:r w:rsidRPr="00C07914">
              <w:rPr>
                <w:sz w:val="26"/>
                <w:rtl/>
              </w:rPr>
              <w:t xml:space="preserve">בהליך של אישור החלטת </w:t>
            </w:r>
            <w:r>
              <w:rPr>
                <w:rFonts w:hint="cs"/>
                <w:sz w:val="26"/>
                <w:rtl/>
              </w:rPr>
              <w:t xml:space="preserve">יושב </w:t>
            </w:r>
            <w:r w:rsidRPr="00C07914">
              <w:rPr>
                <w:sz w:val="26"/>
                <w:rtl/>
              </w:rPr>
              <w:t>ראש ועדת הבחירות המרכזית לפי סעיף קטן (</w:t>
            </w:r>
            <w:r>
              <w:rPr>
                <w:rFonts w:hint="cs"/>
                <w:sz w:val="26"/>
                <w:rtl/>
              </w:rPr>
              <w:t>ג</w:t>
            </w:r>
            <w:r w:rsidRPr="00C07914">
              <w:rPr>
                <w:sz w:val="26"/>
                <w:rtl/>
              </w:rPr>
              <w:t>)</w:t>
            </w:r>
            <w:r>
              <w:rPr>
                <w:rFonts w:hint="cs"/>
                <w:sz w:val="26"/>
                <w:rtl/>
              </w:rPr>
              <w:t>,</w:t>
            </w:r>
            <w:r w:rsidRPr="00C07914">
              <w:rPr>
                <w:sz w:val="26"/>
                <w:rtl/>
              </w:rPr>
              <w:t xml:space="preserve"> ידון בית המשפט העליון בשלושה שופטים</w:t>
            </w:r>
            <w:r>
              <w:rPr>
                <w:rFonts w:hint="cs"/>
                <w:sz w:val="26"/>
                <w:rtl/>
              </w:rPr>
              <w:t xml:space="preserve"> </w:t>
            </w:r>
            <w:r w:rsidRPr="00C07914">
              <w:rPr>
                <w:sz w:val="26"/>
                <w:rtl/>
              </w:rPr>
              <w:t>כפי שיורה נשיא בית המשפט העליון, ופסק דינו יהיה סופי; פסק הדין יימסר ל</w:t>
            </w:r>
            <w:r>
              <w:rPr>
                <w:rFonts w:hint="cs"/>
                <w:sz w:val="26"/>
                <w:rtl/>
              </w:rPr>
              <w:t>מנהל הבחירות</w:t>
            </w:r>
            <w:r w:rsidRPr="00C07914">
              <w:rPr>
                <w:sz w:val="26"/>
                <w:rtl/>
              </w:rPr>
              <w:t xml:space="preserve"> לא יאוחר מהיום ה-23 שלפני יום הבחירות.</w:t>
            </w:r>
            <w:r>
              <w:rPr>
                <w:rFonts w:hint="cs"/>
                <w:sz w:val="26"/>
                <w:rtl/>
              </w:rPr>
              <w:t>"</w:t>
            </w:r>
          </w:p>
        </w:tc>
      </w:tr>
      <w:tr w:rsidR="009F2601" w:rsidRPr="002C286E" w14:paraId="3A8D2D9E" w14:textId="77777777" w:rsidTr="007A6A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870" w:type="dxa"/>
          </w:tcPr>
          <w:p w14:paraId="46E29905" w14:textId="77777777" w:rsidR="009F2601" w:rsidRPr="00487B27" w:rsidRDefault="009F2601" w:rsidP="00C253AD">
            <w:pPr>
              <w:pStyle w:val="TableSideHeading"/>
              <w:rPr>
                <w:rtl/>
              </w:rPr>
            </w:pPr>
            <w:r w:rsidRPr="00487B27">
              <w:rPr>
                <w:rFonts w:hint="cs"/>
                <w:rtl/>
              </w:rPr>
              <w:t>תיקון צו כינון</w:t>
            </w:r>
          </w:p>
        </w:tc>
        <w:tc>
          <w:tcPr>
            <w:tcW w:w="624" w:type="dxa"/>
          </w:tcPr>
          <w:p w14:paraId="7E152F8D" w14:textId="77777777" w:rsidR="009F2601" w:rsidRDefault="009F2601" w:rsidP="00C253AD">
            <w:pPr>
              <w:pStyle w:val="TableText"/>
              <w:rPr>
                <w:rtl/>
              </w:rPr>
            </w:pPr>
            <w:r>
              <w:rPr>
                <w:rFonts w:hint="cs"/>
                <w:rtl/>
              </w:rPr>
              <w:t>3.</w:t>
            </w:r>
          </w:p>
        </w:tc>
        <w:tc>
          <w:tcPr>
            <w:tcW w:w="7143" w:type="dxa"/>
            <w:gridSpan w:val="5"/>
          </w:tcPr>
          <w:p w14:paraId="0DCE3328" w14:textId="2EEF6E0A" w:rsidR="009F2601" w:rsidRPr="002C286E" w:rsidRDefault="009F2601" w:rsidP="0033532F">
            <w:pPr>
              <w:pStyle w:val="TableBlock"/>
              <w:rPr>
                <w:sz w:val="26"/>
                <w:rtl/>
              </w:rPr>
            </w:pPr>
            <w:r>
              <w:rPr>
                <w:rFonts w:hint="cs"/>
                <w:sz w:val="26"/>
                <w:rtl/>
              </w:rPr>
              <w:t xml:space="preserve">שר הפנים יתקן את צו המועצות המקומיות (מועצות אזוריות), </w:t>
            </w:r>
            <w:r>
              <w:rPr>
                <w:sz w:val="26"/>
                <w:rtl/>
              </w:rPr>
              <w:br/>
            </w:r>
            <w:r>
              <w:rPr>
                <w:rFonts w:hint="cs"/>
                <w:sz w:val="26"/>
                <w:rtl/>
              </w:rPr>
              <w:t>התשי"ח</w:t>
            </w:r>
            <w:r>
              <w:rPr>
                <w:rFonts w:hint="cs"/>
                <w:rtl/>
              </w:rPr>
              <w:t>–1958</w:t>
            </w:r>
            <w:r w:rsidRPr="007A6A70">
              <w:rPr>
                <w:rStyle w:val="a6"/>
                <w:rFonts w:ascii="David" w:hAnsi="David"/>
                <w:sz w:val="26"/>
                <w:rtl/>
              </w:rPr>
              <w:footnoteReference w:id="3"/>
            </w:r>
            <w:r>
              <w:rPr>
                <w:rFonts w:hint="cs"/>
                <w:rtl/>
              </w:rPr>
              <w:t xml:space="preserve">, </w:t>
            </w:r>
            <w:r w:rsidR="0033532F">
              <w:rPr>
                <w:rFonts w:hint="cs"/>
                <w:sz w:val="26"/>
                <w:rtl/>
              </w:rPr>
              <w:t xml:space="preserve">בהתאם להוראות חוק זה, </w:t>
            </w:r>
            <w:r>
              <w:rPr>
                <w:rFonts w:hint="cs"/>
                <w:sz w:val="26"/>
                <w:rtl/>
              </w:rPr>
              <w:t>בשינויים המחויבים</w:t>
            </w:r>
            <w:r w:rsidR="0033532F">
              <w:rPr>
                <w:rFonts w:hint="cs"/>
                <w:sz w:val="26"/>
                <w:rtl/>
              </w:rPr>
              <w:t>,</w:t>
            </w:r>
            <w:r>
              <w:rPr>
                <w:rFonts w:hint="cs"/>
                <w:sz w:val="26"/>
                <w:rtl/>
              </w:rPr>
              <w:t xml:space="preserve"> כך שיחולו הוראות זהות להוראות חוק זה על מועמד או מי שרוצה להיות מועמד למועצה של מועצה אזורית, בתוך </w:t>
            </w:r>
            <w:r w:rsidR="0033532F">
              <w:rPr>
                <w:rFonts w:hint="cs"/>
                <w:sz w:val="26"/>
                <w:rtl/>
              </w:rPr>
              <w:t>30</w:t>
            </w:r>
            <w:r>
              <w:rPr>
                <w:rFonts w:hint="cs"/>
                <w:sz w:val="26"/>
                <w:rtl/>
              </w:rPr>
              <w:t xml:space="preserve"> ימים מיום פרסומו של חוק זה.</w:t>
            </w:r>
          </w:p>
        </w:tc>
      </w:tr>
    </w:tbl>
    <w:p w14:paraId="551BE70E" w14:textId="77777777" w:rsidR="009F2601" w:rsidRDefault="009F2601" w:rsidP="009F2601">
      <w:pPr>
        <w:pStyle w:val="HeadDivreiHesber"/>
        <w:rPr>
          <w:rtl/>
        </w:rPr>
      </w:pPr>
      <w:r w:rsidRPr="0027450A">
        <w:rPr>
          <w:rFonts w:hint="cs"/>
          <w:rtl/>
        </w:rPr>
        <w:t>דברי הסבר</w:t>
      </w:r>
    </w:p>
    <w:p w14:paraId="2A7BEA11" w14:textId="77777777" w:rsidR="009F2601" w:rsidRPr="007A6A70" w:rsidRDefault="009F2601" w:rsidP="007A6A70">
      <w:pPr>
        <w:pStyle w:val="Hesber"/>
        <w:spacing w:line="276" w:lineRule="auto"/>
        <w:rPr>
          <w:rtl/>
        </w:rPr>
      </w:pPr>
      <w:r w:rsidRPr="007A6A70">
        <w:rPr>
          <w:rtl/>
        </w:rPr>
        <w:t xml:space="preserve">בשנים האחרונות, </w:t>
      </w:r>
      <w:r w:rsidRPr="007A6A70">
        <w:rPr>
          <w:rFonts w:hint="cs"/>
          <w:rtl/>
        </w:rPr>
        <w:t>אזרחי ותושבי מדינת ישראל</w:t>
      </w:r>
      <w:r w:rsidRPr="007A6A70">
        <w:rPr>
          <w:rtl/>
        </w:rPr>
        <w:t xml:space="preserve"> עדים למספר מקרים בהם מוגשים כתבי אישום כנגד נבחרי ציבור בכלל, וראשי</w:t>
      </w:r>
      <w:r w:rsidRPr="007A6A70">
        <w:rPr>
          <w:rFonts w:hint="cs"/>
          <w:rtl/>
        </w:rPr>
        <w:t xml:space="preserve"> רשויות</w:t>
      </w:r>
      <w:r w:rsidRPr="007A6A70">
        <w:rPr>
          <w:rtl/>
        </w:rPr>
        <w:t xml:space="preserve"> </w:t>
      </w:r>
      <w:r w:rsidRPr="007A6A70">
        <w:rPr>
          <w:rFonts w:hint="cs"/>
          <w:rtl/>
        </w:rPr>
        <w:t>וחברי מועצה ב</w:t>
      </w:r>
      <w:r w:rsidRPr="007A6A70">
        <w:rPr>
          <w:rtl/>
        </w:rPr>
        <w:t xml:space="preserve">רשויות מקומיות בפרט. </w:t>
      </w:r>
    </w:p>
    <w:p w14:paraId="6ECF49D1" w14:textId="77777777" w:rsidR="009F2601" w:rsidRPr="00C66485" w:rsidRDefault="009F2601" w:rsidP="007A6A70">
      <w:pPr>
        <w:pStyle w:val="Hesber"/>
        <w:spacing w:line="276" w:lineRule="auto"/>
        <w:rPr>
          <w:rtl/>
        </w:rPr>
      </w:pPr>
      <w:r w:rsidRPr="00C66485">
        <w:rPr>
          <w:rtl/>
        </w:rPr>
        <w:t xml:space="preserve">עשרות </w:t>
      </w:r>
      <w:r w:rsidRPr="00C66485">
        <w:rPr>
          <w:rFonts w:hint="cs"/>
          <w:rtl/>
        </w:rPr>
        <w:t xml:space="preserve">נבחרי ציבור </w:t>
      </w:r>
      <w:r w:rsidRPr="00C66485">
        <w:rPr>
          <w:rtl/>
        </w:rPr>
        <w:t>מכהנים</w:t>
      </w:r>
      <w:r w:rsidRPr="00C66485">
        <w:rPr>
          <w:rFonts w:hint="cs"/>
          <w:rtl/>
        </w:rPr>
        <w:t xml:space="preserve"> ברשויות המקומיות</w:t>
      </w:r>
      <w:r w:rsidRPr="00C66485">
        <w:rPr>
          <w:rtl/>
        </w:rPr>
        <w:t xml:space="preserve"> מואשמים בעבירות פליליות. אותם </w:t>
      </w:r>
      <w:r w:rsidRPr="00C66485">
        <w:rPr>
          <w:rFonts w:hint="cs"/>
          <w:rtl/>
        </w:rPr>
        <w:t>נבחרים</w:t>
      </w:r>
      <w:r w:rsidRPr="00C66485">
        <w:rPr>
          <w:rtl/>
        </w:rPr>
        <w:t xml:space="preserve">, </w:t>
      </w:r>
      <w:r w:rsidRPr="00C66485">
        <w:rPr>
          <w:rFonts w:hint="cs"/>
          <w:rtl/>
        </w:rPr>
        <w:t xml:space="preserve">אשר </w:t>
      </w:r>
      <w:r w:rsidRPr="00C66485">
        <w:rPr>
          <w:rtl/>
        </w:rPr>
        <w:t>בעניינם הוגש כתב אישום חמור, אינם נמנעים מלהגיש מועמדותם בבחירות לרשויות המקומיות</w:t>
      </w:r>
      <w:r w:rsidRPr="00C66485">
        <w:rPr>
          <w:rFonts w:hint="cs"/>
          <w:rtl/>
        </w:rPr>
        <w:t>.</w:t>
      </w:r>
    </w:p>
    <w:p w14:paraId="214FC73F" w14:textId="4EB4CBB0" w:rsidR="009F2601" w:rsidRPr="00C66485" w:rsidRDefault="009F2601" w:rsidP="006669DD">
      <w:pPr>
        <w:pStyle w:val="Hesber"/>
        <w:spacing w:line="276" w:lineRule="auto"/>
        <w:rPr>
          <w:rtl/>
        </w:rPr>
      </w:pPr>
      <w:r w:rsidRPr="00C66485">
        <w:rPr>
          <w:rtl/>
        </w:rPr>
        <w:t xml:space="preserve">כידוע, אמון הציבור במערכת השלטונית </w:t>
      </w:r>
      <w:r w:rsidRPr="00C66485">
        <w:rPr>
          <w:rFonts w:hint="cs"/>
          <w:rtl/>
        </w:rPr>
        <w:t>הוא</w:t>
      </w:r>
      <w:r w:rsidRPr="00C66485">
        <w:rPr>
          <w:rtl/>
        </w:rPr>
        <w:t xml:space="preserve"> נדבך חשוב בניהול תקין של מדינה דמוקרטית. כתב אישום מהווה ראיה מ</w:t>
      </w:r>
      <w:r w:rsidR="006669DD">
        <w:rPr>
          <w:rFonts w:hint="cs"/>
          <w:rtl/>
        </w:rPr>
        <w:t>י</w:t>
      </w:r>
      <w:r w:rsidRPr="00C66485">
        <w:rPr>
          <w:rtl/>
        </w:rPr>
        <w:t>נהלית כבדת משקל, אשר עצם קיומה עלול להצביע על פגיעה בטוהר המידות ובאיכות השלטון. ואכן, בית המשפט העליון פסק לא מכבר כי אי-העברה של ראש רשות מקומית על ידי מועצת הרשות המקומית מתפקידו, כאשר מוגש נגדו כתב אישום בעבירות חמורות הנוגדות את טוהר המידות, הי</w:t>
      </w:r>
      <w:r w:rsidRPr="00C66485">
        <w:rPr>
          <w:rFonts w:hint="cs"/>
          <w:rtl/>
        </w:rPr>
        <w:t>א</w:t>
      </w:r>
      <w:r w:rsidRPr="00C66485">
        <w:rPr>
          <w:rtl/>
        </w:rPr>
        <w:t xml:space="preserve"> בלתי סבירה באופן קיצוני. לפיכך, פסק בית המשפט כי שני ראשי רשויות מקומיות יועברו מכ</w:t>
      </w:r>
      <w:r w:rsidRPr="00C66485">
        <w:rPr>
          <w:rFonts w:hint="cs"/>
          <w:rtl/>
        </w:rPr>
        <w:t>הו</w:t>
      </w:r>
      <w:r w:rsidRPr="00C66485">
        <w:rPr>
          <w:rtl/>
        </w:rPr>
        <w:t>נתם לאלתר</w:t>
      </w:r>
      <w:r w:rsidRPr="00C66485">
        <w:rPr>
          <w:rFonts w:hint="cs"/>
          <w:rtl/>
        </w:rPr>
        <w:t xml:space="preserve"> (בג"ץ 5126/13 </w:t>
      </w:r>
      <w:r w:rsidRPr="007A6A70">
        <w:rPr>
          <w:rFonts w:hint="cs"/>
          <w:b/>
          <w:bCs/>
          <w:rtl/>
        </w:rPr>
        <w:t>אומ"ץ אזרחים למען מנהל תקין וצדק חברתי נ' ראש עיריית רמת השרון</w:t>
      </w:r>
      <w:r w:rsidRPr="00C66485">
        <w:rPr>
          <w:rFonts w:hint="cs"/>
          <w:rtl/>
        </w:rPr>
        <w:t xml:space="preserve"> (ניתן ביום</w:t>
      </w:r>
      <w:r w:rsidR="006669DD">
        <w:rPr>
          <w:rFonts w:hint="cs"/>
          <w:rtl/>
        </w:rPr>
        <w:t xml:space="preserve"> 14.10.2013</w:t>
      </w:r>
      <w:r w:rsidRPr="00C66485">
        <w:rPr>
          <w:rFonts w:hint="cs"/>
          <w:rtl/>
        </w:rPr>
        <w:t>))</w:t>
      </w:r>
      <w:r w:rsidRPr="00C66485">
        <w:rPr>
          <w:rtl/>
        </w:rPr>
        <w:t>.</w:t>
      </w:r>
    </w:p>
    <w:p w14:paraId="0C9B7A28" w14:textId="77777777" w:rsidR="009F2601" w:rsidRPr="00C66485" w:rsidRDefault="009F2601" w:rsidP="007A6A70">
      <w:pPr>
        <w:pStyle w:val="Hesber"/>
        <w:spacing w:line="276" w:lineRule="auto"/>
        <w:rPr>
          <w:rtl/>
        </w:rPr>
      </w:pPr>
      <w:r w:rsidRPr="00C66485">
        <w:rPr>
          <w:rtl/>
        </w:rPr>
        <w:t>החלטתו של בית המשפט משק</w:t>
      </w:r>
      <w:r w:rsidRPr="00C66485">
        <w:rPr>
          <w:rFonts w:hint="cs"/>
          <w:rtl/>
        </w:rPr>
        <w:t>פת</w:t>
      </w:r>
      <w:r w:rsidRPr="00C66485">
        <w:rPr>
          <w:rtl/>
        </w:rPr>
        <w:t xml:space="preserve"> את הנורמה הראויה והנדרשת במדינה דמוקרטית</w:t>
      </w:r>
      <w:r w:rsidRPr="00C66485">
        <w:rPr>
          <w:rFonts w:hint="cs"/>
          <w:rtl/>
        </w:rPr>
        <w:t xml:space="preserve"> לא רק באשר לראש רשות מקומית, אלא אף, וביתר שאת, באשר לחברי מועצה ברשות מקומית</w:t>
      </w:r>
      <w:r w:rsidRPr="00C66485">
        <w:rPr>
          <w:rtl/>
        </w:rPr>
        <w:t xml:space="preserve">. </w:t>
      </w:r>
    </w:p>
    <w:p w14:paraId="43AA01D6" w14:textId="3AB3C8A4" w:rsidR="009F2601" w:rsidRPr="00C66485" w:rsidRDefault="009F2601" w:rsidP="000A4D6B">
      <w:pPr>
        <w:pStyle w:val="Hesber"/>
        <w:spacing w:line="276" w:lineRule="auto"/>
        <w:rPr>
          <w:rtl/>
        </w:rPr>
      </w:pPr>
      <w:r w:rsidRPr="00C66485">
        <w:rPr>
          <w:rtl/>
        </w:rPr>
        <w:t>חוק הרשויות המקומיות</w:t>
      </w:r>
      <w:r w:rsidR="009F367F">
        <w:rPr>
          <w:rtl/>
        </w:rPr>
        <w:t xml:space="preserve"> (בחירת ראש הרשות וסגניו וכהונת</w:t>
      </w:r>
      <w:r w:rsidR="009F367F">
        <w:rPr>
          <w:rFonts w:hint="cs"/>
          <w:rtl/>
        </w:rPr>
        <w:t>ם</w:t>
      </w:r>
      <w:r w:rsidRPr="00C66485">
        <w:rPr>
          <w:rtl/>
        </w:rPr>
        <w:t xml:space="preserve">), </w:t>
      </w:r>
      <w:r w:rsidRPr="00C66485">
        <w:rPr>
          <w:rFonts w:hint="cs"/>
          <w:rtl/>
        </w:rPr>
        <w:t>ה</w:t>
      </w:r>
      <w:r w:rsidRPr="00C66485">
        <w:rPr>
          <w:rtl/>
        </w:rPr>
        <w:t>תשל"ה</w:t>
      </w:r>
      <w:r w:rsidRPr="00C66485">
        <w:rPr>
          <w:rFonts w:hint="cs"/>
          <w:rtl/>
        </w:rPr>
        <w:t>–</w:t>
      </w:r>
      <w:r w:rsidRPr="00C66485">
        <w:rPr>
          <w:rtl/>
        </w:rPr>
        <w:t>1975 (להלן</w:t>
      </w:r>
      <w:r w:rsidRPr="00C66485">
        <w:rPr>
          <w:rFonts w:hint="cs"/>
          <w:rtl/>
        </w:rPr>
        <w:t xml:space="preserve"> </w:t>
      </w:r>
      <w:r w:rsidRPr="00C66485">
        <w:rPr>
          <w:rFonts w:hint="eastAsia"/>
          <w:rtl/>
        </w:rPr>
        <w:t>–</w:t>
      </w:r>
      <w:r w:rsidRPr="00C66485">
        <w:rPr>
          <w:rtl/>
        </w:rPr>
        <w:t xml:space="preserve"> החוק)</w:t>
      </w:r>
      <w:r w:rsidR="00F472CE">
        <w:rPr>
          <w:rFonts w:hint="cs"/>
          <w:rtl/>
        </w:rPr>
        <w:t>,</w:t>
      </w:r>
      <w:r w:rsidRPr="00C66485">
        <w:rPr>
          <w:rFonts w:hint="cs"/>
          <w:rtl/>
        </w:rPr>
        <w:t xml:space="preserve"> וחוק הרשויות המקומיות (בחירות), התשכ"ה</w:t>
      </w:r>
      <w:r w:rsidRPr="00C66485">
        <w:rPr>
          <w:rFonts w:hint="eastAsia"/>
          <w:rtl/>
        </w:rPr>
        <w:t>–</w:t>
      </w:r>
      <w:r w:rsidRPr="00C66485">
        <w:rPr>
          <w:rFonts w:hint="cs"/>
          <w:rtl/>
        </w:rPr>
        <w:t>1965</w:t>
      </w:r>
      <w:r w:rsidR="00F472CE">
        <w:rPr>
          <w:rFonts w:hint="cs"/>
          <w:rtl/>
        </w:rPr>
        <w:t>,</w:t>
      </w:r>
      <w:r w:rsidRPr="00C66485">
        <w:rPr>
          <w:rtl/>
        </w:rPr>
        <w:t xml:space="preserve"> אינ</w:t>
      </w:r>
      <w:r w:rsidRPr="00C66485">
        <w:rPr>
          <w:rFonts w:hint="cs"/>
          <w:rtl/>
        </w:rPr>
        <w:t>ם</w:t>
      </w:r>
      <w:r w:rsidRPr="00C66485">
        <w:rPr>
          <w:rtl/>
        </w:rPr>
        <w:t xml:space="preserve"> מונע</w:t>
      </w:r>
      <w:r w:rsidRPr="00C66485">
        <w:rPr>
          <w:rFonts w:hint="cs"/>
          <w:rtl/>
        </w:rPr>
        <w:t>ים</w:t>
      </w:r>
      <w:r w:rsidRPr="00C66485">
        <w:rPr>
          <w:rtl/>
        </w:rPr>
        <w:t xml:space="preserve"> מאדם שהוגש נגדו כתב אישום להתמודד </w:t>
      </w:r>
      <w:r w:rsidRPr="00C66485">
        <w:rPr>
          <w:rtl/>
        </w:rPr>
        <w:lastRenderedPageBreak/>
        <w:t>בבחירות</w:t>
      </w:r>
      <w:r w:rsidRPr="00C66485">
        <w:rPr>
          <w:rFonts w:hint="cs"/>
          <w:rtl/>
        </w:rPr>
        <w:t xml:space="preserve"> לתפקיד חבר מועצה</w:t>
      </w:r>
      <w:r w:rsidRPr="00C66485">
        <w:rPr>
          <w:rtl/>
        </w:rPr>
        <w:t xml:space="preserve"> </w:t>
      </w:r>
      <w:r w:rsidRPr="00C66485">
        <w:rPr>
          <w:rFonts w:hint="cs"/>
          <w:rtl/>
        </w:rPr>
        <w:t>ב</w:t>
      </w:r>
      <w:r w:rsidRPr="00C66485">
        <w:rPr>
          <w:rtl/>
        </w:rPr>
        <w:t xml:space="preserve">רשות מקומית. </w:t>
      </w:r>
      <w:r w:rsidRPr="00C66485">
        <w:rPr>
          <w:rFonts w:hint="cs"/>
          <w:rtl/>
        </w:rPr>
        <w:t xml:space="preserve">לכן </w:t>
      </w:r>
      <w:r w:rsidRPr="00C66485">
        <w:rPr>
          <w:rtl/>
        </w:rPr>
        <w:t>תכליתה של הצעת החוק ה</w:t>
      </w:r>
      <w:r w:rsidRPr="00C66485">
        <w:rPr>
          <w:rFonts w:hint="cs"/>
          <w:rtl/>
        </w:rPr>
        <w:t>יא</w:t>
      </w:r>
      <w:r w:rsidRPr="00C66485">
        <w:rPr>
          <w:rtl/>
        </w:rPr>
        <w:t xml:space="preserve"> לשנות מצב זה. אין ספק, כי עולה חשש שהכשל הערכי שדבק בנבחר הציבור או במועמד לתפקיד מעין זה, יפגע גם בהתנהלותו העתידית ובאמון הציבור. יש לעמוד על ניפויים של אנשים שכשלו לכאורה בעבר ובכך להבטיח את ניקיון הכפיים בשלטון המקומי. </w:t>
      </w:r>
    </w:p>
    <w:p w14:paraId="6C153626" w14:textId="4A03557D" w:rsidR="009F2601" w:rsidRPr="00C66485" w:rsidRDefault="009F2601" w:rsidP="007A6A70">
      <w:pPr>
        <w:pStyle w:val="Hesber"/>
        <w:spacing w:line="276" w:lineRule="auto"/>
        <w:rPr>
          <w:rtl/>
        </w:rPr>
      </w:pPr>
      <w:r w:rsidRPr="00C66485">
        <w:rPr>
          <w:rtl/>
        </w:rPr>
        <w:t>במצב זה אין דינו של נבחר ציבור או מי שמבקש להיבחר על ידי הציבור כדינו של כל אדם. אמנם חזקת ה</w:t>
      </w:r>
      <w:r w:rsidRPr="00C66485">
        <w:rPr>
          <w:rFonts w:hint="cs"/>
          <w:rtl/>
        </w:rPr>
        <w:t>ח</w:t>
      </w:r>
      <w:r w:rsidRPr="00C66485">
        <w:rPr>
          <w:rtl/>
        </w:rPr>
        <w:t>פות נשמרת לשניהם, אולם לא ראוי הוא כי מי שנושא על גבו ראיה מ</w:t>
      </w:r>
      <w:r w:rsidR="00701BE1">
        <w:rPr>
          <w:rFonts w:hint="cs"/>
          <w:rtl/>
        </w:rPr>
        <w:t>י</w:t>
      </w:r>
      <w:r w:rsidRPr="00C66485">
        <w:rPr>
          <w:rtl/>
        </w:rPr>
        <w:t>נהלית כבדת משקל שכזו ינהל את ענייני הציבור לפני שמתפזרת עננת החשדות בעניינו.</w:t>
      </w:r>
      <w:r w:rsidRPr="00C66485">
        <w:rPr>
          <w:rFonts w:hint="cs"/>
          <w:rtl/>
        </w:rPr>
        <w:t xml:space="preserve"> </w:t>
      </w:r>
      <w:r w:rsidRPr="00C66485">
        <w:rPr>
          <w:rtl/>
        </w:rPr>
        <w:t xml:space="preserve">מי שהוגש נגדו כתב אישום אינו ראוי מבחינה ציבורית לשמש </w:t>
      </w:r>
      <w:r w:rsidRPr="00C66485">
        <w:rPr>
          <w:rFonts w:hint="cs"/>
          <w:rtl/>
        </w:rPr>
        <w:t>נבחר ציבור ב</w:t>
      </w:r>
      <w:r w:rsidRPr="00C66485">
        <w:rPr>
          <w:rtl/>
        </w:rPr>
        <w:t xml:space="preserve">רשות מקומית. </w:t>
      </w:r>
    </w:p>
    <w:p w14:paraId="04CB2D9E" w14:textId="78E61F4A" w:rsidR="009F2601" w:rsidRPr="00C66485" w:rsidRDefault="009F2601" w:rsidP="00B40933">
      <w:pPr>
        <w:pStyle w:val="Hesber"/>
        <w:spacing w:line="276" w:lineRule="auto"/>
        <w:rPr>
          <w:rtl/>
        </w:rPr>
      </w:pPr>
      <w:r w:rsidRPr="00C66485">
        <w:rPr>
          <w:rFonts w:hint="eastAsia"/>
          <w:rtl/>
        </w:rPr>
        <w:t>הצעת</w:t>
      </w:r>
      <w:r w:rsidRPr="00C66485">
        <w:rPr>
          <w:rtl/>
        </w:rPr>
        <w:t xml:space="preserve"> </w:t>
      </w:r>
      <w:r w:rsidRPr="00C66485">
        <w:rPr>
          <w:rFonts w:hint="eastAsia"/>
          <w:rtl/>
        </w:rPr>
        <w:t>חוק</w:t>
      </w:r>
      <w:r w:rsidRPr="00C66485">
        <w:rPr>
          <w:rtl/>
        </w:rPr>
        <w:t xml:space="preserve"> </w:t>
      </w:r>
      <w:r w:rsidRPr="00C66485">
        <w:rPr>
          <w:rFonts w:hint="eastAsia"/>
          <w:rtl/>
        </w:rPr>
        <w:t>זו</w:t>
      </w:r>
      <w:r w:rsidRPr="00C66485">
        <w:rPr>
          <w:rtl/>
        </w:rPr>
        <w:t xml:space="preserve"> </w:t>
      </w:r>
      <w:r w:rsidR="00A87181">
        <w:rPr>
          <w:rFonts w:hint="cs"/>
          <w:rtl/>
        </w:rPr>
        <w:t>נועדה</w:t>
      </w:r>
      <w:r w:rsidRPr="00C66485">
        <w:rPr>
          <w:rtl/>
        </w:rPr>
        <w:t xml:space="preserve"> </w:t>
      </w:r>
      <w:r w:rsidRPr="00C66485">
        <w:rPr>
          <w:rFonts w:hint="eastAsia"/>
          <w:rtl/>
        </w:rPr>
        <w:t>להרחיב</w:t>
      </w:r>
      <w:r w:rsidRPr="00C66485">
        <w:rPr>
          <w:rtl/>
        </w:rPr>
        <w:t xml:space="preserve"> </w:t>
      </w:r>
      <w:r w:rsidRPr="00C66485">
        <w:rPr>
          <w:rFonts w:hint="eastAsia"/>
          <w:rtl/>
        </w:rPr>
        <w:t>את</w:t>
      </w:r>
      <w:r w:rsidRPr="00C66485">
        <w:rPr>
          <w:rtl/>
        </w:rPr>
        <w:t xml:space="preserve"> </w:t>
      </w:r>
      <w:r w:rsidRPr="00C66485">
        <w:rPr>
          <w:rFonts w:hint="eastAsia"/>
          <w:rtl/>
        </w:rPr>
        <w:t>אשר</w:t>
      </w:r>
      <w:r w:rsidRPr="00C66485">
        <w:rPr>
          <w:rtl/>
        </w:rPr>
        <w:t xml:space="preserve"> </w:t>
      </w:r>
      <w:r w:rsidRPr="00C66485">
        <w:rPr>
          <w:rFonts w:hint="eastAsia"/>
          <w:rtl/>
        </w:rPr>
        <w:t>פסק</w:t>
      </w:r>
      <w:r w:rsidRPr="00C66485">
        <w:rPr>
          <w:rtl/>
        </w:rPr>
        <w:t xml:space="preserve"> </w:t>
      </w:r>
      <w:r w:rsidRPr="00C66485">
        <w:rPr>
          <w:rFonts w:hint="eastAsia"/>
          <w:rtl/>
        </w:rPr>
        <w:t>בית</w:t>
      </w:r>
      <w:r w:rsidRPr="00C66485">
        <w:rPr>
          <w:rtl/>
        </w:rPr>
        <w:t xml:space="preserve"> </w:t>
      </w:r>
      <w:r w:rsidRPr="00C66485">
        <w:rPr>
          <w:rFonts w:hint="eastAsia"/>
          <w:rtl/>
        </w:rPr>
        <w:t>המשפט</w:t>
      </w:r>
      <w:r w:rsidRPr="00C66485">
        <w:rPr>
          <w:rtl/>
        </w:rPr>
        <w:t xml:space="preserve"> </w:t>
      </w:r>
      <w:r w:rsidRPr="00C66485">
        <w:rPr>
          <w:rFonts w:hint="eastAsia"/>
          <w:rtl/>
        </w:rPr>
        <w:t>העליון</w:t>
      </w:r>
      <w:r w:rsidRPr="00C66485">
        <w:rPr>
          <w:rtl/>
        </w:rPr>
        <w:t xml:space="preserve"> </w:t>
      </w:r>
      <w:r w:rsidRPr="00C66485">
        <w:rPr>
          <w:rFonts w:hint="cs"/>
          <w:rtl/>
        </w:rPr>
        <w:t xml:space="preserve">ואת הקבוע בסעיף 19א לחוק, </w:t>
      </w:r>
      <w:r w:rsidRPr="00C66485">
        <w:rPr>
          <w:rFonts w:hint="eastAsia"/>
          <w:rtl/>
        </w:rPr>
        <w:t>אף</w:t>
      </w:r>
      <w:r w:rsidRPr="00C66485">
        <w:rPr>
          <w:rtl/>
        </w:rPr>
        <w:t xml:space="preserve"> </w:t>
      </w:r>
      <w:r w:rsidRPr="00C66485">
        <w:rPr>
          <w:rFonts w:hint="eastAsia"/>
          <w:rtl/>
        </w:rPr>
        <w:t>לחברי</w:t>
      </w:r>
      <w:r w:rsidRPr="00C66485">
        <w:rPr>
          <w:rtl/>
        </w:rPr>
        <w:t xml:space="preserve"> </w:t>
      </w:r>
      <w:r w:rsidRPr="00C66485">
        <w:rPr>
          <w:rFonts w:hint="eastAsia"/>
          <w:rtl/>
        </w:rPr>
        <w:t>מועצה</w:t>
      </w:r>
      <w:r w:rsidRPr="00C66485">
        <w:rPr>
          <w:rtl/>
        </w:rPr>
        <w:t xml:space="preserve"> </w:t>
      </w:r>
      <w:r w:rsidRPr="00C66485">
        <w:rPr>
          <w:rFonts w:hint="eastAsia"/>
          <w:rtl/>
        </w:rPr>
        <w:t>ברשויות</w:t>
      </w:r>
      <w:r w:rsidRPr="00C66485">
        <w:rPr>
          <w:rtl/>
        </w:rPr>
        <w:t xml:space="preserve"> </w:t>
      </w:r>
      <w:r w:rsidRPr="00C66485">
        <w:rPr>
          <w:rFonts w:hint="eastAsia"/>
          <w:rtl/>
        </w:rPr>
        <w:t>המקומיות</w:t>
      </w:r>
      <w:r w:rsidRPr="00C66485">
        <w:rPr>
          <w:rtl/>
        </w:rPr>
        <w:t xml:space="preserve"> </w:t>
      </w:r>
      <w:r w:rsidRPr="00C66485">
        <w:rPr>
          <w:rFonts w:hint="eastAsia"/>
          <w:rtl/>
        </w:rPr>
        <w:t>ומועמדים</w:t>
      </w:r>
      <w:r w:rsidRPr="00C66485">
        <w:rPr>
          <w:rtl/>
        </w:rPr>
        <w:t xml:space="preserve"> </w:t>
      </w:r>
      <w:r w:rsidRPr="00C66485">
        <w:rPr>
          <w:rFonts w:hint="eastAsia"/>
          <w:rtl/>
        </w:rPr>
        <w:t>לתפקיד</w:t>
      </w:r>
      <w:r w:rsidRPr="00C66485">
        <w:rPr>
          <w:rtl/>
        </w:rPr>
        <w:t xml:space="preserve"> </w:t>
      </w:r>
      <w:r w:rsidRPr="00C66485">
        <w:rPr>
          <w:rFonts w:hint="eastAsia"/>
          <w:rtl/>
        </w:rPr>
        <w:t>זה</w:t>
      </w:r>
      <w:r w:rsidRPr="00C66485">
        <w:rPr>
          <w:rtl/>
        </w:rPr>
        <w:t xml:space="preserve">, </w:t>
      </w:r>
      <w:r w:rsidRPr="00C66485">
        <w:rPr>
          <w:rFonts w:hint="eastAsia"/>
          <w:rtl/>
        </w:rPr>
        <w:t>וזאת</w:t>
      </w:r>
      <w:r w:rsidRPr="00C66485">
        <w:rPr>
          <w:rtl/>
        </w:rPr>
        <w:t xml:space="preserve"> </w:t>
      </w:r>
      <w:r w:rsidRPr="00C66485">
        <w:rPr>
          <w:rFonts w:hint="eastAsia"/>
          <w:rtl/>
        </w:rPr>
        <w:t>מתוך</w:t>
      </w:r>
      <w:r w:rsidRPr="00C66485">
        <w:rPr>
          <w:rtl/>
        </w:rPr>
        <w:t xml:space="preserve"> </w:t>
      </w:r>
      <w:r w:rsidRPr="00C66485">
        <w:rPr>
          <w:rFonts w:hint="eastAsia"/>
          <w:rtl/>
        </w:rPr>
        <w:t>האמונה</w:t>
      </w:r>
      <w:r w:rsidRPr="00C66485">
        <w:rPr>
          <w:rtl/>
        </w:rPr>
        <w:t xml:space="preserve"> </w:t>
      </w:r>
      <w:r w:rsidRPr="00C66485">
        <w:rPr>
          <w:rFonts w:hint="eastAsia"/>
          <w:rtl/>
        </w:rPr>
        <w:t>כי</w:t>
      </w:r>
      <w:r w:rsidRPr="00C66485">
        <w:rPr>
          <w:rtl/>
        </w:rPr>
        <w:t xml:space="preserve"> </w:t>
      </w:r>
      <w:r w:rsidRPr="00C66485">
        <w:rPr>
          <w:rFonts w:hint="eastAsia"/>
          <w:rtl/>
        </w:rPr>
        <w:t>החשש</w:t>
      </w:r>
      <w:r w:rsidRPr="00C66485">
        <w:rPr>
          <w:rtl/>
        </w:rPr>
        <w:t xml:space="preserve"> </w:t>
      </w:r>
      <w:r w:rsidRPr="00C66485">
        <w:rPr>
          <w:rFonts w:hint="eastAsia"/>
          <w:rtl/>
        </w:rPr>
        <w:t>מבעלי</w:t>
      </w:r>
      <w:r w:rsidRPr="00C66485">
        <w:rPr>
          <w:rtl/>
        </w:rPr>
        <w:t xml:space="preserve"> </w:t>
      </w:r>
      <w:r w:rsidRPr="00C66485">
        <w:rPr>
          <w:rFonts w:hint="eastAsia"/>
          <w:rtl/>
        </w:rPr>
        <w:t>תפקידים</w:t>
      </w:r>
      <w:r w:rsidRPr="00C66485">
        <w:rPr>
          <w:rtl/>
        </w:rPr>
        <w:t xml:space="preserve"> </w:t>
      </w:r>
      <w:r w:rsidRPr="00C66485">
        <w:rPr>
          <w:rFonts w:hint="eastAsia"/>
          <w:rtl/>
        </w:rPr>
        <w:t>אלו</w:t>
      </w:r>
      <w:r w:rsidRPr="00C66485">
        <w:rPr>
          <w:rtl/>
        </w:rPr>
        <w:t xml:space="preserve"> </w:t>
      </w:r>
      <w:r w:rsidRPr="00C66485">
        <w:rPr>
          <w:rFonts w:hint="eastAsia"/>
          <w:rtl/>
        </w:rPr>
        <w:t>גדול</w:t>
      </w:r>
      <w:r w:rsidRPr="00C66485">
        <w:rPr>
          <w:rtl/>
        </w:rPr>
        <w:t xml:space="preserve"> </w:t>
      </w:r>
      <w:r w:rsidRPr="00C66485">
        <w:rPr>
          <w:rFonts w:hint="eastAsia"/>
          <w:rtl/>
        </w:rPr>
        <w:t>לא</w:t>
      </w:r>
      <w:r w:rsidRPr="00C66485">
        <w:rPr>
          <w:rtl/>
        </w:rPr>
        <w:t xml:space="preserve"> </w:t>
      </w:r>
      <w:r w:rsidRPr="00C66485">
        <w:rPr>
          <w:rFonts w:hint="eastAsia"/>
          <w:rtl/>
        </w:rPr>
        <w:t>פחות</w:t>
      </w:r>
      <w:r w:rsidRPr="00C66485">
        <w:rPr>
          <w:rtl/>
        </w:rPr>
        <w:t xml:space="preserve"> </w:t>
      </w:r>
      <w:r w:rsidRPr="00C66485">
        <w:rPr>
          <w:rFonts w:hint="eastAsia"/>
          <w:rtl/>
        </w:rPr>
        <w:t>מן</w:t>
      </w:r>
      <w:r w:rsidRPr="00C66485">
        <w:rPr>
          <w:rtl/>
        </w:rPr>
        <w:t xml:space="preserve"> </w:t>
      </w:r>
      <w:r w:rsidRPr="00C66485">
        <w:rPr>
          <w:rFonts w:hint="eastAsia"/>
          <w:rtl/>
        </w:rPr>
        <w:t>החשש</w:t>
      </w:r>
      <w:r w:rsidRPr="00C66485">
        <w:rPr>
          <w:rtl/>
        </w:rPr>
        <w:t xml:space="preserve"> </w:t>
      </w:r>
      <w:r w:rsidRPr="00C66485">
        <w:rPr>
          <w:rFonts w:hint="eastAsia"/>
          <w:rtl/>
        </w:rPr>
        <w:t>מפני</w:t>
      </w:r>
      <w:r w:rsidRPr="00C66485">
        <w:rPr>
          <w:rtl/>
        </w:rPr>
        <w:t xml:space="preserve"> </w:t>
      </w:r>
      <w:r w:rsidRPr="00C66485">
        <w:rPr>
          <w:rFonts w:hint="eastAsia"/>
          <w:rtl/>
        </w:rPr>
        <w:t>ראש</w:t>
      </w:r>
      <w:r w:rsidRPr="00C66485">
        <w:rPr>
          <w:rtl/>
        </w:rPr>
        <w:t xml:space="preserve"> </w:t>
      </w:r>
      <w:r w:rsidRPr="00C66485">
        <w:rPr>
          <w:rFonts w:hint="eastAsia"/>
          <w:rtl/>
        </w:rPr>
        <w:t>רשות</w:t>
      </w:r>
      <w:r w:rsidRPr="00C66485">
        <w:rPr>
          <w:rtl/>
        </w:rPr>
        <w:t xml:space="preserve"> </w:t>
      </w:r>
      <w:r w:rsidRPr="00C66485">
        <w:rPr>
          <w:rFonts w:hint="eastAsia"/>
          <w:rtl/>
        </w:rPr>
        <w:t>מקומית</w:t>
      </w:r>
      <w:r w:rsidRPr="00C66485">
        <w:rPr>
          <w:rtl/>
        </w:rPr>
        <w:t xml:space="preserve">: </w:t>
      </w:r>
      <w:r w:rsidRPr="00C66485">
        <w:rPr>
          <w:rFonts w:hint="eastAsia"/>
          <w:rtl/>
        </w:rPr>
        <w:t>ראשית</w:t>
      </w:r>
      <w:r w:rsidRPr="00C66485">
        <w:rPr>
          <w:rtl/>
        </w:rPr>
        <w:t xml:space="preserve">, </w:t>
      </w:r>
      <w:r w:rsidRPr="00C66485">
        <w:rPr>
          <w:rFonts w:hint="eastAsia"/>
          <w:rtl/>
        </w:rPr>
        <w:t>אין</w:t>
      </w:r>
      <w:r w:rsidRPr="00C66485">
        <w:rPr>
          <w:rtl/>
        </w:rPr>
        <w:t xml:space="preserve"> </w:t>
      </w:r>
      <w:r w:rsidRPr="00C66485">
        <w:rPr>
          <w:rFonts w:hint="eastAsia"/>
          <w:rtl/>
        </w:rPr>
        <w:t>הם</w:t>
      </w:r>
      <w:r w:rsidRPr="00C66485">
        <w:rPr>
          <w:rtl/>
        </w:rPr>
        <w:t xml:space="preserve"> </w:t>
      </w:r>
      <w:r w:rsidRPr="00C66485">
        <w:rPr>
          <w:rFonts w:hint="eastAsia"/>
          <w:rtl/>
        </w:rPr>
        <w:t>מקבלים</w:t>
      </w:r>
      <w:r w:rsidRPr="00C66485">
        <w:rPr>
          <w:rtl/>
        </w:rPr>
        <w:t xml:space="preserve"> </w:t>
      </w:r>
      <w:r w:rsidRPr="00C66485">
        <w:rPr>
          <w:rFonts w:hint="eastAsia"/>
          <w:rtl/>
        </w:rPr>
        <w:t>שכר</w:t>
      </w:r>
      <w:r w:rsidRPr="00C66485">
        <w:rPr>
          <w:rtl/>
        </w:rPr>
        <w:t xml:space="preserve"> </w:t>
      </w:r>
      <w:r w:rsidRPr="00C66485">
        <w:rPr>
          <w:rFonts w:hint="eastAsia"/>
          <w:rtl/>
        </w:rPr>
        <w:t>תמורת</w:t>
      </w:r>
      <w:r w:rsidRPr="00C66485">
        <w:rPr>
          <w:rtl/>
        </w:rPr>
        <w:t xml:space="preserve"> </w:t>
      </w:r>
      <w:r w:rsidRPr="00C66485">
        <w:rPr>
          <w:rFonts w:hint="eastAsia"/>
          <w:rtl/>
        </w:rPr>
        <w:t>כהונתם</w:t>
      </w:r>
      <w:r w:rsidRPr="00C66485">
        <w:rPr>
          <w:rtl/>
        </w:rPr>
        <w:t xml:space="preserve">, </w:t>
      </w:r>
      <w:r w:rsidRPr="00C66485">
        <w:rPr>
          <w:rFonts w:hint="eastAsia"/>
          <w:rtl/>
        </w:rPr>
        <w:t>כך</w:t>
      </w:r>
      <w:r w:rsidRPr="00C66485">
        <w:rPr>
          <w:rtl/>
        </w:rPr>
        <w:t xml:space="preserve"> </w:t>
      </w:r>
      <w:r w:rsidRPr="00C66485">
        <w:rPr>
          <w:rFonts w:hint="eastAsia"/>
          <w:rtl/>
        </w:rPr>
        <w:t>שהחשש</w:t>
      </w:r>
      <w:r w:rsidRPr="00C66485">
        <w:rPr>
          <w:rtl/>
        </w:rPr>
        <w:t xml:space="preserve"> </w:t>
      </w:r>
      <w:r w:rsidRPr="00C66485">
        <w:rPr>
          <w:rFonts w:hint="eastAsia"/>
          <w:rtl/>
        </w:rPr>
        <w:t>כי</w:t>
      </w:r>
      <w:r w:rsidRPr="00C66485">
        <w:rPr>
          <w:rtl/>
        </w:rPr>
        <w:t xml:space="preserve"> </w:t>
      </w:r>
      <w:r w:rsidRPr="00C66485">
        <w:rPr>
          <w:rFonts w:hint="eastAsia"/>
          <w:rtl/>
        </w:rPr>
        <w:t>הם</w:t>
      </w:r>
      <w:r w:rsidRPr="00C66485">
        <w:rPr>
          <w:rtl/>
        </w:rPr>
        <w:t xml:space="preserve"> </w:t>
      </w:r>
      <w:r w:rsidRPr="00C66485">
        <w:rPr>
          <w:rFonts w:hint="eastAsia"/>
          <w:rtl/>
        </w:rPr>
        <w:t>עלולים</w:t>
      </w:r>
      <w:r w:rsidRPr="00C66485">
        <w:rPr>
          <w:rtl/>
        </w:rPr>
        <w:t xml:space="preserve"> </w:t>
      </w:r>
      <w:r w:rsidRPr="00C66485">
        <w:rPr>
          <w:rFonts w:hint="eastAsia"/>
          <w:rtl/>
        </w:rPr>
        <w:t>לנצל</w:t>
      </w:r>
      <w:r w:rsidRPr="00C66485">
        <w:rPr>
          <w:rtl/>
        </w:rPr>
        <w:t xml:space="preserve"> </w:t>
      </w:r>
      <w:r w:rsidRPr="00C66485">
        <w:rPr>
          <w:rFonts w:hint="eastAsia"/>
          <w:rtl/>
        </w:rPr>
        <w:t>כוחם</w:t>
      </w:r>
      <w:r w:rsidRPr="00C66485">
        <w:rPr>
          <w:rtl/>
        </w:rPr>
        <w:t xml:space="preserve"> </w:t>
      </w:r>
      <w:r w:rsidRPr="00C66485">
        <w:rPr>
          <w:rFonts w:hint="eastAsia"/>
          <w:rtl/>
        </w:rPr>
        <w:t>לרעה</w:t>
      </w:r>
      <w:r w:rsidRPr="00C66485">
        <w:rPr>
          <w:rtl/>
        </w:rPr>
        <w:t xml:space="preserve">, </w:t>
      </w:r>
      <w:r w:rsidRPr="00C66485">
        <w:rPr>
          <w:rFonts w:hint="eastAsia"/>
          <w:rtl/>
        </w:rPr>
        <w:t>קיים</w:t>
      </w:r>
      <w:r w:rsidRPr="00C66485">
        <w:rPr>
          <w:rtl/>
        </w:rPr>
        <w:t xml:space="preserve"> </w:t>
      </w:r>
      <w:r w:rsidRPr="00C66485">
        <w:rPr>
          <w:rFonts w:hint="eastAsia"/>
          <w:rtl/>
        </w:rPr>
        <w:t>אף</w:t>
      </w:r>
      <w:r w:rsidRPr="00C66485">
        <w:rPr>
          <w:rtl/>
        </w:rPr>
        <w:t xml:space="preserve"> </w:t>
      </w:r>
      <w:r w:rsidRPr="00C66485">
        <w:rPr>
          <w:rFonts w:hint="eastAsia"/>
          <w:rtl/>
        </w:rPr>
        <w:t>ביתר</w:t>
      </w:r>
      <w:r w:rsidRPr="00C66485">
        <w:rPr>
          <w:rtl/>
        </w:rPr>
        <w:t xml:space="preserve"> </w:t>
      </w:r>
      <w:r w:rsidRPr="00C66485">
        <w:rPr>
          <w:rFonts w:hint="eastAsia"/>
          <w:rtl/>
        </w:rPr>
        <w:t>שאת</w:t>
      </w:r>
      <w:r w:rsidRPr="00C66485">
        <w:rPr>
          <w:rtl/>
        </w:rPr>
        <w:t xml:space="preserve">; </w:t>
      </w:r>
      <w:r w:rsidRPr="00C66485">
        <w:rPr>
          <w:rFonts w:hint="eastAsia"/>
          <w:rtl/>
        </w:rPr>
        <w:t>ושנית</w:t>
      </w:r>
      <w:r w:rsidRPr="00C66485">
        <w:rPr>
          <w:rtl/>
        </w:rPr>
        <w:t xml:space="preserve">, </w:t>
      </w:r>
      <w:r w:rsidRPr="00C66485">
        <w:rPr>
          <w:rFonts w:hint="eastAsia"/>
          <w:rtl/>
        </w:rPr>
        <w:t>מספרם</w:t>
      </w:r>
      <w:r w:rsidRPr="00C66485">
        <w:rPr>
          <w:rtl/>
        </w:rPr>
        <w:t xml:space="preserve"> </w:t>
      </w:r>
      <w:r w:rsidRPr="00C66485">
        <w:rPr>
          <w:rFonts w:hint="eastAsia"/>
          <w:rtl/>
        </w:rPr>
        <w:t>הכולל</w:t>
      </w:r>
      <w:r w:rsidRPr="00C66485">
        <w:rPr>
          <w:rtl/>
        </w:rPr>
        <w:t xml:space="preserve"> </w:t>
      </w:r>
      <w:r w:rsidRPr="00C66485">
        <w:rPr>
          <w:rFonts w:hint="eastAsia"/>
          <w:rtl/>
        </w:rPr>
        <w:t>רב</w:t>
      </w:r>
      <w:r w:rsidRPr="00C66485">
        <w:rPr>
          <w:rtl/>
        </w:rPr>
        <w:t xml:space="preserve"> </w:t>
      </w:r>
      <w:r w:rsidRPr="00C66485">
        <w:rPr>
          <w:rFonts w:hint="eastAsia"/>
          <w:rtl/>
        </w:rPr>
        <w:t>יותר</w:t>
      </w:r>
      <w:r w:rsidRPr="00C66485">
        <w:rPr>
          <w:rtl/>
        </w:rPr>
        <w:t xml:space="preserve">, </w:t>
      </w:r>
      <w:r w:rsidRPr="00C66485">
        <w:rPr>
          <w:rFonts w:hint="eastAsia"/>
          <w:rtl/>
        </w:rPr>
        <w:t>כך</w:t>
      </w:r>
      <w:r w:rsidRPr="00C66485">
        <w:rPr>
          <w:rtl/>
        </w:rPr>
        <w:t xml:space="preserve"> </w:t>
      </w:r>
      <w:r w:rsidRPr="00C66485">
        <w:rPr>
          <w:rFonts w:hint="eastAsia"/>
          <w:rtl/>
        </w:rPr>
        <w:t>שייתכן</w:t>
      </w:r>
      <w:r w:rsidRPr="00C66485">
        <w:rPr>
          <w:rtl/>
        </w:rPr>
        <w:t xml:space="preserve"> </w:t>
      </w:r>
      <w:r w:rsidRPr="00C66485">
        <w:rPr>
          <w:rFonts w:hint="eastAsia"/>
          <w:rtl/>
        </w:rPr>
        <w:t>מספר</w:t>
      </w:r>
      <w:r w:rsidRPr="00C66485">
        <w:rPr>
          <w:rtl/>
        </w:rPr>
        <w:t xml:space="preserve"> </w:t>
      </w:r>
      <w:r w:rsidRPr="00C66485">
        <w:rPr>
          <w:rFonts w:hint="eastAsia"/>
          <w:rtl/>
        </w:rPr>
        <w:t>רב</w:t>
      </w:r>
      <w:r w:rsidRPr="00C66485">
        <w:rPr>
          <w:rtl/>
        </w:rPr>
        <w:t xml:space="preserve"> </w:t>
      </w:r>
      <w:r w:rsidRPr="00C66485">
        <w:rPr>
          <w:rFonts w:hint="eastAsia"/>
          <w:rtl/>
        </w:rPr>
        <w:t>יותר</w:t>
      </w:r>
      <w:r w:rsidRPr="00C66485">
        <w:rPr>
          <w:rtl/>
        </w:rPr>
        <w:t xml:space="preserve"> </w:t>
      </w:r>
      <w:r w:rsidRPr="00C66485">
        <w:rPr>
          <w:rFonts w:hint="eastAsia"/>
          <w:rtl/>
        </w:rPr>
        <w:t>של</w:t>
      </w:r>
      <w:r w:rsidRPr="00C66485">
        <w:rPr>
          <w:rtl/>
        </w:rPr>
        <w:t xml:space="preserve"> </w:t>
      </w:r>
      <w:r w:rsidRPr="00C66485">
        <w:rPr>
          <w:rFonts w:hint="eastAsia"/>
          <w:rtl/>
        </w:rPr>
        <w:t>עבירות</w:t>
      </w:r>
      <w:r w:rsidR="00B40933">
        <w:rPr>
          <w:rFonts w:hint="cs"/>
          <w:rtl/>
        </w:rPr>
        <w:t>,</w:t>
      </w:r>
      <w:r w:rsidRPr="00C66485">
        <w:rPr>
          <w:rtl/>
        </w:rPr>
        <w:t xml:space="preserve"> </w:t>
      </w:r>
      <w:r w:rsidRPr="00C66485">
        <w:rPr>
          <w:rFonts w:hint="eastAsia"/>
          <w:rtl/>
        </w:rPr>
        <w:t>ולכן</w:t>
      </w:r>
      <w:r w:rsidRPr="00C66485">
        <w:rPr>
          <w:rtl/>
        </w:rPr>
        <w:t xml:space="preserve"> </w:t>
      </w:r>
      <w:r w:rsidRPr="00C66485">
        <w:rPr>
          <w:rFonts w:hint="eastAsia"/>
          <w:rtl/>
        </w:rPr>
        <w:t>ההרתעה</w:t>
      </w:r>
      <w:r w:rsidRPr="00C66485">
        <w:rPr>
          <w:rtl/>
        </w:rPr>
        <w:t xml:space="preserve"> </w:t>
      </w:r>
      <w:r w:rsidRPr="00C66485">
        <w:rPr>
          <w:rFonts w:hint="eastAsia"/>
          <w:rtl/>
        </w:rPr>
        <w:t>נדרשת</w:t>
      </w:r>
      <w:r w:rsidRPr="00C66485">
        <w:rPr>
          <w:rtl/>
        </w:rPr>
        <w:t xml:space="preserve"> </w:t>
      </w:r>
      <w:r w:rsidRPr="00C66485">
        <w:rPr>
          <w:rFonts w:hint="eastAsia"/>
          <w:rtl/>
        </w:rPr>
        <w:t>להיות</w:t>
      </w:r>
      <w:r w:rsidRPr="00C66485">
        <w:rPr>
          <w:rtl/>
        </w:rPr>
        <w:t xml:space="preserve"> </w:t>
      </w:r>
      <w:r w:rsidRPr="00C66485">
        <w:rPr>
          <w:rFonts w:hint="eastAsia"/>
          <w:rtl/>
        </w:rPr>
        <w:t>יעילה</w:t>
      </w:r>
      <w:r w:rsidRPr="00C66485">
        <w:rPr>
          <w:rtl/>
        </w:rPr>
        <w:t xml:space="preserve"> </w:t>
      </w:r>
      <w:r w:rsidRPr="00C66485">
        <w:rPr>
          <w:rFonts w:hint="eastAsia"/>
          <w:rtl/>
        </w:rPr>
        <w:t>לא</w:t>
      </w:r>
      <w:r w:rsidRPr="00C66485">
        <w:rPr>
          <w:rtl/>
        </w:rPr>
        <w:t xml:space="preserve"> </w:t>
      </w:r>
      <w:r w:rsidRPr="00C66485">
        <w:rPr>
          <w:rFonts w:hint="eastAsia"/>
          <w:rtl/>
        </w:rPr>
        <w:t>פחות</w:t>
      </w:r>
      <w:r w:rsidRPr="00C66485">
        <w:rPr>
          <w:rtl/>
        </w:rPr>
        <w:t>.</w:t>
      </w:r>
      <w:r w:rsidRPr="00C66485">
        <w:rPr>
          <w:rFonts w:hint="cs"/>
          <w:rtl/>
        </w:rPr>
        <w:t xml:space="preserve"> </w:t>
      </w:r>
    </w:p>
    <w:p w14:paraId="01A1C9C3" w14:textId="77777777" w:rsidR="009F2601" w:rsidRPr="00C66485" w:rsidRDefault="009F2601" w:rsidP="007A6A70">
      <w:pPr>
        <w:pStyle w:val="Hesber"/>
        <w:spacing w:line="276" w:lineRule="auto"/>
        <w:rPr>
          <w:rtl/>
        </w:rPr>
      </w:pPr>
      <w:r w:rsidRPr="00C66485">
        <w:rPr>
          <w:rFonts w:hint="eastAsia"/>
          <w:rtl/>
        </w:rPr>
        <w:t>בית</w:t>
      </w:r>
      <w:r w:rsidRPr="00C66485">
        <w:rPr>
          <w:rtl/>
        </w:rPr>
        <w:t xml:space="preserve"> </w:t>
      </w:r>
      <w:r w:rsidRPr="00C66485">
        <w:rPr>
          <w:rFonts w:hint="eastAsia"/>
          <w:rtl/>
        </w:rPr>
        <w:t>המשפט</w:t>
      </w:r>
      <w:r w:rsidRPr="00C66485">
        <w:rPr>
          <w:rtl/>
        </w:rPr>
        <w:t xml:space="preserve"> </w:t>
      </w:r>
      <w:r w:rsidRPr="00C66485">
        <w:rPr>
          <w:rFonts w:hint="eastAsia"/>
          <w:rtl/>
        </w:rPr>
        <w:t>העליון</w:t>
      </w:r>
      <w:r w:rsidRPr="00C66485">
        <w:rPr>
          <w:rFonts w:hint="cs"/>
          <w:rtl/>
        </w:rPr>
        <w:t xml:space="preserve"> קבע כי גם על הזכות לבחור ולהיבחר עם כל חשיבותה, לסגת לפעמים מפני שיקולים אחרים, ואין היא זכות מוחלטת. בית המשפט אף הביע דעתו כי מניעת התמודדות צריכה להיקבע בחקיקה מתאימה.</w:t>
      </w:r>
    </w:p>
    <w:p w14:paraId="36C5FCA1" w14:textId="134C1E7F" w:rsidR="009F2601" w:rsidRPr="00C66485" w:rsidRDefault="009F2601" w:rsidP="007A6A70">
      <w:pPr>
        <w:pStyle w:val="Hesber"/>
        <w:spacing w:line="276" w:lineRule="auto"/>
        <w:rPr>
          <w:rtl/>
        </w:rPr>
      </w:pPr>
      <w:r w:rsidRPr="00C66485">
        <w:rPr>
          <w:rtl/>
        </w:rPr>
        <w:t xml:space="preserve">בהתאם לכך מוצע לקבוע כי </w:t>
      </w:r>
      <w:r w:rsidRPr="00C66485">
        <w:rPr>
          <w:rFonts w:hint="cs"/>
          <w:rtl/>
        </w:rPr>
        <w:t xml:space="preserve">תיחסם </w:t>
      </w:r>
      <w:r w:rsidRPr="00C66485">
        <w:rPr>
          <w:rtl/>
        </w:rPr>
        <w:t>מאדם, שהוגש נגדו כתב אישום בגין עבירות חמורו</w:t>
      </w:r>
      <w:r w:rsidRPr="00C66485">
        <w:rPr>
          <w:rFonts w:hint="cs"/>
          <w:rtl/>
        </w:rPr>
        <w:t xml:space="preserve">ת </w:t>
      </w:r>
      <w:r w:rsidR="00FD07BB">
        <w:rPr>
          <w:rtl/>
        </w:rPr>
        <w:t xml:space="preserve">מסוג </w:t>
      </w:r>
      <w:r w:rsidRPr="00C66485">
        <w:rPr>
          <w:rtl/>
        </w:rPr>
        <w:t>פש</w:t>
      </w:r>
      <w:r w:rsidR="00FD07BB">
        <w:rPr>
          <w:rtl/>
        </w:rPr>
        <w:t>ע</w:t>
      </w:r>
      <w:r w:rsidRPr="00C66485">
        <w:rPr>
          <w:rFonts w:hint="cs"/>
          <w:rtl/>
        </w:rPr>
        <w:t>,</w:t>
      </w:r>
      <w:r w:rsidRPr="00C66485">
        <w:rPr>
          <w:rtl/>
        </w:rPr>
        <w:t xml:space="preserve"> האפשרות להתמודד בבחירות </w:t>
      </w:r>
      <w:r w:rsidRPr="00C66485">
        <w:rPr>
          <w:rFonts w:hint="cs"/>
          <w:rtl/>
        </w:rPr>
        <w:t>לרשות המקומית</w:t>
      </w:r>
      <w:r w:rsidRPr="00C66485">
        <w:rPr>
          <w:rtl/>
        </w:rPr>
        <w:t xml:space="preserve">, אלא אם קבע אחרת </w:t>
      </w:r>
      <w:r w:rsidRPr="00C66485">
        <w:rPr>
          <w:rFonts w:hint="cs"/>
          <w:rtl/>
        </w:rPr>
        <w:t>יושב ראש</w:t>
      </w:r>
      <w:r w:rsidRPr="00C66485">
        <w:rPr>
          <w:rtl/>
        </w:rPr>
        <w:t xml:space="preserve"> ועדת הבחירות המרכזית בהתאם להליך המפורט </w:t>
      </w:r>
      <w:r w:rsidRPr="00C66485">
        <w:rPr>
          <w:rFonts w:hint="cs"/>
          <w:rtl/>
        </w:rPr>
        <w:t>בהצעה</w:t>
      </w:r>
      <w:r w:rsidRPr="00C66485">
        <w:rPr>
          <w:rtl/>
        </w:rPr>
        <w:t xml:space="preserve">. </w:t>
      </w:r>
      <w:r w:rsidRPr="00C66485">
        <w:rPr>
          <w:rFonts w:hint="cs"/>
          <w:rtl/>
        </w:rPr>
        <w:t xml:space="preserve">יש לציין כי אדם המבקש להתמודד לכהונת ראש רשות מקומית, עליו לעמוד בתנאים הנדרשים מאדם המבקש להתמודד לחברות במועצה של רשות מקומית. </w:t>
      </w:r>
    </w:p>
    <w:p w14:paraId="64798E92" w14:textId="522BA126" w:rsidR="009F2601" w:rsidRPr="00C66485" w:rsidRDefault="009F2601" w:rsidP="007A6A70">
      <w:pPr>
        <w:pStyle w:val="Hesber"/>
        <w:spacing w:line="276" w:lineRule="auto"/>
        <w:rPr>
          <w:rtl/>
        </w:rPr>
      </w:pPr>
      <w:r w:rsidRPr="00C66485">
        <w:rPr>
          <w:rFonts w:hint="cs"/>
          <w:rtl/>
        </w:rPr>
        <w:t>בשל</w:t>
      </w:r>
      <w:r w:rsidRPr="00C66485">
        <w:rPr>
          <w:rtl/>
        </w:rPr>
        <w:t xml:space="preserve"> </w:t>
      </w:r>
      <w:r w:rsidRPr="00C66485">
        <w:rPr>
          <w:rFonts w:hint="cs"/>
          <w:rtl/>
        </w:rPr>
        <w:t>העובדה כי מועמד שהוגש נגדו כתב אישום נמצא ב</w:t>
      </w:r>
      <w:r w:rsidRPr="00C66485">
        <w:rPr>
          <w:rtl/>
        </w:rPr>
        <w:t xml:space="preserve">שלב </w:t>
      </w:r>
      <w:r w:rsidRPr="00C66485">
        <w:rPr>
          <w:rFonts w:hint="cs"/>
          <w:rtl/>
        </w:rPr>
        <w:t>מוקדם</w:t>
      </w:r>
      <w:r w:rsidRPr="00C66485">
        <w:rPr>
          <w:rtl/>
        </w:rPr>
        <w:t xml:space="preserve"> באופן יחסי של ההליך הפלילי, הצעת החוק מקימה הגנות לזכותו כדי למנוע שרירות ורשלנות. הגנות אלה תעוגנה </w:t>
      </w:r>
      <w:r w:rsidRPr="00C66485">
        <w:rPr>
          <w:rFonts w:hint="cs"/>
          <w:rtl/>
        </w:rPr>
        <w:t>בסעיף 7ב</w:t>
      </w:r>
      <w:r w:rsidR="00AA26E2">
        <w:rPr>
          <w:rFonts w:hint="cs"/>
          <w:rtl/>
        </w:rPr>
        <w:t xml:space="preserve"> המוצע</w:t>
      </w:r>
      <w:r w:rsidRPr="00C66485">
        <w:rPr>
          <w:rFonts w:hint="cs"/>
          <w:rtl/>
        </w:rPr>
        <w:t xml:space="preserve">. מוצע לקבוע כי מועמד או מי שרוצה להיות מועמד, יגיש בקשה ליו"ר ועדת הבחירות המרכזית, שיחליט האם המועמד זכאי להתמודד בבחירות לא יאוחר מהיום ה-30 שלפני יום הבחירות, ובכפוף לאישורו של בית המשפט העליון. </w:t>
      </w:r>
    </w:p>
    <w:p w14:paraId="265F536D" w14:textId="7D72E28A" w:rsidR="009F2601" w:rsidRPr="00C66485" w:rsidRDefault="009F2601" w:rsidP="006E6EE4">
      <w:pPr>
        <w:pStyle w:val="Hesber"/>
        <w:spacing w:line="276" w:lineRule="auto"/>
        <w:rPr>
          <w:rtl/>
        </w:rPr>
      </w:pPr>
      <w:r w:rsidRPr="00C66485">
        <w:rPr>
          <w:rFonts w:hint="cs"/>
          <w:rtl/>
        </w:rPr>
        <w:t xml:space="preserve">כמו כן, </w:t>
      </w:r>
      <w:r w:rsidR="00BA5BF6">
        <w:rPr>
          <w:rFonts w:hint="cs"/>
          <w:rtl/>
        </w:rPr>
        <w:t xml:space="preserve">מוצע </w:t>
      </w:r>
      <w:r w:rsidRPr="00C66485">
        <w:rPr>
          <w:rFonts w:hint="cs"/>
          <w:rtl/>
        </w:rPr>
        <w:t>להחיל את הוראות אלו גם על חברי מועצות במועצות אזוריות, ועל כן מוצע כי שר הפנים יתקן את צו המועצות המקומיות (מועצות אזוריות), התשי"ח</w:t>
      </w:r>
      <w:r w:rsidRPr="00C66485">
        <w:rPr>
          <w:rFonts w:hint="cs"/>
          <w:rtl/>
        </w:rPr>
        <w:softHyphen/>
        <w:t xml:space="preserve">–1958, בהתאם לחוק זה ובשינויים המחויבים בתוך </w:t>
      </w:r>
      <w:r w:rsidR="006E6EE4">
        <w:rPr>
          <w:rFonts w:hint="cs"/>
          <w:rtl/>
        </w:rPr>
        <w:t>30</w:t>
      </w:r>
      <w:r w:rsidRPr="00C66485">
        <w:rPr>
          <w:rFonts w:hint="cs"/>
          <w:rtl/>
        </w:rPr>
        <w:t xml:space="preserve"> ימים. </w:t>
      </w:r>
    </w:p>
    <w:p w14:paraId="32105504" w14:textId="6D1363BA" w:rsidR="009F2601" w:rsidRPr="00C66485" w:rsidRDefault="009F2601" w:rsidP="00BB6DD0">
      <w:pPr>
        <w:pStyle w:val="Hesber"/>
        <w:spacing w:line="276" w:lineRule="auto"/>
        <w:rPr>
          <w:rtl/>
        </w:rPr>
      </w:pPr>
      <w:r w:rsidRPr="00C66485">
        <w:rPr>
          <w:rFonts w:hint="cs"/>
          <w:rtl/>
        </w:rPr>
        <w:t>הצעות חוק זהות הונח</w:t>
      </w:r>
      <w:r w:rsidR="007A6A70">
        <w:rPr>
          <w:rFonts w:hint="cs"/>
          <w:rtl/>
        </w:rPr>
        <w:t xml:space="preserve">ו על שולחן </w:t>
      </w:r>
      <w:r w:rsidRPr="00C66485">
        <w:rPr>
          <w:rFonts w:hint="cs"/>
          <w:rtl/>
        </w:rPr>
        <w:t>הכנסת העשרים ואחת על ידי חברת הכנסת מיכל רוזין (פ/465/21), על שולחן הכנסת העשרים ושלוש על ידי חבר</w:t>
      </w:r>
      <w:r w:rsidR="00BB6DD0">
        <w:rPr>
          <w:rFonts w:hint="cs"/>
          <w:rtl/>
        </w:rPr>
        <w:t xml:space="preserve"> הכנסת ניצן הורוביץ (פ/989/23),</w:t>
      </w:r>
      <w:r w:rsidR="007A6A70">
        <w:rPr>
          <w:rFonts w:hint="cs"/>
          <w:rtl/>
        </w:rPr>
        <w:t xml:space="preserve"> </w:t>
      </w:r>
      <w:r w:rsidRPr="00C66485">
        <w:rPr>
          <w:rFonts w:hint="cs"/>
          <w:rtl/>
        </w:rPr>
        <w:t xml:space="preserve">על שולחן הכנסת העשרים וארבע על ידי חברת הכנסת </w:t>
      </w:r>
      <w:r w:rsidR="007A6A70">
        <w:rPr>
          <w:rFonts w:hint="cs"/>
          <w:rtl/>
        </w:rPr>
        <w:t>ג'ידא רינאוי-זועבי (פ/1662/24)</w:t>
      </w:r>
      <w:r w:rsidRPr="00C66485">
        <w:rPr>
          <w:rFonts w:hint="cs"/>
          <w:rtl/>
        </w:rPr>
        <w:t xml:space="preserve"> ועל </w:t>
      </w:r>
      <w:r w:rsidRPr="00C66485">
        <w:rPr>
          <w:rtl/>
        </w:rPr>
        <w:t>ידי חברת הכנסת מיכל רוזין (פ/2708/24)</w:t>
      </w:r>
      <w:r w:rsidRPr="00C66485">
        <w:rPr>
          <w:rFonts w:hint="cs"/>
          <w:rtl/>
        </w:rPr>
        <w:t>.</w:t>
      </w:r>
    </w:p>
    <w:p w14:paraId="379A3AD1" w14:textId="77777777" w:rsidR="009F2601" w:rsidRPr="00C66485" w:rsidRDefault="009F2601" w:rsidP="007A6A70">
      <w:pPr>
        <w:pStyle w:val="Hesber"/>
        <w:spacing w:line="276" w:lineRule="auto"/>
        <w:rPr>
          <w:rtl/>
        </w:rPr>
      </w:pPr>
      <w:r w:rsidRPr="00C66485">
        <w:rPr>
          <w:rFonts w:hint="cs"/>
          <w:rtl/>
        </w:rPr>
        <w:t>הצעת חוק דומה בעיקרה הונחה על שולחן הכנסת העשרים על ידי חבר הכנסת מיקי רוזנטל (פ/1319/20).</w:t>
      </w:r>
    </w:p>
    <w:p w14:paraId="32CF3EE4" w14:textId="2328E587" w:rsidR="009F2601" w:rsidRPr="00C66485" w:rsidRDefault="009F2601" w:rsidP="007A6A70">
      <w:pPr>
        <w:pStyle w:val="Hesber"/>
        <w:spacing w:line="276" w:lineRule="auto"/>
        <w:rPr>
          <w:rtl/>
        </w:rPr>
      </w:pPr>
      <w:r w:rsidRPr="00C66485">
        <w:rPr>
          <w:rFonts w:hint="cs"/>
          <w:rtl/>
        </w:rPr>
        <w:t>הצעת החוק זהה ל</w:t>
      </w:r>
      <w:r w:rsidR="00BF16CE" w:rsidRPr="00C66485">
        <w:rPr>
          <w:rtl/>
        </w:rPr>
        <w:t>פ/2708/24</w:t>
      </w:r>
      <w:r w:rsidRPr="00C66485">
        <w:rPr>
          <w:rFonts w:hint="cs"/>
          <w:rtl/>
        </w:rPr>
        <w:t xml:space="preserve"> ולפיכך לא נבדקה מחדש על ידי הלשכה המשפטית של הכנסת. </w:t>
      </w:r>
    </w:p>
    <w:p w14:paraId="53AC77EF" w14:textId="77777777" w:rsidR="009F2601" w:rsidRPr="00C66485" w:rsidRDefault="009F2601" w:rsidP="007A6A70">
      <w:pPr>
        <w:pStyle w:val="Hesber"/>
        <w:spacing w:line="276" w:lineRule="auto"/>
      </w:pPr>
    </w:p>
    <w:p w14:paraId="6E520B53" w14:textId="77777777" w:rsidR="00C70939" w:rsidRDefault="007A6A70" w:rsidP="007A6A70">
      <w:pPr>
        <w:spacing w:line="276" w:lineRule="auto"/>
        <w:jc w:val="left"/>
      </w:pPr>
      <w:bookmarkStart w:id="7" w:name="selectedDocDateB"/>
      <w:bookmarkStart w:id="8" w:name="_GoBack"/>
      <w:bookmarkEnd w:id="7"/>
      <w:bookmarkEnd w:id="8"/>
      <w:r>
        <w:rPr>
          <w:rFonts w:eastAsia="David" w:hint="cs"/>
          <w:sz w:val="26"/>
          <w:szCs w:val="26"/>
          <w:rtl/>
        </w:rPr>
        <w:t>--------------------------------</w:t>
      </w:r>
    </w:p>
    <w:p w14:paraId="5C896DC8" w14:textId="77777777" w:rsidR="00C70939" w:rsidRDefault="007A6A70" w:rsidP="007A6A70">
      <w:pPr>
        <w:spacing w:line="276" w:lineRule="auto"/>
        <w:jc w:val="left"/>
      </w:pPr>
      <w:r>
        <w:rPr>
          <w:rFonts w:eastAsia="David" w:hint="cs"/>
          <w:sz w:val="26"/>
          <w:szCs w:val="26"/>
          <w:rtl/>
        </w:rPr>
        <w:t>הוגשה ליו"ר הכנסת והסגנים</w:t>
      </w:r>
    </w:p>
    <w:p w14:paraId="1F456A99" w14:textId="77777777" w:rsidR="00C70939" w:rsidRDefault="007A6A70" w:rsidP="007A6A70">
      <w:pPr>
        <w:spacing w:line="276" w:lineRule="auto"/>
        <w:jc w:val="left"/>
      </w:pPr>
      <w:r>
        <w:rPr>
          <w:rFonts w:eastAsia="David" w:hint="cs"/>
          <w:sz w:val="26"/>
          <w:szCs w:val="26"/>
          <w:rtl/>
        </w:rPr>
        <w:t>והונחה על שולחן הכנסת ביום</w:t>
      </w:r>
    </w:p>
    <w:p w14:paraId="45173A5C" w14:textId="77777777" w:rsidR="00C70939" w:rsidRDefault="007A6A70" w:rsidP="007A6A70">
      <w:pPr>
        <w:spacing w:line="276" w:lineRule="auto"/>
        <w:jc w:val="left"/>
      </w:pPr>
      <w:r>
        <w:rPr>
          <w:rFonts w:eastAsia="David" w:hint="cs"/>
          <w:sz w:val="26"/>
          <w:szCs w:val="26"/>
          <w:rtl/>
        </w:rPr>
        <w:t xml:space="preserve">כ"ג בסיוון התשפ"ו (08.06.2026) </w:t>
      </w:r>
    </w:p>
    <w:p w14:paraId="2726BFE7" w14:textId="77777777" w:rsidR="00C70939" w:rsidRDefault="00C70939" w:rsidP="007A6A70">
      <w:pPr>
        <w:spacing w:line="276" w:lineRule="auto"/>
      </w:pPr>
    </w:p>
    <w:sectPr w:rsidR="00C70939" w:rsidSect="007A6A70">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1C11BF34"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BB6DD0">
      <w:rPr>
        <w:rStyle w:val="ab"/>
        <w:noProof/>
        <w:rtl/>
      </w:rPr>
      <w:t>3</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7A6A70">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11373A8" w14:textId="77777777" w:rsidR="009F2601" w:rsidRDefault="009F2601" w:rsidP="009F2601">
      <w:pPr>
        <w:pStyle w:val="a4"/>
      </w:pPr>
      <w:r>
        <w:rPr>
          <w:rStyle w:val="a6"/>
        </w:rPr>
        <w:footnoteRef/>
      </w:r>
      <w:r>
        <w:rPr>
          <w:rtl/>
        </w:rPr>
        <w:t xml:space="preserve"> </w:t>
      </w:r>
      <w:r>
        <w:rPr>
          <w:rFonts w:hint="cs"/>
          <w:rtl/>
        </w:rPr>
        <w:t>ס"ח התשכ"ה, עמ' 248.</w:t>
      </w:r>
    </w:p>
  </w:footnote>
  <w:footnote w:id="3">
    <w:p w14:paraId="4248E403" w14:textId="77777777" w:rsidR="009F2601" w:rsidRDefault="009F2601" w:rsidP="009F2601">
      <w:pPr>
        <w:pStyle w:val="a4"/>
      </w:pPr>
      <w:r>
        <w:rPr>
          <w:rStyle w:val="a6"/>
        </w:rPr>
        <w:footnoteRef/>
      </w:r>
      <w:r>
        <w:rPr>
          <w:rtl/>
        </w:rPr>
        <w:t xml:space="preserve"> </w:t>
      </w:r>
      <w:r>
        <w:rPr>
          <w:rFonts w:hint="cs"/>
          <w:rtl/>
        </w:rPr>
        <w:t>ס"ח התשנ"ה, עמ' 119.</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4D6B"/>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3532F"/>
    <w:rsid w:val="0036422C"/>
    <w:rsid w:val="003710F6"/>
    <w:rsid w:val="003805A1"/>
    <w:rsid w:val="00386E88"/>
    <w:rsid w:val="00396585"/>
    <w:rsid w:val="003C7509"/>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669DD"/>
    <w:rsid w:val="006818A9"/>
    <w:rsid w:val="006A2D81"/>
    <w:rsid w:val="006C1D0D"/>
    <w:rsid w:val="006E6EE4"/>
    <w:rsid w:val="006E74D0"/>
    <w:rsid w:val="00701BE1"/>
    <w:rsid w:val="0070601E"/>
    <w:rsid w:val="00712C72"/>
    <w:rsid w:val="00735FE9"/>
    <w:rsid w:val="00763CAA"/>
    <w:rsid w:val="00765F66"/>
    <w:rsid w:val="0078664F"/>
    <w:rsid w:val="007A27CE"/>
    <w:rsid w:val="007A6A70"/>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9F2601"/>
    <w:rsid w:val="009F367F"/>
    <w:rsid w:val="00A14672"/>
    <w:rsid w:val="00A26BD6"/>
    <w:rsid w:val="00A443CF"/>
    <w:rsid w:val="00A6611D"/>
    <w:rsid w:val="00A82CB7"/>
    <w:rsid w:val="00A87181"/>
    <w:rsid w:val="00A942C1"/>
    <w:rsid w:val="00AA26E2"/>
    <w:rsid w:val="00AA2F03"/>
    <w:rsid w:val="00AC36F7"/>
    <w:rsid w:val="00AC63A4"/>
    <w:rsid w:val="00AD239E"/>
    <w:rsid w:val="00B10265"/>
    <w:rsid w:val="00B16A99"/>
    <w:rsid w:val="00B21211"/>
    <w:rsid w:val="00B35784"/>
    <w:rsid w:val="00B40933"/>
    <w:rsid w:val="00B733A7"/>
    <w:rsid w:val="00B75C91"/>
    <w:rsid w:val="00B975AD"/>
    <w:rsid w:val="00BA5BF6"/>
    <w:rsid w:val="00BB6DD0"/>
    <w:rsid w:val="00BC45FB"/>
    <w:rsid w:val="00BF148D"/>
    <w:rsid w:val="00BF16CE"/>
    <w:rsid w:val="00C23B1A"/>
    <w:rsid w:val="00C310EB"/>
    <w:rsid w:val="00C66485"/>
    <w:rsid w:val="00C70939"/>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472CE"/>
    <w:rsid w:val="00F628D6"/>
    <w:rsid w:val="00F67051"/>
    <w:rsid w:val="00F86A1E"/>
    <w:rsid w:val="00FA5E88"/>
    <w:rsid w:val="00FD07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0438BC2A-5AFB-43CE-AFB1-F0B8C5F8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6A70"/>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7A6A70"/>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7A6A70"/>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7A6A70"/>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7A6A70"/>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7A6A70"/>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7A6A70"/>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7A6A70"/>
    <w:rPr>
      <w:sz w:val="36"/>
      <w:szCs w:val="52"/>
    </w:rPr>
  </w:style>
  <w:style w:type="paragraph" w:customStyle="1" w:styleId="Cover3-Haknesset">
    <w:name w:val="Cover 3-Haknesset"/>
    <w:basedOn w:val="Cover1-Reshumot"/>
    <w:rsid w:val="007A6A70"/>
    <w:rPr>
      <w:b/>
      <w:bCs/>
      <w:spacing w:val="60"/>
    </w:rPr>
  </w:style>
  <w:style w:type="paragraph" w:customStyle="1" w:styleId="Cover4-Date">
    <w:name w:val="Cover 4-Date"/>
    <w:basedOn w:val="a"/>
    <w:rsid w:val="007A6A70"/>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7A6A70"/>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7A6A70"/>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7A6A70"/>
    <w:pPr>
      <w:spacing w:before="120" w:after="120"/>
    </w:pPr>
    <w:rPr>
      <w:color w:val="FF0000"/>
      <w:w w:val="80"/>
    </w:rPr>
  </w:style>
  <w:style w:type="paragraph" w:styleId="a3">
    <w:name w:val="endnote text"/>
    <w:basedOn w:val="a"/>
    <w:semiHidden/>
    <w:rsid w:val="007A6A70"/>
    <w:pPr>
      <w:ind w:left="227" w:hanging="227"/>
    </w:pPr>
    <w:rPr>
      <w:sz w:val="14"/>
      <w:szCs w:val="22"/>
    </w:rPr>
  </w:style>
  <w:style w:type="paragraph" w:customStyle="1" w:styleId="TableText">
    <w:name w:val="Table Text"/>
    <w:basedOn w:val="a"/>
    <w:rsid w:val="007A6A70"/>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7A6A70"/>
    <w:pPr>
      <w:outlineLvl w:val="2"/>
    </w:pPr>
  </w:style>
  <w:style w:type="paragraph" w:customStyle="1" w:styleId="TableBlock">
    <w:name w:val="Table Block"/>
    <w:basedOn w:val="TableText"/>
    <w:rsid w:val="007A6A70"/>
    <w:pPr>
      <w:jc w:val="both"/>
    </w:pPr>
  </w:style>
  <w:style w:type="paragraph" w:customStyle="1" w:styleId="TableHead">
    <w:name w:val="Table Head"/>
    <w:basedOn w:val="TableText"/>
    <w:rsid w:val="007A6A70"/>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7A6A70"/>
    <w:pPr>
      <w:outlineLvl w:val="9"/>
    </w:pPr>
  </w:style>
  <w:style w:type="paragraph" w:customStyle="1" w:styleId="Hesber">
    <w:name w:val="Hesber"/>
    <w:basedOn w:val="a"/>
    <w:rsid w:val="007A6A70"/>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7A6A70"/>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7A6A70"/>
    <w:rPr>
      <w:vertAlign w:val="superscript"/>
    </w:rPr>
  </w:style>
  <w:style w:type="paragraph" w:customStyle="1" w:styleId="HesberHeading">
    <w:name w:val="Hesber Heading"/>
    <w:basedOn w:val="Hesber"/>
    <w:rsid w:val="007A6A70"/>
    <w:pPr>
      <w:tabs>
        <w:tab w:val="left" w:pos="624"/>
        <w:tab w:val="left" w:pos="1247"/>
      </w:tabs>
    </w:pPr>
    <w:rPr>
      <w:b/>
      <w:bCs/>
    </w:rPr>
  </w:style>
  <w:style w:type="paragraph" w:customStyle="1" w:styleId="HesberWriters">
    <w:name w:val="Hesber Writers"/>
    <w:basedOn w:val="Hesber"/>
    <w:rsid w:val="007A6A70"/>
    <w:pPr>
      <w:spacing w:before="120" w:after="120"/>
      <w:ind w:left="1418"/>
      <w:jc w:val="right"/>
    </w:pPr>
    <w:rPr>
      <w:b/>
      <w:bCs/>
    </w:rPr>
  </w:style>
  <w:style w:type="paragraph" w:customStyle="1" w:styleId="Hesber1st">
    <w:name w:val="Hesber 1st"/>
    <w:basedOn w:val="Hesber"/>
    <w:rsid w:val="007A6A70"/>
    <w:pPr>
      <w:tabs>
        <w:tab w:val="left" w:pos="680"/>
        <w:tab w:val="left" w:pos="1020"/>
      </w:tabs>
      <w:ind w:firstLine="0"/>
    </w:pPr>
  </w:style>
  <w:style w:type="character" w:styleId="a7">
    <w:name w:val="endnote reference"/>
    <w:basedOn w:val="a0"/>
    <w:semiHidden/>
    <w:rsid w:val="007A6A70"/>
    <w:rPr>
      <w:vertAlign w:val="superscript"/>
    </w:rPr>
  </w:style>
  <w:style w:type="paragraph" w:customStyle="1" w:styleId="TableBlockOutdent">
    <w:name w:val="Table BlockOutdent"/>
    <w:basedOn w:val="TableBlock"/>
    <w:rsid w:val="007A6A70"/>
    <w:pPr>
      <w:ind w:left="624" w:hanging="624"/>
    </w:pPr>
  </w:style>
  <w:style w:type="paragraph" w:styleId="a8">
    <w:name w:val="header"/>
    <w:basedOn w:val="a"/>
    <w:rsid w:val="007A6A70"/>
    <w:pPr>
      <w:tabs>
        <w:tab w:val="center" w:pos="4153"/>
        <w:tab w:val="right" w:pos="8306"/>
      </w:tabs>
    </w:pPr>
  </w:style>
  <w:style w:type="paragraph" w:styleId="a9">
    <w:name w:val="footer"/>
    <w:basedOn w:val="a"/>
    <w:rsid w:val="007A6A70"/>
    <w:pPr>
      <w:tabs>
        <w:tab w:val="center" w:pos="4153"/>
        <w:tab w:val="right" w:pos="8306"/>
      </w:tabs>
    </w:pPr>
  </w:style>
  <w:style w:type="paragraph" w:customStyle="1" w:styleId="HeadDivreiHesber">
    <w:name w:val="Head DivreiHesber"/>
    <w:basedOn w:val="a"/>
    <w:rsid w:val="007A6A70"/>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7A6A70"/>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7A6A70"/>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9F2601"/>
    <w:rPr>
      <w:rFonts w:ascii="Arial" w:eastAsia="Arial Unicode MS" w:hAnsi="Arial" w:cs="David"/>
      <w:snapToGrid w:val="0"/>
      <w:sz w:val="14"/>
    </w:rPr>
  </w:style>
  <w:style w:type="character" w:customStyle="1" w:styleId="10">
    <w:name w:val="כותרת 1 תו"/>
    <w:basedOn w:val="a0"/>
    <w:link w:val="1"/>
    <w:uiPriority w:val="9"/>
    <w:rsid w:val="007A6A70"/>
    <w:rPr>
      <w:rFonts w:asciiTheme="majorHAnsi" w:eastAsiaTheme="majorEastAsia" w:hAnsiTheme="majorHAnsi" w:cs="David"/>
      <w:bCs/>
      <w:sz w:val="32"/>
      <w:szCs w:val="36"/>
    </w:rPr>
  </w:style>
  <w:style w:type="character" w:customStyle="1" w:styleId="20">
    <w:name w:val="כותרת 2 תו"/>
    <w:basedOn w:val="a0"/>
    <w:link w:val="2"/>
    <w:rsid w:val="007A6A70"/>
    <w:rPr>
      <w:rFonts w:asciiTheme="majorHAnsi" w:eastAsiaTheme="majorEastAsia" w:hAnsiTheme="majorHAnsi" w:cs="David"/>
      <w:bCs/>
      <w:sz w:val="26"/>
      <w:szCs w:val="36"/>
      <w:u w:val="single"/>
    </w:rPr>
  </w:style>
  <w:style w:type="character" w:customStyle="1" w:styleId="30">
    <w:name w:val="כותרת 3 תו"/>
    <w:basedOn w:val="a0"/>
    <w:link w:val="3"/>
    <w:rsid w:val="007A6A70"/>
    <w:rPr>
      <w:rFonts w:asciiTheme="majorHAnsi" w:eastAsiaTheme="majorEastAsia" w:hAnsiTheme="majorHAnsi" w:cs="David"/>
      <w:sz w:val="24"/>
      <w:szCs w:val="28"/>
      <w:u w:val="double"/>
    </w:rPr>
  </w:style>
  <w:style w:type="character" w:customStyle="1" w:styleId="40">
    <w:name w:val="כותרת 4 תו"/>
    <w:basedOn w:val="a0"/>
    <w:link w:val="4"/>
    <w:uiPriority w:val="9"/>
    <w:rsid w:val="007A6A70"/>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7A6A70"/>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7A6A70"/>
    <w:pPr>
      <w:widowControl/>
      <w:spacing w:before="120" w:after="120"/>
      <w:outlineLvl w:val="9"/>
    </w:pPr>
    <w:rPr>
      <w:rtl/>
      <w:cs/>
    </w:rPr>
  </w:style>
  <w:style w:type="paragraph" w:styleId="TOC1">
    <w:name w:val="toc 1"/>
    <w:basedOn w:val="a"/>
    <w:next w:val="a"/>
    <w:autoRedefine/>
    <w:uiPriority w:val="39"/>
    <w:unhideWhenUsed/>
    <w:rsid w:val="007A6A70"/>
    <w:pPr>
      <w:tabs>
        <w:tab w:val="right" w:leader="dot" w:pos="9629"/>
      </w:tabs>
      <w:spacing w:after="100"/>
    </w:pPr>
    <w:rPr>
      <w:bCs/>
      <w:szCs w:val="22"/>
    </w:rPr>
  </w:style>
  <w:style w:type="paragraph" w:styleId="TOC2">
    <w:name w:val="toc 2"/>
    <w:basedOn w:val="a"/>
    <w:next w:val="a"/>
    <w:uiPriority w:val="39"/>
    <w:unhideWhenUsed/>
    <w:rsid w:val="007A6A70"/>
    <w:pPr>
      <w:tabs>
        <w:tab w:val="right" w:leader="dot" w:pos="9628"/>
      </w:tabs>
      <w:spacing w:after="100"/>
    </w:pPr>
    <w:rPr>
      <w:szCs w:val="22"/>
    </w:rPr>
  </w:style>
  <w:style w:type="character" w:styleId="Hyperlink">
    <w:name w:val="Hyperlink"/>
    <w:basedOn w:val="a0"/>
    <w:uiPriority w:val="99"/>
    <w:unhideWhenUsed/>
    <w:rsid w:val="007A6A70"/>
    <w:rPr>
      <w:color w:val="0000FF" w:themeColor="hyperlink"/>
      <w:u w:val="single"/>
    </w:rPr>
  </w:style>
  <w:style w:type="paragraph" w:styleId="TOC3">
    <w:name w:val="toc 3"/>
    <w:basedOn w:val="a"/>
    <w:next w:val="a"/>
    <w:uiPriority w:val="39"/>
    <w:unhideWhenUsed/>
    <w:rsid w:val="007A6A70"/>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7A6A70"/>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7A6A70"/>
    <w:pPr>
      <w:tabs>
        <w:tab w:val="right" w:leader="dot" w:pos="9628"/>
      </w:tabs>
      <w:spacing w:after="100"/>
      <w:ind w:left="567"/>
    </w:pPr>
    <w:rPr>
      <w:szCs w:val="22"/>
    </w:rPr>
  </w:style>
  <w:style w:type="paragraph" w:styleId="TOC6">
    <w:name w:val="toc 6"/>
    <w:basedOn w:val="a"/>
    <w:next w:val="a"/>
    <w:autoRedefine/>
    <w:semiHidden/>
    <w:unhideWhenUsed/>
    <w:rsid w:val="007A6A70"/>
    <w:pPr>
      <w:spacing w:after="100"/>
      <w:ind w:left="850"/>
    </w:pPr>
  </w:style>
  <w:style w:type="paragraph" w:styleId="TOC7">
    <w:name w:val="toc 7"/>
    <w:basedOn w:val="a"/>
    <w:next w:val="a"/>
    <w:autoRedefine/>
    <w:semiHidden/>
    <w:unhideWhenUsed/>
    <w:rsid w:val="007A6A70"/>
    <w:pPr>
      <w:spacing w:after="100"/>
      <w:ind w:left="1020"/>
    </w:pPr>
  </w:style>
  <w:style w:type="paragraph" w:styleId="TOC8">
    <w:name w:val="toc 8"/>
    <w:basedOn w:val="a"/>
    <w:next w:val="a"/>
    <w:autoRedefine/>
    <w:semiHidden/>
    <w:unhideWhenUsed/>
    <w:rsid w:val="007A6A70"/>
    <w:pPr>
      <w:spacing w:after="100"/>
      <w:ind w:left="1190"/>
    </w:pPr>
  </w:style>
  <w:style w:type="paragraph" w:styleId="TOC9">
    <w:name w:val="toc 9"/>
    <w:basedOn w:val="a"/>
    <w:next w:val="a"/>
    <w:autoRedefine/>
    <w:semiHidden/>
    <w:unhideWhenUsed/>
    <w:rsid w:val="007A6A70"/>
    <w:pPr>
      <w:spacing w:after="100"/>
      <w:ind w:left="1360"/>
    </w:pPr>
  </w:style>
  <w:style w:type="paragraph" w:customStyle="1" w:styleId="TableHead2">
    <w:name w:val="Table Head2"/>
    <w:basedOn w:val="TableHead"/>
    <w:qFormat/>
    <w:rsid w:val="007A6A70"/>
    <w:pPr>
      <w:outlineLvl w:val="9"/>
    </w:pPr>
  </w:style>
  <w:style w:type="paragraph" w:customStyle="1" w:styleId="TableSideHeading2">
    <w:name w:val="Table SideHeading2"/>
    <w:basedOn w:val="TableSideHeading"/>
    <w:autoRedefine/>
    <w:qFormat/>
    <w:rsid w:val="007A6A70"/>
    <w:pPr>
      <w:keepLines w:val="0"/>
      <w:outlineLvl w:val="9"/>
    </w:pPr>
  </w:style>
  <w:style w:type="paragraph" w:customStyle="1" w:styleId="0">
    <w:name w:val="סגנון שורה ראשונה:  0  ס''מ"/>
    <w:basedOn w:val="2"/>
    <w:rsid w:val="007A6A70"/>
    <w:rPr>
      <w:rFonts w:eastAsia="Times New Roman"/>
    </w:rPr>
  </w:style>
  <w:style w:type="paragraph" w:styleId="af">
    <w:name w:val="List Paragraph"/>
    <w:basedOn w:val="a"/>
    <w:uiPriority w:val="34"/>
    <w:qFormat/>
    <w:rsid w:val="007A6A70"/>
    <w:pPr>
      <w:widowControl/>
      <w:spacing w:line="259" w:lineRule="auto"/>
    </w:pPr>
    <w:rPr>
      <w:rFonts w:asciiTheme="minorHAnsi" w:hAnsiTheme="minorHAnsi"/>
      <w:sz w:val="22"/>
    </w:rPr>
  </w:style>
  <w:style w:type="table" w:styleId="af0">
    <w:name w:val="Table Grid"/>
    <w:basedOn w:val="a1"/>
    <w:rsid w:val="007A6A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7A6A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A6A7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7A6A70"/>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7A6A70"/>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608506">
      <w:bodyDiv w:val="1"/>
      <w:marLeft w:val="0"/>
      <w:marRight w:val="0"/>
      <w:marTop w:val="0"/>
      <w:marBottom w:val="0"/>
      <w:divBdr>
        <w:top w:val="none" w:sz="0" w:space="0" w:color="auto"/>
        <w:left w:val="none" w:sz="0" w:space="0" w:color="auto"/>
        <w:bottom w:val="none" w:sz="0" w:space="0" w:color="auto"/>
        <w:right w:val="none" w:sz="0" w:space="0" w:color="auto"/>
      </w:divBdr>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4CF25-081F-4A45-AB69-34B6F21FE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290d5b49-c690-4c6f-bbb9-1e50dab33eee"/>
    <ds:schemaRef ds:uri="http://www.w3.org/XML/1998/namespace"/>
    <ds:schemaRef ds:uri="http://purl.org/dc/term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269FEFF0-66D5-473C-AE89-5D5EDCBC0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972</Words>
  <Characters>4862</Characters>
  <Application>Microsoft Office Word</Application>
  <DocSecurity>0</DocSecurity>
  <Lines>40</Lines>
  <Paragraphs>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23</cp:revision>
  <cp:lastPrinted>2013-07-04T08:25:00Z</cp:lastPrinted>
  <dcterms:created xsi:type="dcterms:W3CDTF">2015-04-20T09:58:00Z</dcterms:created>
  <dcterms:modified xsi:type="dcterms:W3CDTF">2026-06-04T05:40:00Z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2243158</vt:r8>
  </property>
</Properties>
</file>