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2243800</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rFonts w:cs="David"/>
          <w:b/>
          <w:bCs/>
          <w:sz w:val="26"/>
          <w:szCs w:val="26"/>
          <w:rtl/>
        </w:rPr>
      </w:pPr>
    </w:p>
    <w:p w14:paraId="7F6961AA" w14:textId="73411001" w:rsidR="00E13C27" w:rsidRPr="00CF1AA2" w:rsidRDefault="008F6665" w:rsidP="0028401C">
      <w:pPr>
        <w:pStyle w:val="David"/>
        <w:spacing w:line="360" w:lineRule="auto"/>
        <w:ind w:left="3544"/>
        <w:rPr>
          <w:b/>
          <w:bCs/>
          <w:sz w:val="16"/>
          <w:szCs w:val="16"/>
          <w:rtl/>
        </w:rPr>
      </w:pPr>
      <w:bookmarkStart w:id="2" w:name="LGS_Initiators_List"/>
      <w:r>
        <w:rPr>
          <w:b/>
          <w:bCs/>
          <w:rtl/>
        </w:rPr>
        <w:t>יוזמים:      חברי הכנסת</w:t>
      </w:r>
      <w:bookmarkEnd w:id="2"/>
      <w:r w:rsidR="00B35784" w:rsidRPr="00F67051">
        <w:rPr>
          <w:b/>
          <w:bCs/>
        </w:rPr>
        <w:tab/>
      </w:r>
      <w:bookmarkStart w:id="3" w:name="LGS_PM_Names"/>
      <w:r>
        <w:rPr>
          <w:rFonts w:hint="cs"/>
          <w:b/>
          <w:bCs/>
          <w:rtl/>
        </w:rPr>
        <w:t>אריה מכלוף דרעי</w:t>
      </w:r>
      <w:r>
        <w:br/>
      </w:r>
      <w:r>
        <w:rPr>
          <w:rFonts w:hint="cs"/>
          <w:b/>
          <w:bCs/>
          <w:rtl/>
        </w:rPr>
        <w:t xml:space="preserve"> </w:t>
      </w:r>
      <w:r>
        <w:tab/>
      </w:r>
      <w:r>
        <w:tab/>
      </w:r>
      <w:r>
        <w:tab/>
      </w:r>
      <w:r>
        <w:tab/>
      </w:r>
      <w:r>
        <w:rPr>
          <w:rFonts w:hint="cs"/>
          <w:b/>
          <w:bCs/>
          <w:rtl/>
        </w:rPr>
        <w:t>יעקב מרגי</w:t>
      </w:r>
      <w:r>
        <w:br/>
      </w:r>
      <w:r>
        <w:rPr>
          <w:rFonts w:hint="cs"/>
          <w:b/>
          <w:bCs/>
          <w:rtl/>
        </w:rPr>
        <w:t xml:space="preserve"> </w:t>
      </w:r>
      <w:r>
        <w:tab/>
      </w:r>
      <w:r>
        <w:tab/>
      </w:r>
      <w:r>
        <w:tab/>
      </w:r>
      <w:r>
        <w:tab/>
      </w:r>
      <w:r>
        <w:rPr>
          <w:rFonts w:hint="cs"/>
          <w:b/>
          <w:bCs/>
          <w:rtl/>
        </w:rPr>
        <w:t>יואב בן צור</w:t>
      </w:r>
      <w:r>
        <w:br/>
      </w:r>
      <w:r>
        <w:rPr>
          <w:rFonts w:hint="cs"/>
          <w:b/>
          <w:bCs/>
          <w:rtl/>
        </w:rPr>
        <w:t xml:space="preserve"> </w:t>
      </w:r>
      <w:r>
        <w:tab/>
      </w:r>
      <w:r>
        <w:tab/>
      </w:r>
      <w:r>
        <w:tab/>
      </w:r>
      <w:r>
        <w:tab/>
      </w:r>
      <w:r>
        <w:rPr>
          <w:rFonts w:hint="cs"/>
          <w:b/>
          <w:bCs/>
          <w:rtl/>
        </w:rPr>
        <w:t>מיכאל מלכיאלי</w:t>
      </w:r>
      <w:r>
        <w:br/>
      </w:r>
      <w:r>
        <w:rPr>
          <w:rFonts w:hint="cs"/>
          <w:b/>
          <w:bCs/>
          <w:rtl/>
        </w:rPr>
        <w:t xml:space="preserve"> </w:t>
      </w:r>
      <w:r>
        <w:tab/>
      </w:r>
      <w:r>
        <w:tab/>
      </w:r>
      <w:r>
        <w:tab/>
      </w:r>
      <w:r>
        <w:tab/>
      </w:r>
      <w:r>
        <w:rPr>
          <w:rFonts w:hint="cs"/>
          <w:b/>
          <w:bCs/>
          <w:rtl/>
        </w:rPr>
        <w:t>חיים ביטון</w:t>
      </w:r>
      <w:r>
        <w:br/>
      </w:r>
      <w:r>
        <w:rPr>
          <w:rFonts w:hint="cs"/>
          <w:b/>
          <w:bCs/>
          <w:rtl/>
        </w:rPr>
        <w:t xml:space="preserve"> </w:t>
      </w:r>
      <w:r>
        <w:tab/>
      </w:r>
      <w:r>
        <w:tab/>
      </w:r>
      <w:r>
        <w:tab/>
      </w:r>
      <w:r>
        <w:tab/>
      </w:r>
      <w:r>
        <w:rPr>
          <w:rFonts w:hint="cs"/>
          <w:b/>
          <w:bCs/>
          <w:rtl/>
        </w:rPr>
        <w:t>ינון אזולאי</w:t>
      </w:r>
      <w:r>
        <w:br/>
      </w:r>
      <w:r>
        <w:rPr>
          <w:rFonts w:hint="cs"/>
          <w:b/>
          <w:bCs/>
          <w:rtl/>
        </w:rPr>
        <w:t xml:space="preserve"> </w:t>
      </w:r>
      <w:r>
        <w:tab/>
      </w:r>
      <w:r>
        <w:tab/>
      </w:r>
      <w:r>
        <w:tab/>
      </w:r>
      <w:r>
        <w:tab/>
      </w:r>
      <w:r>
        <w:rPr>
          <w:rFonts w:hint="cs"/>
          <w:b/>
          <w:bCs/>
          <w:rtl/>
        </w:rPr>
        <w:t>משה אבוטבול</w:t>
      </w:r>
      <w:r>
        <w:br/>
      </w:r>
      <w:r>
        <w:rPr>
          <w:rFonts w:hint="cs"/>
          <w:b/>
          <w:bCs/>
          <w:rtl/>
        </w:rPr>
        <w:t xml:space="preserve"> </w:t>
      </w:r>
      <w:r>
        <w:tab/>
      </w:r>
      <w:r>
        <w:tab/>
      </w:r>
      <w:r>
        <w:tab/>
      </w:r>
      <w:r>
        <w:tab/>
      </w:r>
      <w:r>
        <w:rPr>
          <w:rFonts w:hint="cs"/>
          <w:b/>
          <w:bCs/>
          <w:rtl/>
        </w:rPr>
        <w:t>אוריאל בוסו</w:t>
      </w:r>
      <w:r>
        <w:br/>
      </w:r>
      <w:r>
        <w:rPr>
          <w:rFonts w:hint="cs"/>
          <w:b/>
          <w:bCs/>
          <w:rtl/>
        </w:rPr>
        <w:t xml:space="preserve"> </w:t>
      </w:r>
      <w:r>
        <w:tab/>
      </w:r>
      <w:r>
        <w:tab/>
      </w:r>
      <w:r>
        <w:tab/>
      </w:r>
      <w:r>
        <w:tab/>
      </w:r>
      <w:r>
        <w:rPr>
          <w:rFonts w:hint="cs"/>
          <w:b/>
          <w:bCs/>
          <w:rtl/>
        </w:rPr>
        <w:t>יוסף טייב</w:t>
      </w:r>
      <w:r>
        <w:br/>
      </w:r>
      <w:r>
        <w:rPr>
          <w:rFonts w:hint="cs"/>
          <w:b/>
          <w:bCs/>
          <w:rtl/>
        </w:rPr>
        <w:t xml:space="preserve"> </w:t>
      </w:r>
      <w:r>
        <w:tab/>
      </w:r>
      <w:r>
        <w:tab/>
      </w:r>
      <w:r>
        <w:tab/>
      </w:r>
      <w:r>
        <w:tab/>
      </w:r>
      <w:r>
        <w:rPr>
          <w:rFonts w:hint="cs"/>
          <w:b/>
          <w:bCs/>
          <w:rtl/>
        </w:rPr>
        <w:t>יונתן מישרקי</w:t>
      </w:r>
      <w:r>
        <w:br/>
      </w:r>
      <w:r>
        <w:rPr>
          <w:rFonts w:hint="cs"/>
          <w:b/>
          <w:bCs/>
          <w:rtl/>
        </w:rPr>
        <w:t xml:space="preserve"> </w:t>
      </w:r>
      <w:r>
        <w:tab/>
      </w:r>
      <w:r>
        <w:tab/>
      </w:r>
      <w:r>
        <w:tab/>
      </w:r>
      <w:r>
        <w:tab/>
      </w:r>
      <w:r>
        <w:rPr>
          <w:rFonts w:hint="cs"/>
          <w:b/>
          <w:bCs/>
          <w:rtl/>
        </w:rPr>
        <w:t>ארז מלול</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spacing w:before="0" w:line="360" w:lineRule="auto"/>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C" w14:textId="552B3BBD" w:rsidR="00E13C27" w:rsidRDefault="00904591" w:rsidP="0028401C">
      <w:pPr>
        <w:pStyle w:val="David"/>
        <w:spacing w:before="0" w:line="240" w:lineRule="auto"/>
        <w:ind w:left="6424" w:firstLine="56"/>
        <w:rPr>
          <w:rtl/>
        </w:rPr>
      </w:pPr>
      <w:bookmarkStart w:id="6" w:name="Private_Number"/>
      <w:r>
        <w:rPr>
          <w:rFonts w:hint="cs"/>
          <w:rtl/>
        </w:rPr>
        <w:t>פ/6761/25</w:t>
      </w:r>
      <w:bookmarkStart w:id="7" w:name="_GoBack"/>
      <w:bookmarkEnd w:id="6"/>
      <w:bookmarkEnd w:id="7"/>
    </w:p>
    <w:p w14:paraId="7F6961AD" w14:textId="77777777" w:rsidR="00E13C27" w:rsidRPr="00F67051" w:rsidRDefault="00A443CF" w:rsidP="0021633A">
      <w:pPr>
        <w:pStyle w:val="HeadHatzaotHok"/>
        <w:rPr>
          <w:rtl/>
        </w:rPr>
      </w:pPr>
      <w:bookmarkStart w:id="8" w:name="LGS_Subject"/>
      <w:r>
        <w:rPr>
          <w:rFonts w:hint="cs"/>
          <w:rtl/>
        </w:rPr>
        <w:t>הצעת חוק-יסוד: לימוד תורה</w:t>
      </w:r>
      <w:bookmarkEnd w:id="8"/>
    </w:p>
    <w:p w14:paraId="7F6961AE" w14:textId="77777777" w:rsidR="00E13C27" w:rsidRDefault="00E13C27" w:rsidP="0021633A">
      <w:pPr>
        <w:pStyle w:val="HeadDivreiHesber"/>
        <w:spacing w:before="0" w:after="0"/>
        <w:rPr>
          <w:rtl/>
        </w:rPr>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6"/>
      </w:tblGrid>
      <w:tr w:rsidR="00D03C5E" w14:paraId="54EC5590" w14:textId="77777777" w:rsidTr="00D03C5E">
        <w:trPr>
          <w:cantSplit/>
        </w:trPr>
        <w:tc>
          <w:tcPr>
            <w:tcW w:w="1871" w:type="dxa"/>
          </w:tcPr>
          <w:p w14:paraId="543FB62B" w14:textId="77777777" w:rsidR="00D03C5E" w:rsidRPr="00303CAF" w:rsidRDefault="00D03C5E" w:rsidP="003B62E2">
            <w:pPr>
              <w:pStyle w:val="TableSideHeading"/>
              <w:rPr>
                <w:rtl/>
              </w:rPr>
            </w:pPr>
            <w:r w:rsidRPr="00303CAF">
              <w:rPr>
                <w:rFonts w:hint="eastAsia"/>
                <w:rtl/>
              </w:rPr>
              <w:t>לימוד</w:t>
            </w:r>
            <w:r w:rsidRPr="00303CAF">
              <w:rPr>
                <w:rtl/>
              </w:rPr>
              <w:t xml:space="preserve"> </w:t>
            </w:r>
            <w:r w:rsidRPr="00303CAF">
              <w:rPr>
                <w:rFonts w:hint="eastAsia"/>
                <w:rtl/>
              </w:rPr>
              <w:t>תורה</w:t>
            </w:r>
          </w:p>
        </w:tc>
        <w:tc>
          <w:tcPr>
            <w:tcW w:w="624" w:type="dxa"/>
          </w:tcPr>
          <w:p w14:paraId="2B3C7932" w14:textId="77777777" w:rsidR="00D03C5E" w:rsidRPr="00241B5A" w:rsidRDefault="00D03C5E" w:rsidP="003B62E2">
            <w:pPr>
              <w:pStyle w:val="TableText"/>
              <w:keepLines w:val="0"/>
              <w:rPr>
                <w:rtl/>
              </w:rPr>
            </w:pPr>
            <w:r w:rsidRPr="00241B5A">
              <w:rPr>
                <w:rFonts w:hint="cs"/>
                <w:rtl/>
              </w:rPr>
              <w:t>1.</w:t>
            </w:r>
          </w:p>
        </w:tc>
        <w:tc>
          <w:tcPr>
            <w:tcW w:w="7146" w:type="dxa"/>
          </w:tcPr>
          <w:p w14:paraId="4A024A61" w14:textId="77777777" w:rsidR="00D03C5E" w:rsidRPr="00CD09A7" w:rsidRDefault="00D03C5E" w:rsidP="003B62E2">
            <w:pPr>
              <w:pStyle w:val="TableBlock"/>
              <w:rPr>
                <w:rtl/>
              </w:rPr>
            </w:pPr>
            <w:r w:rsidRPr="00CD09A7">
              <w:rPr>
                <w:rFonts w:hint="eastAsia"/>
                <w:rtl/>
              </w:rPr>
              <w:t>לימוד</w:t>
            </w:r>
            <w:r w:rsidRPr="00CD09A7">
              <w:rPr>
                <w:rtl/>
              </w:rPr>
              <w:t xml:space="preserve"> </w:t>
            </w:r>
            <w:r w:rsidRPr="00CD09A7">
              <w:rPr>
                <w:rFonts w:hint="eastAsia"/>
                <w:rtl/>
              </w:rPr>
              <w:t>התורה</w:t>
            </w:r>
            <w:r w:rsidRPr="00CD09A7">
              <w:rPr>
                <w:rtl/>
              </w:rPr>
              <w:t xml:space="preserve"> </w:t>
            </w:r>
            <w:r w:rsidRPr="00CD09A7">
              <w:rPr>
                <w:rFonts w:hint="eastAsia"/>
                <w:rtl/>
              </w:rPr>
              <w:t>הוא</w:t>
            </w:r>
            <w:r w:rsidRPr="00CD09A7">
              <w:rPr>
                <w:rtl/>
              </w:rPr>
              <w:t xml:space="preserve"> </w:t>
            </w:r>
            <w:r w:rsidRPr="00CD09A7">
              <w:rPr>
                <w:rFonts w:hint="eastAsia"/>
                <w:rtl/>
              </w:rPr>
              <w:t>ערך</w:t>
            </w:r>
            <w:r w:rsidRPr="00CD09A7">
              <w:rPr>
                <w:rtl/>
              </w:rPr>
              <w:t xml:space="preserve"> </w:t>
            </w:r>
            <w:r w:rsidRPr="00CD09A7">
              <w:rPr>
                <w:rFonts w:hint="eastAsia"/>
                <w:rtl/>
              </w:rPr>
              <w:t>יסוד</w:t>
            </w:r>
            <w:r w:rsidRPr="00CD09A7">
              <w:rPr>
                <w:rtl/>
              </w:rPr>
              <w:t xml:space="preserve"> </w:t>
            </w:r>
            <w:r w:rsidRPr="00CD09A7">
              <w:rPr>
                <w:rFonts w:hint="eastAsia"/>
                <w:rtl/>
              </w:rPr>
              <w:t>במורשת</w:t>
            </w:r>
            <w:r w:rsidRPr="00CD09A7">
              <w:rPr>
                <w:rtl/>
              </w:rPr>
              <w:t xml:space="preserve"> </w:t>
            </w:r>
            <w:r w:rsidRPr="00CD09A7">
              <w:rPr>
                <w:rFonts w:hint="eastAsia"/>
                <w:rtl/>
              </w:rPr>
              <w:t>העם</w:t>
            </w:r>
            <w:r w:rsidRPr="00CD09A7">
              <w:rPr>
                <w:rtl/>
              </w:rPr>
              <w:t xml:space="preserve"> </w:t>
            </w:r>
            <w:r w:rsidRPr="00CD09A7">
              <w:rPr>
                <w:rFonts w:hint="eastAsia"/>
                <w:rtl/>
              </w:rPr>
              <w:t>היהודי</w:t>
            </w:r>
            <w:r w:rsidRPr="00CD09A7">
              <w:rPr>
                <w:rtl/>
              </w:rPr>
              <w:t>.</w:t>
            </w:r>
          </w:p>
        </w:tc>
      </w:tr>
      <w:tr w:rsidR="00D03C5E" w14:paraId="43BCD535" w14:textId="77777777" w:rsidTr="00D03C5E">
        <w:trPr>
          <w:cantSplit/>
        </w:trPr>
        <w:tc>
          <w:tcPr>
            <w:tcW w:w="1871" w:type="dxa"/>
          </w:tcPr>
          <w:p w14:paraId="099B457D" w14:textId="77777777" w:rsidR="00D03C5E" w:rsidRPr="00303CAF" w:rsidRDefault="00D03C5E" w:rsidP="003B62E2">
            <w:pPr>
              <w:pStyle w:val="TableSideHeading"/>
              <w:rPr>
                <w:rtl/>
              </w:rPr>
            </w:pPr>
            <w:r w:rsidRPr="00303CAF">
              <w:rPr>
                <w:rFonts w:hint="eastAsia"/>
                <w:rtl/>
              </w:rPr>
              <w:t>עידוד</w:t>
            </w:r>
            <w:r w:rsidRPr="00303CAF">
              <w:rPr>
                <w:rtl/>
              </w:rPr>
              <w:t xml:space="preserve"> </w:t>
            </w:r>
            <w:r w:rsidRPr="00303CAF">
              <w:rPr>
                <w:rFonts w:hint="eastAsia"/>
                <w:rtl/>
              </w:rPr>
              <w:t>הלימוד</w:t>
            </w:r>
          </w:p>
        </w:tc>
        <w:tc>
          <w:tcPr>
            <w:tcW w:w="624" w:type="dxa"/>
          </w:tcPr>
          <w:p w14:paraId="24C58D86" w14:textId="77777777" w:rsidR="00D03C5E" w:rsidRPr="00241B5A" w:rsidRDefault="00D03C5E" w:rsidP="003B62E2">
            <w:pPr>
              <w:pStyle w:val="TableText"/>
              <w:keepLines w:val="0"/>
              <w:rPr>
                <w:rtl/>
              </w:rPr>
            </w:pPr>
            <w:r w:rsidRPr="00241B5A">
              <w:rPr>
                <w:rFonts w:hint="cs"/>
                <w:rtl/>
              </w:rPr>
              <w:t>2.</w:t>
            </w:r>
          </w:p>
        </w:tc>
        <w:tc>
          <w:tcPr>
            <w:tcW w:w="7146" w:type="dxa"/>
          </w:tcPr>
          <w:p w14:paraId="49D32199" w14:textId="77777777" w:rsidR="00D03C5E" w:rsidRPr="00CD09A7" w:rsidRDefault="00D03C5E" w:rsidP="003B62E2">
            <w:pPr>
              <w:pStyle w:val="TableBlock"/>
              <w:rPr>
                <w:rtl/>
              </w:rPr>
            </w:pPr>
            <w:r w:rsidRPr="00CD09A7">
              <w:rPr>
                <w:rFonts w:hint="eastAsia"/>
                <w:rtl/>
              </w:rPr>
              <w:t>מדינת</w:t>
            </w:r>
            <w:r w:rsidRPr="00CD09A7">
              <w:rPr>
                <w:rtl/>
              </w:rPr>
              <w:t xml:space="preserve"> </w:t>
            </w:r>
            <w:r w:rsidRPr="00CD09A7">
              <w:rPr>
                <w:rFonts w:hint="eastAsia"/>
                <w:rtl/>
              </w:rPr>
              <w:t>ישראל</w:t>
            </w:r>
            <w:r w:rsidRPr="00CD09A7">
              <w:rPr>
                <w:rtl/>
              </w:rPr>
              <w:t xml:space="preserve"> </w:t>
            </w:r>
            <w:r w:rsidRPr="00CD09A7">
              <w:rPr>
                <w:rFonts w:hint="eastAsia"/>
                <w:rtl/>
              </w:rPr>
              <w:t>כמדינה</w:t>
            </w:r>
            <w:r w:rsidRPr="00CD09A7">
              <w:rPr>
                <w:rtl/>
              </w:rPr>
              <w:t xml:space="preserve"> </w:t>
            </w:r>
            <w:r w:rsidRPr="00CD09A7">
              <w:rPr>
                <w:rFonts w:hint="eastAsia"/>
                <w:rtl/>
              </w:rPr>
              <w:t>יהודית</w:t>
            </w:r>
            <w:r w:rsidRPr="00CD09A7">
              <w:rPr>
                <w:rtl/>
              </w:rPr>
              <w:t xml:space="preserve"> </w:t>
            </w:r>
            <w:r w:rsidRPr="00CD09A7">
              <w:rPr>
                <w:rFonts w:hint="eastAsia"/>
                <w:rtl/>
              </w:rPr>
              <w:t>רואה</w:t>
            </w:r>
            <w:r w:rsidRPr="00CD09A7">
              <w:rPr>
                <w:rtl/>
              </w:rPr>
              <w:t xml:space="preserve"> </w:t>
            </w:r>
            <w:r w:rsidRPr="00CD09A7">
              <w:rPr>
                <w:rFonts w:hint="eastAsia"/>
                <w:rtl/>
              </w:rPr>
              <w:t>חשיבות</w:t>
            </w:r>
            <w:r w:rsidRPr="00CD09A7">
              <w:rPr>
                <w:rtl/>
              </w:rPr>
              <w:t xml:space="preserve"> </w:t>
            </w:r>
            <w:r w:rsidRPr="00CD09A7">
              <w:rPr>
                <w:rFonts w:hint="eastAsia"/>
                <w:rtl/>
              </w:rPr>
              <w:t>עליונה</w:t>
            </w:r>
            <w:r w:rsidRPr="00CD09A7">
              <w:rPr>
                <w:rtl/>
              </w:rPr>
              <w:t xml:space="preserve"> </w:t>
            </w:r>
            <w:r w:rsidRPr="00CD09A7">
              <w:rPr>
                <w:rFonts w:hint="eastAsia"/>
                <w:rtl/>
              </w:rPr>
              <w:t>בעידוד</w:t>
            </w:r>
            <w:r w:rsidRPr="00CD09A7">
              <w:rPr>
                <w:rtl/>
              </w:rPr>
              <w:t xml:space="preserve"> </w:t>
            </w:r>
            <w:r w:rsidRPr="00CD09A7">
              <w:rPr>
                <w:rFonts w:hint="eastAsia"/>
                <w:rtl/>
              </w:rPr>
              <w:t>לימוד</w:t>
            </w:r>
            <w:r w:rsidRPr="00CD09A7">
              <w:rPr>
                <w:rtl/>
              </w:rPr>
              <w:t xml:space="preserve"> </w:t>
            </w:r>
            <w:r w:rsidRPr="00CD09A7">
              <w:rPr>
                <w:rFonts w:hint="eastAsia"/>
                <w:rtl/>
              </w:rPr>
              <w:t>התורה</w:t>
            </w:r>
            <w:r w:rsidRPr="00CD09A7">
              <w:rPr>
                <w:rtl/>
              </w:rPr>
              <w:t xml:space="preserve"> </w:t>
            </w:r>
            <w:r w:rsidRPr="00CD09A7">
              <w:rPr>
                <w:rFonts w:hint="eastAsia"/>
                <w:rtl/>
              </w:rPr>
              <w:t>ולומדי</w:t>
            </w:r>
            <w:r w:rsidRPr="00CD09A7">
              <w:rPr>
                <w:rtl/>
              </w:rPr>
              <w:t xml:space="preserve"> </w:t>
            </w:r>
            <w:r w:rsidRPr="00CD09A7">
              <w:rPr>
                <w:rFonts w:hint="eastAsia"/>
                <w:rtl/>
              </w:rPr>
              <w:t>התורה</w:t>
            </w:r>
            <w:r w:rsidRPr="00CD09A7">
              <w:rPr>
                <w:rtl/>
              </w:rPr>
              <w:t xml:space="preserve">, </w:t>
            </w:r>
            <w:r w:rsidRPr="00CD09A7">
              <w:rPr>
                <w:rFonts w:hint="eastAsia"/>
                <w:rtl/>
              </w:rPr>
              <w:t>ולעניין</w:t>
            </w:r>
            <w:r w:rsidRPr="00CD09A7">
              <w:rPr>
                <w:rtl/>
              </w:rPr>
              <w:t xml:space="preserve"> </w:t>
            </w:r>
            <w:r w:rsidRPr="00CD09A7">
              <w:rPr>
                <w:rFonts w:hint="eastAsia"/>
                <w:rtl/>
              </w:rPr>
              <w:t>זכויותיהם</w:t>
            </w:r>
            <w:r w:rsidRPr="00CD09A7">
              <w:rPr>
                <w:rtl/>
              </w:rPr>
              <w:t xml:space="preserve"> </w:t>
            </w:r>
            <w:r w:rsidRPr="00CD09A7">
              <w:rPr>
                <w:rFonts w:hint="eastAsia"/>
                <w:rtl/>
              </w:rPr>
              <w:t>וחובותיהם</w:t>
            </w:r>
            <w:r w:rsidRPr="00CD09A7">
              <w:rPr>
                <w:rtl/>
              </w:rPr>
              <w:t xml:space="preserve"> </w:t>
            </w:r>
            <w:r w:rsidRPr="00CD09A7">
              <w:rPr>
                <w:rFonts w:hint="eastAsia"/>
                <w:rtl/>
              </w:rPr>
              <w:t>יראו</w:t>
            </w:r>
            <w:r w:rsidRPr="00CD09A7">
              <w:rPr>
                <w:rtl/>
              </w:rPr>
              <w:t xml:space="preserve"> </w:t>
            </w:r>
            <w:r w:rsidRPr="00CD09A7">
              <w:rPr>
                <w:rFonts w:hint="eastAsia"/>
                <w:rtl/>
              </w:rPr>
              <w:t>במי</w:t>
            </w:r>
            <w:r w:rsidRPr="00CD09A7">
              <w:rPr>
                <w:rtl/>
              </w:rPr>
              <w:t xml:space="preserve"> </w:t>
            </w:r>
            <w:r w:rsidRPr="00CD09A7">
              <w:rPr>
                <w:rFonts w:hint="eastAsia"/>
                <w:rtl/>
              </w:rPr>
              <w:t>שקיבלו</w:t>
            </w:r>
            <w:r w:rsidRPr="00CD09A7">
              <w:rPr>
                <w:rtl/>
              </w:rPr>
              <w:t xml:space="preserve"> </w:t>
            </w:r>
            <w:r w:rsidRPr="00CD09A7">
              <w:rPr>
                <w:rFonts w:hint="eastAsia"/>
                <w:rtl/>
              </w:rPr>
              <w:t>על</w:t>
            </w:r>
            <w:r w:rsidRPr="00CD09A7">
              <w:rPr>
                <w:rtl/>
              </w:rPr>
              <w:t xml:space="preserve"> </w:t>
            </w:r>
            <w:r w:rsidRPr="00CD09A7">
              <w:rPr>
                <w:rFonts w:hint="eastAsia"/>
                <w:rtl/>
              </w:rPr>
              <w:t>עצמם</w:t>
            </w:r>
            <w:r w:rsidRPr="00CD09A7">
              <w:rPr>
                <w:rtl/>
              </w:rPr>
              <w:t xml:space="preserve"> </w:t>
            </w:r>
            <w:r w:rsidRPr="00CD09A7">
              <w:rPr>
                <w:rFonts w:hint="eastAsia"/>
                <w:rtl/>
              </w:rPr>
              <w:t>להתמסר</w:t>
            </w:r>
            <w:r w:rsidRPr="00CD09A7">
              <w:rPr>
                <w:rtl/>
              </w:rPr>
              <w:t xml:space="preserve"> </w:t>
            </w:r>
            <w:r w:rsidRPr="00CD09A7">
              <w:rPr>
                <w:rFonts w:hint="eastAsia"/>
                <w:rtl/>
              </w:rPr>
              <w:t>לתלמוד</w:t>
            </w:r>
            <w:r w:rsidRPr="00CD09A7">
              <w:rPr>
                <w:rtl/>
              </w:rPr>
              <w:t xml:space="preserve"> </w:t>
            </w:r>
            <w:r w:rsidRPr="00CD09A7">
              <w:rPr>
                <w:rFonts w:hint="eastAsia"/>
                <w:rtl/>
              </w:rPr>
              <w:t>תורה</w:t>
            </w:r>
            <w:r w:rsidRPr="00CD09A7">
              <w:rPr>
                <w:rtl/>
              </w:rPr>
              <w:t xml:space="preserve"> </w:t>
            </w:r>
            <w:r w:rsidRPr="00CD09A7">
              <w:rPr>
                <w:rFonts w:hint="eastAsia"/>
                <w:rtl/>
              </w:rPr>
              <w:t>לתקופה</w:t>
            </w:r>
            <w:r w:rsidRPr="00CD09A7">
              <w:rPr>
                <w:rtl/>
              </w:rPr>
              <w:t xml:space="preserve"> </w:t>
            </w:r>
            <w:r w:rsidRPr="00CD09A7">
              <w:rPr>
                <w:rFonts w:hint="eastAsia"/>
                <w:rtl/>
              </w:rPr>
              <w:t>ארוכה</w:t>
            </w:r>
            <w:r w:rsidRPr="00CD09A7">
              <w:rPr>
                <w:rtl/>
              </w:rPr>
              <w:t xml:space="preserve"> </w:t>
            </w:r>
            <w:r w:rsidRPr="00CD09A7">
              <w:rPr>
                <w:rFonts w:hint="eastAsia"/>
                <w:rtl/>
              </w:rPr>
              <w:t>כמי</w:t>
            </w:r>
            <w:r w:rsidRPr="00CD09A7">
              <w:rPr>
                <w:rtl/>
              </w:rPr>
              <w:t xml:space="preserve"> </w:t>
            </w:r>
            <w:r w:rsidRPr="00CD09A7">
              <w:rPr>
                <w:rFonts w:hint="eastAsia"/>
                <w:rtl/>
              </w:rPr>
              <w:t>שמשרתים</w:t>
            </w:r>
            <w:r w:rsidRPr="00CD09A7">
              <w:rPr>
                <w:rtl/>
              </w:rPr>
              <w:t xml:space="preserve"> </w:t>
            </w:r>
            <w:r w:rsidRPr="00CD09A7">
              <w:rPr>
                <w:rFonts w:hint="eastAsia"/>
                <w:rtl/>
              </w:rPr>
              <w:t>שירות</w:t>
            </w:r>
            <w:r w:rsidRPr="00CD09A7">
              <w:rPr>
                <w:rtl/>
              </w:rPr>
              <w:t xml:space="preserve"> </w:t>
            </w:r>
            <w:r w:rsidRPr="00CD09A7">
              <w:rPr>
                <w:rFonts w:hint="eastAsia"/>
                <w:rtl/>
              </w:rPr>
              <w:t>משמעותי</w:t>
            </w:r>
            <w:r w:rsidRPr="00CD09A7">
              <w:rPr>
                <w:rtl/>
              </w:rPr>
              <w:t xml:space="preserve"> </w:t>
            </w:r>
            <w:r w:rsidRPr="00CD09A7">
              <w:rPr>
                <w:rFonts w:hint="eastAsia"/>
                <w:rtl/>
              </w:rPr>
              <w:t>את</w:t>
            </w:r>
            <w:r w:rsidRPr="00CD09A7">
              <w:rPr>
                <w:rtl/>
              </w:rPr>
              <w:t xml:space="preserve"> </w:t>
            </w:r>
            <w:r w:rsidRPr="00CD09A7">
              <w:rPr>
                <w:rFonts w:hint="eastAsia"/>
                <w:rtl/>
              </w:rPr>
              <w:t>מדינת</w:t>
            </w:r>
            <w:r w:rsidRPr="00CD09A7">
              <w:rPr>
                <w:rtl/>
              </w:rPr>
              <w:t xml:space="preserve"> </w:t>
            </w:r>
            <w:r w:rsidRPr="00CD09A7">
              <w:rPr>
                <w:rFonts w:hint="eastAsia"/>
                <w:rtl/>
              </w:rPr>
              <w:t>ישראל</w:t>
            </w:r>
            <w:r w:rsidRPr="00CD09A7">
              <w:rPr>
                <w:rtl/>
              </w:rPr>
              <w:t xml:space="preserve"> </w:t>
            </w:r>
            <w:r w:rsidRPr="00CD09A7">
              <w:rPr>
                <w:rFonts w:hint="eastAsia"/>
                <w:rtl/>
              </w:rPr>
              <w:t>והעם</w:t>
            </w:r>
            <w:r w:rsidRPr="00CD09A7">
              <w:rPr>
                <w:rtl/>
              </w:rPr>
              <w:t xml:space="preserve"> </w:t>
            </w:r>
            <w:r w:rsidRPr="00CD09A7">
              <w:rPr>
                <w:rFonts w:hint="eastAsia"/>
                <w:rtl/>
              </w:rPr>
              <w:t>היהודי</w:t>
            </w:r>
            <w:r w:rsidRPr="00CD09A7">
              <w:rPr>
                <w:rtl/>
              </w:rPr>
              <w:t>.</w:t>
            </w:r>
          </w:p>
        </w:tc>
      </w:tr>
    </w:tbl>
    <w:p w14:paraId="7F6961CA" w14:textId="7DED6226" w:rsidR="002D1EE3" w:rsidRDefault="002D1EE3" w:rsidP="002D1EE3">
      <w:pPr>
        <w:pStyle w:val="HeadDivreiHesber"/>
        <w:rPr>
          <w:rtl/>
        </w:rPr>
      </w:pPr>
      <w:r w:rsidRPr="0027450A">
        <w:rPr>
          <w:rFonts w:hint="cs"/>
          <w:rtl/>
        </w:rPr>
        <w:t>דברי הסבר</w:t>
      </w:r>
    </w:p>
    <w:p w14:paraId="5310EB9F" w14:textId="77777777" w:rsidR="00D03C5E" w:rsidRPr="00457D3D" w:rsidRDefault="00D03C5E" w:rsidP="00457D3D">
      <w:pPr>
        <w:pStyle w:val="Hesber"/>
        <w:rPr>
          <w:rtl/>
        </w:rPr>
      </w:pPr>
      <w:r w:rsidRPr="00457D3D">
        <w:rPr>
          <w:rtl/>
        </w:rPr>
        <w:t>כבר מערש הולדתו של העם היהודי היה לימוד התורה אבן היסוד לקיומה של האומה. ״מימיהן של אבותינו לא פרשה ישיבה מהם" (יומא, כ"ח, ב'). אפילו בעתות משבר וחורבן היה לימוד התורה מפלט ומקלט לאומה. עם חורבן הבית השני ביקש רבן יוחנן בן זכאי מהקיסר ״תן לי יבנה וחכמיה״ (גיטין, נ"ו, ב), שכן המשך לימוד התורה היה הערובה לקיומו של העם. לאחר חורבן יהדות אירופה ומוסדות התורה החשובים שבה בשואה, לקחה על עצמה מדינת ישראל לקומם מעפר את לימוד התורה.</w:t>
      </w:r>
    </w:p>
    <w:p w14:paraId="4B2C07F4" w14:textId="77777777" w:rsidR="00D03C5E" w:rsidRPr="00457D3D" w:rsidRDefault="00D03C5E" w:rsidP="00457D3D">
      <w:pPr>
        <w:pStyle w:val="Hesber"/>
        <w:rPr>
          <w:rtl/>
        </w:rPr>
      </w:pPr>
      <w:r w:rsidRPr="00457D3D">
        <w:rPr>
          <w:rtl/>
        </w:rPr>
        <w:t>מאז ומעולם היו ברורים ערכם וחשיבותם של לימוד התורה ולומדי התורה. מוצע לעגן כראוי בחוק-יסוד את החשיבות הרבה והערך הגדול שרואה המדינה בלימוד תורה ואת רצונה לעודד לימוד תורה חוצה מגזרים.</w:t>
      </w:r>
    </w:p>
    <w:p w14:paraId="733A09A2" w14:textId="2FA61662" w:rsidR="00D03C5E" w:rsidRPr="00457D3D" w:rsidRDefault="00057DA3" w:rsidP="00457D3D">
      <w:pPr>
        <w:pStyle w:val="Hesber"/>
        <w:rPr>
          <w:rtl/>
        </w:rPr>
      </w:pPr>
      <w:r>
        <w:rPr>
          <w:rtl/>
        </w:rPr>
        <w:t>כמו כן, מוצע כי חוק</w:t>
      </w:r>
      <w:r>
        <w:rPr>
          <w:rFonts w:hint="cs"/>
          <w:rtl/>
        </w:rPr>
        <w:t xml:space="preserve"> </w:t>
      </w:r>
      <w:r w:rsidR="00D03C5E" w:rsidRPr="00457D3D">
        <w:rPr>
          <w:rtl/>
        </w:rPr>
        <w:t>היסוד יקבע כי מי שיקבלו על עצמם להתמסר ללימוד תורה לתקופה משמעותית ייחשבו כמי שמשרתים שירות משמעותי את מדינת ישראל והעם היהודי, וכי תהיה לך השלכה על זכויותיהם וחובותיהם.</w:t>
      </w:r>
    </w:p>
    <w:p w14:paraId="14907E92" w14:textId="405F8D3A" w:rsidR="00D03C5E" w:rsidRPr="00457D3D" w:rsidRDefault="00D03C5E" w:rsidP="00457D3D">
      <w:pPr>
        <w:pStyle w:val="Hesber"/>
        <w:rPr>
          <w:rtl/>
        </w:rPr>
      </w:pPr>
      <w:r w:rsidRPr="00457D3D">
        <w:rPr>
          <w:rtl/>
        </w:rPr>
        <w:lastRenderedPageBreak/>
        <w:t xml:space="preserve">מעבר לעובדה שערכים אלה היו ראויים לעיגון בכל מקרה, הבהרה זו נועדה גם לתת מענה לסוגיה שבית המשפט העליון ביקש מהכנסת להסדיר. בפסק הדין שניתן בבג"ץ 1877/14 </w:t>
      </w:r>
      <w:r w:rsidRPr="00057DA3">
        <w:rPr>
          <w:b/>
          <w:bCs/>
          <w:rtl/>
        </w:rPr>
        <w:t>התנועה למען איכות השלטון בישראל נ' הכנסת</w:t>
      </w:r>
      <w:r w:rsidRPr="00457D3D">
        <w:rPr>
          <w:rtl/>
        </w:rPr>
        <w:t xml:space="preserve"> (פורסם ביום 12 בספטמבר 2017) הוחלט ברוב דעות לבטל את פרק ג'1 לחוק שירות ביטחון [נוסח משולב], התשמ"ו–1986, תוך קביעה כי בטלותו תיכנס לתוקף בתוך שנה מיום מתן פסק הדין. בעקבות מערכות הבחירות האחרונות, הוארך מועד כניסת הבטלות לתוקף מספר פעמים, עד ליום</w:t>
      </w:r>
      <w:r w:rsidR="00057DA3">
        <w:rPr>
          <w:rFonts w:hint="cs"/>
          <w:rtl/>
        </w:rPr>
        <w:t xml:space="preserve"> 6 ביולי 2021.</w:t>
      </w:r>
      <w:r w:rsidR="00057DA3">
        <w:rPr>
          <w:rtl/>
        </w:rPr>
        <w:t xml:space="preserve"> </w:t>
      </w:r>
    </w:p>
    <w:p w14:paraId="06545E1D" w14:textId="4CE801CC" w:rsidR="00D03C5E" w:rsidRPr="00457D3D" w:rsidRDefault="00057DA3" w:rsidP="00457D3D">
      <w:pPr>
        <w:pStyle w:val="Hesber"/>
        <w:rPr>
          <w:rtl/>
        </w:rPr>
      </w:pPr>
      <w:r>
        <w:rPr>
          <w:rtl/>
        </w:rPr>
        <w:t>משכך, חוק</w:t>
      </w:r>
      <w:r>
        <w:rPr>
          <w:rFonts w:hint="cs"/>
          <w:rtl/>
        </w:rPr>
        <w:t xml:space="preserve"> </w:t>
      </w:r>
      <w:r w:rsidR="00D03C5E" w:rsidRPr="00457D3D">
        <w:rPr>
          <w:rtl/>
        </w:rPr>
        <w:t>היסוד נועד גם כדי להבהיר את עמדתה של הכנסת, המעגנת בחוק-יסוד את מדיניותן של כל ממשלות ישראל, ולפיה לאור מרכזיותו של ערך לימוד התורה וחשיבותו כשירות לעם היהודי – מי שמבקש להקדיש עצמו ללימוד תורה לתקופה ממושכת יקבל הכרה בכך לעניין זכויותיו וחובותיו.</w:t>
      </w:r>
    </w:p>
    <w:p w14:paraId="48F1C4EB" w14:textId="37A4AA9C" w:rsidR="00457D3D" w:rsidRDefault="00457D3D" w:rsidP="00457D3D">
      <w:pPr>
        <w:pStyle w:val="Hesber"/>
        <w:rPr>
          <w:rtl/>
        </w:rPr>
      </w:pPr>
      <w:r>
        <w:rPr>
          <w:rtl/>
        </w:rPr>
        <w:t>הצעות חוק זהות הונחו על שולחן הכנסת העשרים וארבע על ידי חבר הכנסת משה גפני וקבוצת חברי הכנסת (פ/183/24) ועל שולחן הכנסת העשרים וחמש על ידי חבר הכנסת משה גפני וקבוצת חברי הכנסת (פ/1540/25)</w:t>
      </w:r>
      <w:r>
        <w:rPr>
          <w:rFonts w:hint="cs"/>
          <w:rtl/>
        </w:rPr>
        <w:t xml:space="preserve">, </w:t>
      </w:r>
      <w:r>
        <w:rPr>
          <w:rtl/>
        </w:rPr>
        <w:t>על ידי חבר הכנסת משה רוט וקבוצת חברי הכנסת (פ/3768/25)</w:t>
      </w:r>
      <w:r>
        <w:rPr>
          <w:rFonts w:hint="cs"/>
          <w:rtl/>
        </w:rPr>
        <w:t xml:space="preserve"> ועל ידי חבר הכנסת אבי מעוז (</w:t>
      </w:r>
      <w:r w:rsidRPr="00457D3D">
        <w:rPr>
          <w:rtl/>
        </w:rPr>
        <w:t>פ/5743/25</w:t>
      </w:r>
      <w:r>
        <w:rPr>
          <w:rFonts w:hint="cs"/>
          <w:rtl/>
        </w:rPr>
        <w:t>)</w:t>
      </w:r>
      <w:r>
        <w:rPr>
          <w:rtl/>
        </w:rPr>
        <w:t>.</w:t>
      </w:r>
    </w:p>
    <w:p w14:paraId="16DB3EBF" w14:textId="7EA5F54D" w:rsidR="00D03C5E" w:rsidRPr="00457D3D" w:rsidRDefault="00457D3D" w:rsidP="00457D3D">
      <w:pPr>
        <w:pStyle w:val="Hesber"/>
        <w:rPr>
          <w:rtl/>
        </w:rPr>
      </w:pPr>
      <w:r>
        <w:rPr>
          <w:rtl/>
        </w:rPr>
        <w:t>הצעת החוק זהה ל</w:t>
      </w:r>
      <w:r w:rsidRPr="00457D3D">
        <w:rPr>
          <w:rtl/>
        </w:rPr>
        <w:t xml:space="preserve">פ/5743/25 </w:t>
      </w:r>
      <w:r>
        <w:rPr>
          <w:rtl/>
        </w:rPr>
        <w:t>ולפיכך לא נבדקה מחדש על ידי הלשכה המשפטית של הכנסת.</w:t>
      </w:r>
    </w:p>
    <w:p w14:paraId="7F6961CB" w14:textId="77777777" w:rsidR="00E13C27" w:rsidRPr="00457D3D" w:rsidRDefault="00E13C27" w:rsidP="00457D3D">
      <w:pPr>
        <w:pStyle w:val="Hesber"/>
        <w:rPr>
          <w:rtl/>
        </w:rPr>
      </w:pPr>
    </w:p>
    <w:p w14:paraId="636450B9" w14:textId="77777777" w:rsidR="00A31A5D" w:rsidRDefault="00057DA3">
      <w:pPr>
        <w:spacing w:before="0" w:line="360" w:lineRule="auto"/>
        <w:jc w:val="left"/>
      </w:pPr>
      <w:bookmarkStart w:id="9" w:name="selectedDocDateB"/>
      <w:bookmarkEnd w:id="9"/>
      <w:r>
        <w:rPr>
          <w:rFonts w:ascii="David" w:eastAsia="David" w:hAnsi="David" w:cs="David" w:hint="cs"/>
          <w:sz w:val="26"/>
          <w:szCs w:val="26"/>
          <w:rtl/>
        </w:rPr>
        <w:t>--------------------------------</w:t>
      </w:r>
    </w:p>
    <w:p w14:paraId="1A79B8ED" w14:textId="77777777" w:rsidR="00A31A5D" w:rsidRDefault="00057DA3">
      <w:pPr>
        <w:spacing w:before="0" w:line="360" w:lineRule="auto"/>
        <w:jc w:val="left"/>
      </w:pPr>
      <w:r>
        <w:rPr>
          <w:rFonts w:ascii="David" w:eastAsia="David" w:hAnsi="David" w:cs="David" w:hint="cs"/>
          <w:sz w:val="26"/>
          <w:szCs w:val="26"/>
          <w:rtl/>
        </w:rPr>
        <w:t>הוגשה ליו"ר הכנסת והסגנים</w:t>
      </w:r>
    </w:p>
    <w:p w14:paraId="4AB82F45" w14:textId="77777777" w:rsidR="00A31A5D" w:rsidRDefault="00057DA3">
      <w:pPr>
        <w:spacing w:before="0" w:line="360" w:lineRule="auto"/>
        <w:jc w:val="left"/>
      </w:pPr>
      <w:r>
        <w:rPr>
          <w:rFonts w:ascii="David" w:eastAsia="David" w:hAnsi="David" w:cs="David" w:hint="cs"/>
          <w:sz w:val="26"/>
          <w:szCs w:val="26"/>
          <w:rtl/>
        </w:rPr>
        <w:t>והונחה על שולחן הכנסת ביום</w:t>
      </w:r>
    </w:p>
    <w:p w14:paraId="16FA355F" w14:textId="77777777" w:rsidR="00A31A5D" w:rsidRDefault="00057DA3">
      <w:pPr>
        <w:spacing w:before="0" w:line="360" w:lineRule="auto"/>
        <w:jc w:val="left"/>
      </w:pPr>
      <w:r>
        <w:rPr>
          <w:rFonts w:ascii="David" w:eastAsia="David" w:hAnsi="David" w:cs="David" w:hint="cs"/>
          <w:sz w:val="26"/>
          <w:szCs w:val="26"/>
          <w:rtl/>
        </w:rPr>
        <w:t xml:space="preserve">כ"ג בסיוון התשפ"ו (08.06.2026) </w:t>
      </w:r>
    </w:p>
    <w:p w14:paraId="14AA46A1" w14:textId="77777777" w:rsidR="00A31A5D" w:rsidRDefault="00A31A5D">
      <w:pPr>
        <w:spacing w:before="0" w:line="276" w:lineRule="auto"/>
        <w:jc w:val="left"/>
      </w:pPr>
    </w:p>
    <w:sectPr w:rsidR="00A31A5D"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666F6D8"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28401C">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57DA3"/>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8401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57D3D"/>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31A5D"/>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03C5E"/>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FA6AEE62-D531-4C11-AB36-B4D2794E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5">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6">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7">
    <w:name w:val="header"/>
    <w:basedOn w:val="a"/>
    <w:rsid w:val="00B975AD"/>
    <w:pPr>
      <w:tabs>
        <w:tab w:val="center" w:pos="4153"/>
        <w:tab w:val="right" w:pos="8306"/>
      </w:tabs>
    </w:pPr>
  </w:style>
  <w:style w:type="paragraph" w:styleId="a8">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9">
    <w:name w:val="Title"/>
    <w:basedOn w:val="a"/>
    <w:qFormat/>
    <w:rsid w:val="00943386"/>
    <w:pPr>
      <w:jc w:val="center"/>
    </w:pPr>
    <w:rPr>
      <w:rFonts w:cs="David"/>
      <w:b/>
      <w:bCs/>
      <w:sz w:val="28"/>
      <w:szCs w:val="28"/>
      <w:u w:val="single"/>
    </w:rPr>
  </w:style>
  <w:style w:type="character" w:styleId="aa">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b">
    <w:name w:val="Balloon Text"/>
    <w:basedOn w:val="a"/>
    <w:link w:val="ac"/>
    <w:semiHidden/>
    <w:unhideWhenUsed/>
    <w:rsid w:val="00325C14"/>
    <w:pPr>
      <w:spacing w:before="0"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290d5b49-c690-4c6f-bbb9-1e50dab33eee"/>
    <ds:schemaRef ds:uri="http://purl.org/dc/elements/1.1/"/>
    <ds:schemaRef ds:uri="http://schemas.microsoft.com/office/2006/documentManagement/types"/>
    <ds:schemaRef ds:uri="http://purl.org/dc/term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89909CB5-DFF3-4E2B-9F20-DC263EC4B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F8B42C-0D0A-4690-925F-2A9194AE3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441</Words>
  <Characters>2205</Characters>
  <Application>Microsoft Office Word</Application>
  <DocSecurity>0</DocSecurity>
  <Lines>18</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רשומות</vt:lpstr>
      <vt:lpstr>רשומות</vt:lpstr>
    </vt:vector>
  </TitlesOfParts>
  <Company>Knesset</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7</cp:revision>
  <cp:lastPrinted>2013-07-04T08:25:00Z</cp:lastPrinted>
  <dcterms:created xsi:type="dcterms:W3CDTF">2015-04-20T09:58:00Z</dcterms:created>
  <dcterms:modified xsi:type="dcterms:W3CDTF">2026-06-05T14:21:00Z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2243800</vt:r8>
  </property>
</Properties>
</file>