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23572" w14:textId="77777777" w:rsidR="0082284D" w:rsidRPr="00E635A2" w:rsidRDefault="0082284D" w:rsidP="0082284D">
      <w:pPr>
        <w:jc w:val="right"/>
        <w:rPr>
          <w:b/>
          <w:bCs/>
          <w:sz w:val="20"/>
          <w:szCs w:val="20"/>
        </w:rPr>
      </w:pPr>
      <w:r w:rsidRPr="00E635A2">
        <w:rPr>
          <w:rFonts w:hint="cs"/>
          <w:sz w:val="20"/>
          <w:szCs w:val="20"/>
          <w:rtl/>
        </w:rPr>
        <w:t xml:space="preserve">מספר פנימי: </w:t>
      </w:r>
      <w:r>
        <w:rPr>
          <w:rFonts w:hint="cs"/>
          <w:sz w:val="20"/>
          <w:szCs w:val="20"/>
          <w:rtl/>
        </w:rPr>
        <w:t>2243493</w:t>
      </w:r>
    </w:p>
    <w:p w14:paraId="1C6944C9" w14:textId="77777777" w:rsidR="0082284D" w:rsidRPr="00DB7060" w:rsidRDefault="0082284D" w:rsidP="0082284D">
      <w:pPr>
        <w:pStyle w:val="HeadHatzaotHok"/>
        <w:rPr>
          <w:sz w:val="28"/>
          <w:szCs w:val="28"/>
          <w:rtl/>
        </w:rPr>
      </w:pPr>
      <w:r w:rsidRPr="00DB7060">
        <w:rPr>
          <w:rFonts w:hint="cs"/>
          <w:sz w:val="28"/>
          <w:szCs w:val="28"/>
          <w:rtl/>
        </w:rPr>
        <w:t xml:space="preserve">הכנסת </w:t>
      </w:r>
      <w:r>
        <w:rPr>
          <w:rFonts w:hint="cs"/>
          <w:sz w:val="28"/>
          <w:szCs w:val="28"/>
          <w:rtl/>
        </w:rPr>
        <w:t>העשרים וחמש</w:t>
      </w:r>
    </w:p>
    <w:p w14:paraId="0D809BDA" w14:textId="77777777" w:rsidR="0082284D" w:rsidRPr="00F67051" w:rsidRDefault="0082284D" w:rsidP="0082284D">
      <w:pPr>
        <w:rPr>
          <w:b/>
          <w:bCs/>
          <w:sz w:val="26"/>
          <w:szCs w:val="26"/>
          <w:rtl/>
        </w:rPr>
      </w:pPr>
    </w:p>
    <w:p w14:paraId="6B2ECC6D" w14:textId="26D4DDEE" w:rsidR="0082284D" w:rsidRPr="00CF1AA2" w:rsidRDefault="0082284D" w:rsidP="00F05F77">
      <w:pPr>
        <w:pStyle w:val="David"/>
        <w:ind w:left="3544"/>
        <w:rPr>
          <w:b/>
          <w:bCs/>
          <w:sz w:val="16"/>
          <w:szCs w:val="16"/>
          <w:rtl/>
        </w:rPr>
      </w:pPr>
      <w:r>
        <w:rPr>
          <w:b/>
          <w:bCs/>
          <w:rtl/>
        </w:rPr>
        <w:t>יוזם:</w:t>
      </w:r>
      <w:r>
        <w:tab/>
      </w:r>
      <w:r>
        <w:rPr>
          <w:b/>
          <w:bCs/>
          <w:rtl/>
        </w:rPr>
        <w:t xml:space="preserve">      חבר הכנסת</w:t>
      </w:r>
      <w:r w:rsidRPr="00F67051">
        <w:rPr>
          <w:b/>
          <w:bCs/>
        </w:rPr>
        <w:tab/>
      </w:r>
      <w:r>
        <w:rPr>
          <w:rFonts w:hint="cs"/>
          <w:b/>
          <w:bCs/>
          <w:rtl/>
        </w:rPr>
        <w:t>אלעזר שטרן</w:t>
      </w:r>
      <w:r>
        <w:rPr>
          <w:rtl/>
        </w:rPr>
        <w:t xml:space="preserve"> </w:t>
      </w:r>
      <w:r w:rsidRPr="00CF1AA2">
        <w:rPr>
          <w:rFonts w:hint="cs"/>
          <w:rtl/>
        </w:rPr>
        <w:tab/>
      </w:r>
      <w:r>
        <w:rPr>
          <w:rFonts w:hint="cs"/>
          <w:rtl/>
        </w:rPr>
        <w:t xml:space="preserve"> </w:t>
      </w:r>
    </w:p>
    <w:p w14:paraId="7D655DDE" w14:textId="77777777" w:rsidR="0082284D" w:rsidRPr="00904591" w:rsidRDefault="0082284D" w:rsidP="0082284D">
      <w:pPr>
        <w:pStyle w:val="David"/>
        <w:ind w:left="3544"/>
        <w:rPr>
          <w:sz w:val="4"/>
          <w:szCs w:val="4"/>
          <w:rtl/>
        </w:rPr>
      </w:pPr>
      <w:r>
        <w:t>______________________________________________</w:t>
      </w:r>
      <w:r w:rsidRPr="00E06736"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>
        <w:t xml:space="preserve">           </w:t>
      </w:r>
    </w:p>
    <w:p w14:paraId="34CEF99F" w14:textId="6DC80397" w:rsidR="0082284D" w:rsidRPr="00E06736" w:rsidRDefault="000C07F3" w:rsidP="00F05F77">
      <w:pPr>
        <w:pStyle w:val="David"/>
        <w:spacing w:line="240" w:lineRule="auto"/>
        <w:ind w:left="6044" w:firstLine="436"/>
        <w:rPr>
          <w:rtl/>
        </w:rPr>
      </w:pPr>
      <w:r>
        <w:rPr>
          <w:rFonts w:hint="cs"/>
          <w:rtl/>
        </w:rPr>
        <w:t>פ/6759/25</w:t>
      </w:r>
      <w:r w:rsidR="0082284D">
        <w:t xml:space="preserve">                                         </w:t>
      </w:r>
      <w:r w:rsidR="0082284D">
        <w:rPr>
          <w:rFonts w:hint="cs"/>
          <w:rtl/>
        </w:rPr>
        <w:t xml:space="preserve"> </w:t>
      </w:r>
    </w:p>
    <w:p w14:paraId="034B18DD" w14:textId="77777777" w:rsidR="0082284D" w:rsidRDefault="0082284D" w:rsidP="0082284D">
      <w:pPr>
        <w:ind w:left="2880" w:firstLine="720"/>
        <w:rPr>
          <w:sz w:val="26"/>
          <w:szCs w:val="26"/>
          <w:rtl/>
        </w:rPr>
      </w:pPr>
    </w:p>
    <w:p w14:paraId="7305906D" w14:textId="4B638383" w:rsidR="0082284D" w:rsidRDefault="0082284D" w:rsidP="004629BE">
      <w:pPr>
        <w:pStyle w:val="HeadHatzaotHok"/>
        <w:spacing w:before="0"/>
        <w:rPr>
          <w:rtl/>
        </w:rPr>
      </w:pPr>
      <w:r>
        <w:rPr>
          <w:rFonts w:hint="cs"/>
          <w:rtl/>
        </w:rPr>
        <w:t>הצעת חוק משפחות חיילים שנספו במערכה (תגמולים ושיקום)</w:t>
      </w:r>
      <w:r w:rsidR="000C07F3">
        <w:rPr>
          <w:rFonts w:hint="cs"/>
          <w:rtl/>
        </w:rPr>
        <w:t xml:space="preserve"> </w:t>
      </w:r>
      <w:r>
        <w:rPr>
          <w:rFonts w:hint="cs"/>
          <w:rtl/>
        </w:rPr>
        <w:t>(תיקון</w:t>
      </w:r>
      <w:r w:rsidR="000C07F3">
        <w:rPr>
          <w:rFonts w:hint="cs"/>
          <w:rtl/>
        </w:rPr>
        <w:t xml:space="preserve"> </w:t>
      </w:r>
      <w:r w:rsidR="000C07F3">
        <w:rPr>
          <w:rFonts w:hint="eastAsia"/>
          <w:rtl/>
        </w:rPr>
        <w:t>–</w:t>
      </w:r>
      <w:r>
        <w:rPr>
          <w:rFonts w:hint="cs"/>
          <w:rtl/>
        </w:rPr>
        <w:t xml:space="preserve"> הכרה במי ששלח יד בנפשו כחייל שנספה במערכה)</w:t>
      </w:r>
      <w:r w:rsidR="004629BE">
        <w:rPr>
          <w:rFonts w:hint="cs"/>
          <w:rtl/>
        </w:rPr>
        <w:t xml:space="preserve"> (הוראת שעה </w:t>
      </w:r>
      <w:r w:rsidR="004629BE">
        <w:rPr>
          <w:rFonts w:hint="eastAsia"/>
          <w:rtl/>
        </w:rPr>
        <w:t>–</w:t>
      </w:r>
      <w:r w:rsidR="004629BE">
        <w:rPr>
          <w:rFonts w:hint="cs"/>
          <w:rtl/>
        </w:rPr>
        <w:t xml:space="preserve"> חרבות ברזל)</w:t>
      </w:r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התשפ"ו</w:t>
      </w:r>
      <w:proofErr w:type="spellEnd"/>
      <w:r>
        <w:rPr>
          <w:rFonts w:hint="eastAsia"/>
          <w:rtl/>
        </w:rPr>
        <w:t>–</w:t>
      </w:r>
      <w:r>
        <w:rPr>
          <w:rFonts w:hint="cs"/>
          <w:rtl/>
        </w:rPr>
        <w:t>2026</w:t>
      </w:r>
    </w:p>
    <w:p w14:paraId="7DF4F97D" w14:textId="77777777" w:rsidR="000C07F3" w:rsidRPr="00F67051" w:rsidRDefault="000C07F3" w:rsidP="000C07F3">
      <w:pPr>
        <w:pStyle w:val="HeadHatzaotHok"/>
        <w:spacing w:before="0"/>
        <w:rPr>
          <w:rtl/>
        </w:rPr>
      </w:pPr>
    </w:p>
    <w:tbl>
      <w:tblPr>
        <w:bidiVisual/>
        <w:tblW w:w="9638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624"/>
        <w:gridCol w:w="624"/>
        <w:gridCol w:w="624"/>
        <w:gridCol w:w="624"/>
        <w:gridCol w:w="4647"/>
      </w:tblGrid>
      <w:tr w:rsidR="0082284D" w14:paraId="3083182C" w14:textId="77777777" w:rsidTr="000C07F3">
        <w:trPr>
          <w:cantSplit/>
        </w:trPr>
        <w:tc>
          <w:tcPr>
            <w:tcW w:w="1871" w:type="dxa"/>
          </w:tcPr>
          <w:p w14:paraId="3782A401" w14:textId="77777777" w:rsidR="0082284D" w:rsidRPr="00D41F0D" w:rsidRDefault="0082284D" w:rsidP="00CC586A">
            <w:pPr>
              <w:pStyle w:val="TableSideHeading"/>
            </w:pPr>
            <w:r w:rsidRPr="00D41F0D">
              <w:rPr>
                <w:rFonts w:hint="cs"/>
                <w:rtl/>
              </w:rPr>
              <w:t>הוספת סעיף 2ב1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624" w:type="dxa"/>
          </w:tcPr>
          <w:p w14:paraId="29DA9541" w14:textId="77777777" w:rsidR="0082284D" w:rsidRPr="00D41F0D" w:rsidRDefault="0082284D" w:rsidP="00CC586A">
            <w:pPr>
              <w:pStyle w:val="TableText"/>
              <w:jc w:val="both"/>
            </w:pPr>
            <w:r w:rsidRPr="00D41F0D">
              <w:rPr>
                <w:rFonts w:hint="cs"/>
                <w:rtl/>
              </w:rPr>
              <w:t>1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7143" w:type="dxa"/>
            <w:gridSpan w:val="5"/>
          </w:tcPr>
          <w:p w14:paraId="419C9EC1" w14:textId="77777777" w:rsidR="0082284D" w:rsidRPr="00E7130F" w:rsidRDefault="0082284D" w:rsidP="000C07F3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  <w:r w:rsidRPr="00E7130F">
              <w:rPr>
                <w:rFonts w:hint="eastAsia"/>
                <w:rtl/>
              </w:rPr>
              <w:t>חוק</w:t>
            </w:r>
            <w:r w:rsidRPr="00E7130F">
              <w:rPr>
                <w:rtl/>
              </w:rPr>
              <w:t xml:space="preserve"> </w:t>
            </w:r>
            <w:r w:rsidRPr="00E7130F">
              <w:rPr>
                <w:rFonts w:hint="eastAsia"/>
                <w:rtl/>
              </w:rPr>
              <w:t>משפחות</w:t>
            </w:r>
            <w:r w:rsidRPr="00E7130F">
              <w:rPr>
                <w:rtl/>
              </w:rPr>
              <w:t xml:space="preserve"> </w:t>
            </w:r>
            <w:r w:rsidRPr="00E7130F">
              <w:rPr>
                <w:rFonts w:hint="eastAsia"/>
                <w:rtl/>
              </w:rPr>
              <w:t>חיילים</w:t>
            </w:r>
            <w:r w:rsidRPr="00E7130F">
              <w:rPr>
                <w:rtl/>
              </w:rPr>
              <w:t xml:space="preserve"> </w:t>
            </w:r>
            <w:r w:rsidRPr="00E7130F">
              <w:rPr>
                <w:rFonts w:hint="eastAsia"/>
                <w:rtl/>
              </w:rPr>
              <w:t>שנספו</w:t>
            </w:r>
            <w:r w:rsidRPr="00E7130F">
              <w:rPr>
                <w:rtl/>
              </w:rPr>
              <w:t xml:space="preserve"> </w:t>
            </w:r>
            <w:r w:rsidRPr="00E7130F">
              <w:rPr>
                <w:rFonts w:hint="eastAsia"/>
                <w:rtl/>
              </w:rPr>
              <w:t>במערכה</w:t>
            </w:r>
            <w:r w:rsidRPr="00E7130F">
              <w:rPr>
                <w:rtl/>
              </w:rPr>
              <w:t xml:space="preserve"> (תגמולים ושיקום), </w:t>
            </w:r>
            <w:proofErr w:type="spellStart"/>
            <w:r w:rsidRPr="00E7130F">
              <w:rPr>
                <w:rFonts w:hint="eastAsia"/>
                <w:rtl/>
              </w:rPr>
              <w:t>התש</w:t>
            </w:r>
            <w:r w:rsidRPr="00E7130F">
              <w:rPr>
                <w:rtl/>
              </w:rPr>
              <w:t>"י</w:t>
            </w:r>
            <w:proofErr w:type="spellEnd"/>
            <w:r w:rsidRPr="00E7130F">
              <w:rPr>
                <w:rFonts w:hint="eastAsia"/>
                <w:rtl/>
              </w:rPr>
              <w:t>–</w:t>
            </w:r>
            <w:r w:rsidRPr="00E7130F">
              <w:rPr>
                <w:rtl/>
              </w:rPr>
              <w:t>1950</w:t>
            </w:r>
            <w:r w:rsidRPr="000C07F3">
              <w:rPr>
                <w:rFonts w:ascii="David" w:hAnsi="David"/>
                <w:sz w:val="26"/>
                <w:vertAlign w:val="superscript"/>
                <w:rtl/>
              </w:rPr>
              <w:footnoteReference w:id="2"/>
            </w:r>
            <w:r>
              <w:rPr>
                <w:rtl/>
              </w:rPr>
              <w:t xml:space="preserve">,  </w:t>
            </w:r>
            <w:r w:rsidRPr="00E7130F">
              <w:rPr>
                <w:rtl/>
              </w:rPr>
              <w:t xml:space="preserve">אחרי סעיף 2ב </w:t>
            </w:r>
            <w:r w:rsidRPr="00E7130F">
              <w:rPr>
                <w:rFonts w:hint="eastAsia"/>
                <w:rtl/>
              </w:rPr>
              <w:t>יבוא</w:t>
            </w:r>
            <w:r w:rsidRPr="00E7130F">
              <w:rPr>
                <w:rtl/>
              </w:rPr>
              <w:t>:</w:t>
            </w:r>
          </w:p>
        </w:tc>
      </w:tr>
      <w:tr w:rsidR="0082284D" w14:paraId="54B66A4C" w14:textId="77777777" w:rsidTr="000C07F3">
        <w:trPr>
          <w:cantSplit/>
        </w:trPr>
        <w:tc>
          <w:tcPr>
            <w:tcW w:w="1871" w:type="dxa"/>
          </w:tcPr>
          <w:p w14:paraId="30432375" w14:textId="77777777" w:rsidR="0082284D" w:rsidRDefault="0082284D" w:rsidP="00CC586A">
            <w:pPr>
              <w:pStyle w:val="TableSideHeading"/>
              <w:keepLines w:val="0"/>
            </w:pPr>
          </w:p>
        </w:tc>
        <w:tc>
          <w:tcPr>
            <w:tcW w:w="624" w:type="dxa"/>
          </w:tcPr>
          <w:p w14:paraId="1AB40052" w14:textId="77777777" w:rsidR="0082284D" w:rsidRDefault="0082284D" w:rsidP="00CC586A">
            <w:pPr>
              <w:pStyle w:val="TableText"/>
              <w:keepLines w:val="0"/>
            </w:pPr>
          </w:p>
        </w:tc>
        <w:tc>
          <w:tcPr>
            <w:tcW w:w="1872" w:type="dxa"/>
            <w:gridSpan w:val="3"/>
          </w:tcPr>
          <w:p w14:paraId="067D01D7" w14:textId="1CA9C9E5" w:rsidR="0082284D" w:rsidRDefault="00BE5C3B" w:rsidP="00E818CC">
            <w:pPr>
              <w:pStyle w:val="TableInnerSideHeading"/>
            </w:pPr>
            <w:r>
              <w:rPr>
                <w:rFonts w:hint="cs"/>
                <w:rtl/>
              </w:rPr>
              <w:t>"</w:t>
            </w:r>
            <w:r w:rsidR="00A34150">
              <w:rPr>
                <w:rFonts w:hint="cs"/>
                <w:rtl/>
              </w:rPr>
              <w:t xml:space="preserve">הכרה </w:t>
            </w:r>
            <w:r w:rsidR="00E818CC">
              <w:rPr>
                <w:rFonts w:hint="cs"/>
                <w:rtl/>
              </w:rPr>
              <w:t>במי</w:t>
            </w:r>
            <w:r w:rsidR="00A34150">
              <w:rPr>
                <w:rFonts w:hint="cs"/>
                <w:rtl/>
              </w:rPr>
              <w:t xml:space="preserve"> ששלח יד בנפשו </w:t>
            </w:r>
            <w:r w:rsidR="00E818CC">
              <w:rPr>
                <w:rFonts w:hint="cs"/>
                <w:rtl/>
              </w:rPr>
              <w:t>כחייל ש</w:t>
            </w:r>
            <w:r w:rsidR="00A34150">
              <w:rPr>
                <w:rFonts w:hint="cs"/>
                <w:rtl/>
              </w:rPr>
              <w:t>נספה</w:t>
            </w:r>
            <w:r w:rsidR="00E818CC">
              <w:rPr>
                <w:rFonts w:hint="cs"/>
                <w:rtl/>
              </w:rPr>
              <w:t xml:space="preserve"> במערכה</w:t>
            </w:r>
          </w:p>
        </w:tc>
        <w:tc>
          <w:tcPr>
            <w:tcW w:w="624" w:type="dxa"/>
          </w:tcPr>
          <w:p w14:paraId="04BC437D" w14:textId="77777777" w:rsidR="0082284D" w:rsidRDefault="0082284D" w:rsidP="00CC586A">
            <w:pPr>
              <w:pStyle w:val="TableText"/>
            </w:pPr>
            <w:r>
              <w:rPr>
                <w:rFonts w:hint="cs"/>
                <w:rtl/>
              </w:rPr>
              <w:t>2ב1.</w:t>
            </w:r>
          </w:p>
        </w:tc>
        <w:tc>
          <w:tcPr>
            <w:tcW w:w="4647" w:type="dxa"/>
          </w:tcPr>
          <w:p w14:paraId="4575D698" w14:textId="69FDC31C" w:rsidR="0082284D" w:rsidRDefault="0082284D" w:rsidP="00D95271">
            <w:pPr>
              <w:pStyle w:val="TableBlock"/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לעניין חוק זה, </w:t>
            </w:r>
            <w:r w:rsidR="00D95271">
              <w:rPr>
                <w:rFonts w:hint="cs"/>
                <w:rtl/>
              </w:rPr>
              <w:t>חייל או חייל משוחרר</w:t>
            </w:r>
            <w:r>
              <w:rPr>
                <w:rFonts w:hint="cs"/>
                <w:rtl/>
              </w:rPr>
              <w:t xml:space="preserve"> ששלח יד בנפשו רואים אותו כמי שמת </w:t>
            </w:r>
            <w:r w:rsidRPr="0082284D">
              <w:rPr>
                <w:rFonts w:hint="eastAsia"/>
                <w:rtl/>
              </w:rPr>
              <w:t>בתקופת</w:t>
            </w:r>
            <w:r w:rsidRPr="0082284D">
              <w:rPr>
                <w:rtl/>
              </w:rPr>
              <w:t xml:space="preserve"> שירותו ו</w:t>
            </w:r>
            <w:r w:rsidRPr="0082284D">
              <w:rPr>
                <w:rFonts w:hint="cs"/>
                <w:rtl/>
              </w:rPr>
              <w:t>ע</w:t>
            </w:r>
            <w:r>
              <w:rPr>
                <w:rFonts w:hint="cs"/>
                <w:rtl/>
              </w:rPr>
              <w:t xml:space="preserve">קב שירותו, ובלבד ששירת </w:t>
            </w:r>
            <w:r w:rsidR="00D95271">
              <w:rPr>
                <w:rFonts w:hint="cs"/>
                <w:rtl/>
              </w:rPr>
              <w:t xml:space="preserve">בשירות </w:t>
            </w:r>
            <w:r>
              <w:rPr>
                <w:rFonts w:hint="cs"/>
                <w:rtl/>
              </w:rPr>
              <w:t>במהלך 100 ימים לפחות בתקופה הקובעת, ושלח יד בנפשו בטרם חלפו שנתיים מיום שחרורו מהשירות או מתום התקופה הקובעת, לפי המאוחר.</w:t>
            </w:r>
          </w:p>
        </w:tc>
      </w:tr>
      <w:tr w:rsidR="0082284D" w14:paraId="079B7D97" w14:textId="77777777" w:rsidTr="000C07F3">
        <w:trPr>
          <w:cantSplit/>
        </w:trPr>
        <w:tc>
          <w:tcPr>
            <w:tcW w:w="1871" w:type="dxa"/>
          </w:tcPr>
          <w:p w14:paraId="7518C0B8" w14:textId="77777777" w:rsidR="0082284D" w:rsidRDefault="0082284D" w:rsidP="00CC586A">
            <w:pPr>
              <w:pStyle w:val="TableSideHeading"/>
            </w:pPr>
          </w:p>
        </w:tc>
        <w:tc>
          <w:tcPr>
            <w:tcW w:w="624" w:type="dxa"/>
          </w:tcPr>
          <w:p w14:paraId="51A64E40" w14:textId="77777777" w:rsidR="0082284D" w:rsidRDefault="0082284D" w:rsidP="00CC586A">
            <w:pPr>
              <w:pStyle w:val="TableText"/>
            </w:pPr>
          </w:p>
        </w:tc>
        <w:tc>
          <w:tcPr>
            <w:tcW w:w="624" w:type="dxa"/>
          </w:tcPr>
          <w:p w14:paraId="7414CD61" w14:textId="77777777" w:rsidR="0082284D" w:rsidRDefault="0082284D" w:rsidP="00CC586A">
            <w:pPr>
              <w:pStyle w:val="TableText"/>
            </w:pPr>
          </w:p>
        </w:tc>
        <w:tc>
          <w:tcPr>
            <w:tcW w:w="624" w:type="dxa"/>
          </w:tcPr>
          <w:p w14:paraId="5D18042A" w14:textId="77777777" w:rsidR="0082284D" w:rsidRDefault="0082284D" w:rsidP="00CC586A">
            <w:pPr>
              <w:pStyle w:val="TableText"/>
            </w:pPr>
          </w:p>
        </w:tc>
        <w:tc>
          <w:tcPr>
            <w:tcW w:w="624" w:type="dxa"/>
          </w:tcPr>
          <w:p w14:paraId="7D6497E5" w14:textId="77777777" w:rsidR="0082284D" w:rsidRDefault="0082284D" w:rsidP="00CC586A">
            <w:pPr>
              <w:pStyle w:val="TableText"/>
            </w:pPr>
          </w:p>
        </w:tc>
        <w:tc>
          <w:tcPr>
            <w:tcW w:w="624" w:type="dxa"/>
          </w:tcPr>
          <w:p w14:paraId="172427D3" w14:textId="77777777" w:rsidR="0082284D" w:rsidRDefault="0082284D" w:rsidP="00CC586A">
            <w:pPr>
              <w:pStyle w:val="TableText"/>
            </w:pPr>
          </w:p>
        </w:tc>
        <w:tc>
          <w:tcPr>
            <w:tcW w:w="4647" w:type="dxa"/>
          </w:tcPr>
          <w:p w14:paraId="61189866" w14:textId="620C49EE" w:rsidR="0082284D" w:rsidRDefault="0082284D" w:rsidP="000C07F3">
            <w:pPr>
              <w:pStyle w:val="TableBlock"/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בסעיף זה, "התקופה הקובעת"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התקופה שמיום כ"ב ב</w:t>
            </w:r>
            <w:r w:rsidRPr="00DF0585">
              <w:rPr>
                <w:rFonts w:hint="cs"/>
                <w:rtl/>
              </w:rPr>
              <w:t xml:space="preserve">תשרי </w:t>
            </w:r>
            <w:proofErr w:type="spellStart"/>
            <w:r w:rsidRPr="00DF0585">
              <w:rPr>
                <w:rFonts w:hint="cs"/>
                <w:rtl/>
              </w:rPr>
              <w:t>התשפ"ד</w:t>
            </w:r>
            <w:proofErr w:type="spellEnd"/>
            <w:r w:rsidRPr="00DF0585">
              <w:rPr>
                <w:rFonts w:hint="cs"/>
                <w:rtl/>
              </w:rPr>
              <w:t xml:space="preserve"> (7 באוקטובר 2023) עד תום תוקפה של ההכרזה על מצב מיוחד בעורף שניתנה ביום האמור לפי חוק ההתגוננות האזרחית, </w:t>
            </w:r>
            <w:proofErr w:type="spellStart"/>
            <w:r w:rsidRPr="00DF0585">
              <w:rPr>
                <w:rFonts w:hint="cs"/>
                <w:rtl/>
              </w:rPr>
              <w:t>התשי"א</w:t>
            </w:r>
            <w:proofErr w:type="spellEnd"/>
            <w:r>
              <w:rPr>
                <w:rFonts w:hint="eastAsia"/>
                <w:rtl/>
              </w:rPr>
              <w:t>–</w:t>
            </w:r>
            <w:r w:rsidRPr="00DF0585">
              <w:rPr>
                <w:rFonts w:hint="cs"/>
                <w:rtl/>
              </w:rPr>
              <w:t>1951</w:t>
            </w:r>
            <w:r w:rsidRPr="000C07F3">
              <w:rPr>
                <w:rFonts w:ascii="David" w:hAnsi="David"/>
                <w:sz w:val="26"/>
                <w:szCs w:val="20"/>
                <w:vertAlign w:val="superscript"/>
                <w:rtl/>
              </w:rPr>
              <w:footnoteReference w:id="3"/>
            </w:r>
            <w:r w:rsidR="00CB4235">
              <w:rPr>
                <w:rFonts w:hint="cs"/>
                <w:rtl/>
              </w:rPr>
              <w:t>.</w:t>
            </w:r>
            <w:r>
              <w:rPr>
                <w:rFonts w:hint="cs"/>
                <w:rtl/>
              </w:rPr>
              <w:t>"</w:t>
            </w:r>
          </w:p>
        </w:tc>
      </w:tr>
    </w:tbl>
    <w:p w14:paraId="732DB8FC" w14:textId="77777777" w:rsidR="0082284D" w:rsidRDefault="0082284D" w:rsidP="0082284D">
      <w:pPr>
        <w:pStyle w:val="HeadDivreiHesber"/>
        <w:rPr>
          <w:rtl/>
        </w:rPr>
      </w:pPr>
      <w:r w:rsidRPr="0027450A">
        <w:rPr>
          <w:rFonts w:hint="cs"/>
          <w:rtl/>
        </w:rPr>
        <w:t>דברי הסבר</w:t>
      </w:r>
    </w:p>
    <w:p w14:paraId="3C1E7F0D" w14:textId="77777777" w:rsidR="0082284D" w:rsidRPr="00ED722C" w:rsidDel="00D04617" w:rsidRDefault="0082284D" w:rsidP="0082284D">
      <w:pPr>
        <w:pStyle w:val="Hesber"/>
      </w:pPr>
      <w:r w:rsidRPr="00ED722C" w:rsidDel="00D04617">
        <w:rPr>
          <w:rtl/>
        </w:rPr>
        <w:t xml:space="preserve">מדינת ישראל מוקירה את </w:t>
      </w:r>
      <w:r>
        <w:rPr>
          <w:rFonts w:hint="cs"/>
          <w:rtl/>
        </w:rPr>
        <w:t>מי</w:t>
      </w:r>
      <w:r w:rsidRPr="00ED722C" w:rsidDel="00D04617">
        <w:rPr>
          <w:rtl/>
        </w:rPr>
        <w:t xml:space="preserve"> </w:t>
      </w:r>
      <w:r>
        <w:rPr>
          <w:rFonts w:hint="cs"/>
          <w:rtl/>
        </w:rPr>
        <w:t>ש</w:t>
      </w:r>
      <w:r w:rsidRPr="00ED722C" w:rsidDel="00D04617">
        <w:rPr>
          <w:rtl/>
        </w:rPr>
        <w:t>שיר</w:t>
      </w:r>
      <w:r w:rsidRPr="00ED722C">
        <w:rPr>
          <w:rtl/>
        </w:rPr>
        <w:t>תו את המדינה במהלך שירותם הצבאי</w:t>
      </w:r>
      <w:r w:rsidRPr="00ED722C" w:rsidDel="00D04617">
        <w:rPr>
          <w:rtl/>
        </w:rPr>
        <w:t xml:space="preserve"> ומכירה בחשיבות חיילי המילואים המהווים מרכיב חיוני בביטחון המדינה. </w:t>
      </w:r>
    </w:p>
    <w:p w14:paraId="78FCF7F3" w14:textId="77777777" w:rsidR="0082284D" w:rsidRDefault="0082284D" w:rsidP="0082284D">
      <w:pPr>
        <w:pStyle w:val="Hesber"/>
        <w:rPr>
          <w:rtl/>
        </w:rPr>
      </w:pPr>
      <w:r w:rsidRPr="00ED722C">
        <w:rPr>
          <w:rtl/>
        </w:rPr>
        <w:t xml:space="preserve">הצעת </w:t>
      </w:r>
      <w:r w:rsidRPr="00ED722C">
        <w:rPr>
          <w:rFonts w:hint="cs"/>
          <w:rtl/>
        </w:rPr>
        <w:t>ה</w:t>
      </w:r>
      <w:r w:rsidRPr="00ED722C">
        <w:rPr>
          <w:rtl/>
        </w:rPr>
        <w:t>חוק נועדה להעניק את הכבוד הראוי ל</w:t>
      </w:r>
      <w:r>
        <w:rPr>
          <w:rFonts w:hint="cs"/>
          <w:rtl/>
        </w:rPr>
        <w:t>מי שלאחר תום שירותו הצבאי ב</w:t>
      </w:r>
      <w:r w:rsidRPr="00ED722C">
        <w:rPr>
          <w:rFonts w:hint="cs"/>
          <w:rtl/>
        </w:rPr>
        <w:t>מלחמת חרבות ברזל</w:t>
      </w:r>
      <w:r>
        <w:rPr>
          <w:rFonts w:hint="cs"/>
          <w:rtl/>
        </w:rPr>
        <w:t xml:space="preserve"> נספה כתוצאה משליחת יד בנפשו</w:t>
      </w:r>
      <w:r w:rsidRPr="00ED722C">
        <w:rPr>
          <w:rFonts w:hint="cs"/>
          <w:rtl/>
        </w:rPr>
        <w:t>.</w:t>
      </w:r>
      <w:r w:rsidRPr="00ED722C">
        <w:rPr>
          <w:rtl/>
        </w:rPr>
        <w:t xml:space="preserve"> </w:t>
      </w:r>
    </w:p>
    <w:p w14:paraId="1BC12A81" w14:textId="77777777" w:rsidR="0082284D" w:rsidRDefault="0082284D" w:rsidP="0082284D">
      <w:pPr>
        <w:pStyle w:val="Hesber"/>
        <w:rPr>
          <w:rtl/>
        </w:rPr>
      </w:pPr>
      <w:r>
        <w:rPr>
          <w:rFonts w:hint="cs"/>
          <w:rtl/>
        </w:rPr>
        <w:t xml:space="preserve">בעקבות המלחמה חלה עלייה במספר מקרי ההתאבדות בקרב חיילי צה"ל, בשירות סדיר ובמילואים, </w:t>
      </w:r>
      <w:r>
        <w:rPr>
          <w:rFonts w:hint="cs"/>
          <w:rtl/>
        </w:rPr>
        <w:lastRenderedPageBreak/>
        <w:t>כתוצאה</w:t>
      </w:r>
      <w:r w:rsidRPr="00184A9F">
        <w:rPr>
          <w:rtl/>
        </w:rPr>
        <w:t xml:space="preserve"> ממצוקה נפשית עמוקה ומקושי לעבד את חוויות הלחימה הקשות והמראות </w:t>
      </w:r>
      <w:r>
        <w:rPr>
          <w:rFonts w:hint="cs"/>
          <w:rtl/>
        </w:rPr>
        <w:t>ש</w:t>
      </w:r>
      <w:r w:rsidRPr="00184A9F">
        <w:rPr>
          <w:rtl/>
        </w:rPr>
        <w:t xml:space="preserve">אליהם נחשפו,  </w:t>
      </w:r>
      <w:r>
        <w:rPr>
          <w:rFonts w:hint="cs"/>
          <w:rtl/>
        </w:rPr>
        <w:t>ש</w:t>
      </w:r>
      <w:r w:rsidRPr="00184A9F">
        <w:rPr>
          <w:rtl/>
        </w:rPr>
        <w:t xml:space="preserve">פגעו </w:t>
      </w:r>
      <w:r>
        <w:rPr>
          <w:rFonts w:hint="cs"/>
          <w:rtl/>
        </w:rPr>
        <w:t>מאד</w:t>
      </w:r>
      <w:r w:rsidRPr="00184A9F">
        <w:rPr>
          <w:rtl/>
        </w:rPr>
        <w:t xml:space="preserve"> בתפקודם היום-יומי</w:t>
      </w:r>
      <w:r>
        <w:rPr>
          <w:rFonts w:hint="cs"/>
          <w:rtl/>
        </w:rPr>
        <w:t>.</w:t>
      </w:r>
    </w:p>
    <w:p w14:paraId="5C8848D7" w14:textId="03771471" w:rsidR="0082284D" w:rsidRPr="00ED722C" w:rsidRDefault="0082284D" w:rsidP="0082284D">
      <w:pPr>
        <w:pStyle w:val="Hesber"/>
        <w:rPr>
          <w:rtl/>
        </w:rPr>
      </w:pPr>
      <w:r w:rsidRPr="00ED722C">
        <w:rPr>
          <w:rtl/>
        </w:rPr>
        <w:t xml:space="preserve"> כאות הערכה והוקרה של המדינה על תרומתם למאמץ הביטחוני ו</w:t>
      </w:r>
      <w:r>
        <w:rPr>
          <w:rFonts w:hint="cs"/>
          <w:rtl/>
        </w:rPr>
        <w:t>לנוכח</w:t>
      </w:r>
      <w:r w:rsidRPr="00ED722C">
        <w:rPr>
          <w:rtl/>
        </w:rPr>
        <w:t xml:space="preserve"> המחיר הכבד ששילמו במותם</w:t>
      </w:r>
      <w:r>
        <w:rPr>
          <w:rFonts w:hint="cs"/>
          <w:rtl/>
        </w:rPr>
        <w:t xml:space="preserve"> כתוצאה מכך</w:t>
      </w:r>
      <w:r w:rsidRPr="00ED722C">
        <w:rPr>
          <w:rFonts w:hint="cs"/>
          <w:rtl/>
        </w:rPr>
        <w:t>, מוצע</w:t>
      </w:r>
      <w:r w:rsidRPr="00ED722C">
        <w:rPr>
          <w:rtl/>
        </w:rPr>
        <w:t xml:space="preserve"> להרחיב את מעגל הזכאים </w:t>
      </w:r>
      <w:r w:rsidRPr="00ED722C">
        <w:rPr>
          <w:rFonts w:hint="cs"/>
          <w:rtl/>
        </w:rPr>
        <w:t xml:space="preserve">לפי חוק משפחות חיילים שנספו במערכה </w:t>
      </w:r>
      <w:r w:rsidRPr="00ED722C">
        <w:rPr>
          <w:rtl/>
        </w:rPr>
        <w:t xml:space="preserve">(תגמולים ושיקום), </w:t>
      </w:r>
      <w:proofErr w:type="spellStart"/>
      <w:r w:rsidRPr="00ED722C">
        <w:rPr>
          <w:rFonts w:hint="eastAsia"/>
          <w:rtl/>
        </w:rPr>
        <w:t>התש</w:t>
      </w:r>
      <w:r w:rsidRPr="00ED722C">
        <w:rPr>
          <w:rtl/>
        </w:rPr>
        <w:t>"י</w:t>
      </w:r>
      <w:proofErr w:type="spellEnd"/>
      <w:r w:rsidRPr="00ED722C">
        <w:rPr>
          <w:rFonts w:hint="eastAsia"/>
          <w:rtl/>
        </w:rPr>
        <w:t>–</w:t>
      </w:r>
      <w:r w:rsidRPr="00ED722C">
        <w:rPr>
          <w:rtl/>
        </w:rPr>
        <w:t>1950</w:t>
      </w:r>
      <w:r w:rsidRPr="00ED722C">
        <w:rPr>
          <w:rFonts w:hint="cs"/>
          <w:rtl/>
        </w:rPr>
        <w:t>,</w:t>
      </w:r>
      <w:r>
        <w:rPr>
          <w:rFonts w:hint="cs"/>
          <w:rtl/>
        </w:rPr>
        <w:t xml:space="preserve"> ולהכיר במי שנספה כתוצאה משליחת יד בנפשו</w:t>
      </w:r>
      <w:r w:rsidRPr="00ED722C">
        <w:rPr>
          <w:rFonts w:hint="cs"/>
          <w:rtl/>
        </w:rPr>
        <w:t xml:space="preserve"> במהלך מלחמת חרבות ברזל</w:t>
      </w:r>
      <w:r>
        <w:rPr>
          <w:rFonts w:hint="cs"/>
          <w:rtl/>
        </w:rPr>
        <w:t xml:space="preserve">, </w:t>
      </w:r>
      <w:r w:rsidRPr="00ED722C">
        <w:rPr>
          <w:rtl/>
        </w:rPr>
        <w:t>כחלל צה"ל</w:t>
      </w:r>
      <w:r w:rsidR="0080340D">
        <w:rPr>
          <w:rFonts w:hint="cs"/>
          <w:rtl/>
        </w:rPr>
        <w:t>,</w:t>
      </w:r>
      <w:r w:rsidRPr="00ED722C">
        <w:rPr>
          <w:rtl/>
        </w:rPr>
        <w:t xml:space="preserve"> </w:t>
      </w:r>
      <w:r w:rsidRPr="00ED722C">
        <w:rPr>
          <w:rFonts w:hint="cs"/>
          <w:rtl/>
        </w:rPr>
        <w:t>ובלבד ש</w:t>
      </w:r>
      <w:r>
        <w:rPr>
          <w:rtl/>
        </w:rPr>
        <w:t>שירת</w:t>
      </w:r>
      <w:r>
        <w:rPr>
          <w:rFonts w:hint="cs"/>
          <w:rtl/>
        </w:rPr>
        <w:t xml:space="preserve"> 100</w:t>
      </w:r>
      <w:r>
        <w:rPr>
          <w:rtl/>
        </w:rPr>
        <w:t xml:space="preserve"> ימים לפחות בשירות </w:t>
      </w:r>
      <w:r>
        <w:rPr>
          <w:rFonts w:hint="cs"/>
          <w:rtl/>
        </w:rPr>
        <w:t>צבאי במהלך המלחמה</w:t>
      </w:r>
      <w:r w:rsidRPr="00ED722C">
        <w:rPr>
          <w:rFonts w:hint="cs"/>
          <w:rtl/>
        </w:rPr>
        <w:t xml:space="preserve"> וטרם </w:t>
      </w:r>
      <w:r>
        <w:rPr>
          <w:rFonts w:hint="cs"/>
          <w:rtl/>
        </w:rPr>
        <w:t>חלפו שנתיים מיום השחרור מהשירות או מתום התקופה שבה עמדה בתוקף ההכרזה על מצב מיוחד בעורף שהוכרזה בתחילת אותה מלחמה, לפי המאוחר</w:t>
      </w:r>
      <w:r w:rsidRPr="00ED722C">
        <w:rPr>
          <w:rFonts w:hint="cs"/>
          <w:rtl/>
        </w:rPr>
        <w:t xml:space="preserve">. </w:t>
      </w:r>
    </w:p>
    <w:p w14:paraId="7F6961CB" w14:textId="7DBABDD4" w:rsidR="00E13C27" w:rsidRPr="00ED722C" w:rsidRDefault="00E13C27" w:rsidP="00ED722C">
      <w:pPr>
        <w:pStyle w:val="Hesber"/>
        <w:rPr>
          <w:rtl/>
        </w:rPr>
      </w:pPr>
    </w:p>
    <w:p w14:paraId="371F2634" w14:textId="77777777" w:rsidR="00102BC0" w:rsidRDefault="00CB4235">
      <w:pPr>
        <w:jc w:val="left"/>
      </w:pPr>
      <w:bookmarkStart w:id="0" w:name="selectedDocDateB"/>
      <w:bookmarkEnd w:id="0"/>
      <w:r>
        <w:rPr>
          <w:rFonts w:eastAsia="David" w:hint="cs"/>
          <w:sz w:val="26"/>
          <w:szCs w:val="26"/>
          <w:rtl/>
        </w:rPr>
        <w:t>--------------------------------</w:t>
      </w:r>
    </w:p>
    <w:p w14:paraId="410961A5" w14:textId="77777777" w:rsidR="00102BC0" w:rsidRDefault="00CB4235">
      <w:pPr>
        <w:jc w:val="left"/>
      </w:pPr>
      <w:r>
        <w:rPr>
          <w:rFonts w:eastAsia="David" w:hint="cs"/>
          <w:sz w:val="26"/>
          <w:szCs w:val="26"/>
          <w:rtl/>
        </w:rPr>
        <w:t>הוגשה ליו"ר הכנסת והסגנים</w:t>
      </w:r>
    </w:p>
    <w:p w14:paraId="1FF3DF18" w14:textId="77777777" w:rsidR="00102BC0" w:rsidRDefault="00CB4235">
      <w:pPr>
        <w:jc w:val="left"/>
      </w:pPr>
      <w:r>
        <w:rPr>
          <w:rFonts w:eastAsia="David" w:hint="cs"/>
          <w:sz w:val="26"/>
          <w:szCs w:val="26"/>
          <w:rtl/>
        </w:rPr>
        <w:t>והונחה על שולחן הכנסת ביום</w:t>
      </w:r>
    </w:p>
    <w:p w14:paraId="69C261A0" w14:textId="77777777" w:rsidR="00102BC0" w:rsidRDefault="00CB4235">
      <w:pPr>
        <w:jc w:val="left"/>
      </w:pPr>
      <w:r>
        <w:rPr>
          <w:rFonts w:eastAsia="David" w:hint="cs"/>
          <w:sz w:val="26"/>
          <w:szCs w:val="26"/>
          <w:rtl/>
        </w:rPr>
        <w:t xml:space="preserve">כ"ג בסיוון </w:t>
      </w:r>
      <w:proofErr w:type="spellStart"/>
      <w:r>
        <w:rPr>
          <w:rFonts w:eastAsia="David" w:hint="cs"/>
          <w:sz w:val="26"/>
          <w:szCs w:val="26"/>
          <w:rtl/>
        </w:rPr>
        <w:t>התשפ"ו</w:t>
      </w:r>
      <w:proofErr w:type="spellEnd"/>
      <w:r>
        <w:rPr>
          <w:rFonts w:eastAsia="David" w:hint="cs"/>
          <w:sz w:val="26"/>
          <w:szCs w:val="26"/>
          <w:rtl/>
        </w:rPr>
        <w:t xml:space="preserve"> (08.06.2026) </w:t>
      </w:r>
    </w:p>
    <w:p w14:paraId="15AD5EEB" w14:textId="77777777" w:rsidR="00102BC0" w:rsidRDefault="00102BC0">
      <w:pPr>
        <w:spacing w:line="276" w:lineRule="auto"/>
        <w:jc w:val="left"/>
      </w:pPr>
    </w:p>
    <w:sectPr w:rsidR="00102BC0" w:rsidSect="000C07F3">
      <w:footerReference w:type="even" r:id="rId11"/>
      <w:footerReference w:type="default" r:id="rId12"/>
      <w:pgSz w:w="11907" w:h="16840" w:code="9"/>
      <w:pgMar w:top="1701" w:right="1134" w:bottom="1417" w:left="1134" w:header="680" w:footer="680" w:gutter="0"/>
      <w:cols w:space="720"/>
      <w:noEndnote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dasa Roso SL">
    <w:altName w:val="Times New Roman"/>
    <w:charset w:val="00"/>
    <w:family w:val="roman"/>
    <w:pitch w:val="variable"/>
    <w:sig w:usb0="80001827" w:usb1="5000004A" w:usb2="0000002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961D5" w14:textId="77777777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end"/>
    </w:r>
  </w:p>
  <w:p w14:paraId="7F6961D6" w14:textId="77777777" w:rsidR="002C3041" w:rsidRDefault="002C304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961D7" w14:textId="69FC4EEA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separate"/>
    </w:r>
    <w:r w:rsidR="00103CF8">
      <w:rPr>
        <w:rStyle w:val="ab"/>
        <w:noProof/>
        <w:rtl/>
      </w:rPr>
      <w:t>2</w:t>
    </w:r>
    <w:r>
      <w:rPr>
        <w:rStyle w:val="ab"/>
        <w:rtl/>
      </w:rPr>
      <w:fldChar w:fldCharType="end"/>
    </w:r>
  </w:p>
  <w:p w14:paraId="7F6961D8" w14:textId="77777777" w:rsidR="002C3041" w:rsidRDefault="002C30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674C0" w14:textId="77777777" w:rsidR="00D142D3" w:rsidRDefault="00D142D3" w:rsidP="000C07F3">
      <w:pPr>
        <w:ind w:left="0"/>
      </w:pPr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028BDB50" w14:textId="77777777" w:rsidR="0082284D" w:rsidRDefault="0082284D" w:rsidP="0082284D">
      <w:pPr>
        <w:pStyle w:val="a4"/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ס"ח </w:t>
      </w:r>
      <w:proofErr w:type="spellStart"/>
      <w:r>
        <w:rPr>
          <w:rFonts w:hint="cs"/>
          <w:rtl/>
        </w:rPr>
        <w:t>התש"י</w:t>
      </w:r>
      <w:proofErr w:type="spellEnd"/>
      <w:r>
        <w:rPr>
          <w:rFonts w:hint="cs"/>
          <w:rtl/>
        </w:rPr>
        <w:t>, עמ' 162.</w:t>
      </w:r>
    </w:p>
  </w:footnote>
  <w:footnote w:id="3">
    <w:p w14:paraId="4A6947DB" w14:textId="77777777" w:rsidR="0082284D" w:rsidRDefault="0082284D" w:rsidP="0082284D">
      <w:pPr>
        <w:pStyle w:val="a4"/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ס"ח </w:t>
      </w:r>
      <w:proofErr w:type="spellStart"/>
      <w:r>
        <w:rPr>
          <w:rFonts w:hint="cs"/>
          <w:rtl/>
        </w:rPr>
        <w:t>התשי"א</w:t>
      </w:r>
      <w:proofErr w:type="spellEnd"/>
      <w:r>
        <w:rPr>
          <w:rFonts w:hint="cs"/>
          <w:rtl/>
        </w:rPr>
        <w:t>, עמ' 78.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4943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A2EB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E00D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D24B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1685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CA2E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EA33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8CFF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38A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B85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3B28B0"/>
    <w:multiLevelType w:val="hybridMultilevel"/>
    <w:tmpl w:val="41ACEA96"/>
    <w:lvl w:ilvl="0" w:tplc="06A8C010">
      <w:start w:val="1"/>
      <w:numFmt w:val="decimal"/>
      <w:pStyle w:val="TOC3"/>
      <w:lvlText w:val="%1."/>
      <w:lvlJc w:val="left"/>
      <w:pPr>
        <w:ind w:left="1287" w:hanging="360"/>
      </w:pPr>
      <w:rPr>
        <w:rFonts w:cs="David"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2939057">
    <w:abstractNumId w:val="9"/>
  </w:num>
  <w:num w:numId="2" w16cid:durableId="82991101">
    <w:abstractNumId w:val="7"/>
  </w:num>
  <w:num w:numId="3" w16cid:durableId="1523129839">
    <w:abstractNumId w:val="6"/>
  </w:num>
  <w:num w:numId="4" w16cid:durableId="1238397927">
    <w:abstractNumId w:val="5"/>
  </w:num>
  <w:num w:numId="5" w16cid:durableId="1075009456">
    <w:abstractNumId w:val="4"/>
  </w:num>
  <w:num w:numId="6" w16cid:durableId="935673520">
    <w:abstractNumId w:val="8"/>
  </w:num>
  <w:num w:numId="7" w16cid:durableId="261380264">
    <w:abstractNumId w:val="3"/>
  </w:num>
  <w:num w:numId="8" w16cid:durableId="768738054">
    <w:abstractNumId w:val="2"/>
  </w:num>
  <w:num w:numId="9" w16cid:durableId="136653098">
    <w:abstractNumId w:val="1"/>
  </w:num>
  <w:num w:numId="10" w16cid:durableId="1868444735">
    <w:abstractNumId w:val="0"/>
  </w:num>
  <w:num w:numId="11" w16cid:durableId="2123109502">
    <w:abstractNumId w:val="12"/>
  </w:num>
  <w:num w:numId="12" w16cid:durableId="1632440111">
    <w:abstractNumId w:val="15"/>
  </w:num>
  <w:num w:numId="13" w16cid:durableId="156456721">
    <w:abstractNumId w:val="11"/>
  </w:num>
  <w:num w:numId="14" w16cid:durableId="1037512425">
    <w:abstractNumId w:val="16"/>
  </w:num>
  <w:num w:numId="15" w16cid:durableId="1402292241">
    <w:abstractNumId w:val="13"/>
  </w:num>
  <w:num w:numId="16" w16cid:durableId="1187208316">
    <w:abstractNumId w:val="13"/>
    <w:lvlOverride w:ilvl="0">
      <w:startOverride w:val="1"/>
    </w:lvlOverride>
  </w:num>
  <w:num w:numId="17" w16cid:durableId="203904755">
    <w:abstractNumId w:val="10"/>
  </w:num>
  <w:num w:numId="18" w16cid:durableId="14479645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12844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428880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28611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15B27"/>
    <w:rsid w:val="00055650"/>
    <w:rsid w:val="00063A3E"/>
    <w:rsid w:val="00070CC3"/>
    <w:rsid w:val="00072CAC"/>
    <w:rsid w:val="0007681A"/>
    <w:rsid w:val="000A542E"/>
    <w:rsid w:val="000C07F3"/>
    <w:rsid w:val="00102B6B"/>
    <w:rsid w:val="00102BC0"/>
    <w:rsid w:val="00103CF8"/>
    <w:rsid w:val="001052D4"/>
    <w:rsid w:val="0010644B"/>
    <w:rsid w:val="001207F8"/>
    <w:rsid w:val="00121924"/>
    <w:rsid w:val="001279A8"/>
    <w:rsid w:val="0014195F"/>
    <w:rsid w:val="00152609"/>
    <w:rsid w:val="00153E1B"/>
    <w:rsid w:val="00184A9F"/>
    <w:rsid w:val="001A0623"/>
    <w:rsid w:val="001C23B0"/>
    <w:rsid w:val="001D7AAF"/>
    <w:rsid w:val="00203A7F"/>
    <w:rsid w:val="0021633A"/>
    <w:rsid w:val="002200A1"/>
    <w:rsid w:val="00223161"/>
    <w:rsid w:val="002362BF"/>
    <w:rsid w:val="00241B97"/>
    <w:rsid w:val="002425D1"/>
    <w:rsid w:val="00246756"/>
    <w:rsid w:val="00251E58"/>
    <w:rsid w:val="00254605"/>
    <w:rsid w:val="00266D86"/>
    <w:rsid w:val="002728B4"/>
    <w:rsid w:val="0027600C"/>
    <w:rsid w:val="00292712"/>
    <w:rsid w:val="002A487D"/>
    <w:rsid w:val="002C2E29"/>
    <w:rsid w:val="002C3041"/>
    <w:rsid w:val="002D1EE3"/>
    <w:rsid w:val="002F1D80"/>
    <w:rsid w:val="003232A2"/>
    <w:rsid w:val="00325C14"/>
    <w:rsid w:val="00336939"/>
    <w:rsid w:val="0036422C"/>
    <w:rsid w:val="003710F6"/>
    <w:rsid w:val="00386E88"/>
    <w:rsid w:val="00396585"/>
    <w:rsid w:val="003D6E38"/>
    <w:rsid w:val="003D74A0"/>
    <w:rsid w:val="004033D8"/>
    <w:rsid w:val="004073F0"/>
    <w:rsid w:val="00412A7D"/>
    <w:rsid w:val="00416B4D"/>
    <w:rsid w:val="00417CFC"/>
    <w:rsid w:val="004629BE"/>
    <w:rsid w:val="004A06DC"/>
    <w:rsid w:val="004B24ED"/>
    <w:rsid w:val="004B6625"/>
    <w:rsid w:val="004C18A7"/>
    <w:rsid w:val="004D2D82"/>
    <w:rsid w:val="004D3876"/>
    <w:rsid w:val="004E4552"/>
    <w:rsid w:val="004E6CDF"/>
    <w:rsid w:val="00553C9D"/>
    <w:rsid w:val="00562A66"/>
    <w:rsid w:val="005B064E"/>
    <w:rsid w:val="005D51AE"/>
    <w:rsid w:val="0062674B"/>
    <w:rsid w:val="006363B2"/>
    <w:rsid w:val="00644940"/>
    <w:rsid w:val="006818A9"/>
    <w:rsid w:val="006A2D81"/>
    <w:rsid w:val="006C1D0D"/>
    <w:rsid w:val="0070601E"/>
    <w:rsid w:val="00712C72"/>
    <w:rsid w:val="00735FE9"/>
    <w:rsid w:val="00763CAA"/>
    <w:rsid w:val="00765F66"/>
    <w:rsid w:val="0078664F"/>
    <w:rsid w:val="007A27CE"/>
    <w:rsid w:val="007C3FA6"/>
    <w:rsid w:val="007D585A"/>
    <w:rsid w:val="007D5A12"/>
    <w:rsid w:val="007E59F9"/>
    <w:rsid w:val="0080340D"/>
    <w:rsid w:val="00810BCD"/>
    <w:rsid w:val="00812C98"/>
    <w:rsid w:val="00814D92"/>
    <w:rsid w:val="0082284D"/>
    <w:rsid w:val="0083181D"/>
    <w:rsid w:val="00843EB2"/>
    <w:rsid w:val="00865572"/>
    <w:rsid w:val="00874BBC"/>
    <w:rsid w:val="00892135"/>
    <w:rsid w:val="00895449"/>
    <w:rsid w:val="00897879"/>
    <w:rsid w:val="008A6870"/>
    <w:rsid w:val="008C2DDC"/>
    <w:rsid w:val="008C7516"/>
    <w:rsid w:val="008E6EC7"/>
    <w:rsid w:val="008F0D63"/>
    <w:rsid w:val="008F1308"/>
    <w:rsid w:val="008F2C35"/>
    <w:rsid w:val="008F6665"/>
    <w:rsid w:val="00902583"/>
    <w:rsid w:val="00904591"/>
    <w:rsid w:val="00905E5F"/>
    <w:rsid w:val="0091204F"/>
    <w:rsid w:val="009203DB"/>
    <w:rsid w:val="00923CD4"/>
    <w:rsid w:val="00930EFE"/>
    <w:rsid w:val="00943386"/>
    <w:rsid w:val="009456B6"/>
    <w:rsid w:val="00957589"/>
    <w:rsid w:val="00966D06"/>
    <w:rsid w:val="0097656D"/>
    <w:rsid w:val="00982412"/>
    <w:rsid w:val="00983A8D"/>
    <w:rsid w:val="009A0DB8"/>
    <w:rsid w:val="009A7257"/>
    <w:rsid w:val="009D6E0A"/>
    <w:rsid w:val="009E1E33"/>
    <w:rsid w:val="00A14672"/>
    <w:rsid w:val="00A26BD6"/>
    <w:rsid w:val="00A31710"/>
    <w:rsid w:val="00A34150"/>
    <w:rsid w:val="00A36DCA"/>
    <w:rsid w:val="00A443CF"/>
    <w:rsid w:val="00A6611D"/>
    <w:rsid w:val="00A82CB7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56A92"/>
    <w:rsid w:val="00B733A7"/>
    <w:rsid w:val="00B75C91"/>
    <w:rsid w:val="00B975AD"/>
    <w:rsid w:val="00BC45FB"/>
    <w:rsid w:val="00BC5C66"/>
    <w:rsid w:val="00BE5C3B"/>
    <w:rsid w:val="00BF148D"/>
    <w:rsid w:val="00C23B1A"/>
    <w:rsid w:val="00C310EB"/>
    <w:rsid w:val="00C90F7F"/>
    <w:rsid w:val="00C9176A"/>
    <w:rsid w:val="00CB4235"/>
    <w:rsid w:val="00CF1AA2"/>
    <w:rsid w:val="00D142D3"/>
    <w:rsid w:val="00D17774"/>
    <w:rsid w:val="00D63620"/>
    <w:rsid w:val="00D81B29"/>
    <w:rsid w:val="00D8410D"/>
    <w:rsid w:val="00D867D7"/>
    <w:rsid w:val="00D95271"/>
    <w:rsid w:val="00DB0A2F"/>
    <w:rsid w:val="00DB7060"/>
    <w:rsid w:val="00DE3153"/>
    <w:rsid w:val="00DE5CA9"/>
    <w:rsid w:val="00E06736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818CC"/>
    <w:rsid w:val="00E82C9E"/>
    <w:rsid w:val="00EA01E6"/>
    <w:rsid w:val="00EA3DE8"/>
    <w:rsid w:val="00EA758F"/>
    <w:rsid w:val="00ED4A6F"/>
    <w:rsid w:val="00ED722C"/>
    <w:rsid w:val="00EF3A3A"/>
    <w:rsid w:val="00F04FB9"/>
    <w:rsid w:val="00F05F77"/>
    <w:rsid w:val="00F628D6"/>
    <w:rsid w:val="00F67051"/>
    <w:rsid w:val="00F86A1E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C227AF87-955F-4646-AE3E-BAE4EEE5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C07F3"/>
    <w:pPr>
      <w:widowControl w:val="0"/>
      <w:bidi/>
      <w:spacing w:line="360" w:lineRule="auto"/>
      <w:ind w:left="340"/>
      <w:contextualSpacing/>
      <w:jc w:val="both"/>
    </w:pPr>
    <w:rPr>
      <w:rFonts w:ascii="David" w:eastAsiaTheme="minorHAnsi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07F3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0C07F3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0C07F3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0C07F3"/>
    <w:pPr>
      <w:numPr>
        <w:numId w:val="18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C07F3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0C07F3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0C07F3"/>
    <w:rPr>
      <w:sz w:val="36"/>
      <w:szCs w:val="52"/>
    </w:rPr>
  </w:style>
  <w:style w:type="paragraph" w:customStyle="1" w:styleId="Cover3-Haknesset">
    <w:name w:val="Cover 3-Haknesset"/>
    <w:basedOn w:val="Cover1-Reshumot"/>
    <w:rsid w:val="000C07F3"/>
    <w:rPr>
      <w:b/>
      <w:bCs/>
      <w:spacing w:val="60"/>
    </w:rPr>
  </w:style>
  <w:style w:type="paragraph" w:customStyle="1" w:styleId="Cover4-Date">
    <w:name w:val="Cover 4-Date"/>
    <w:basedOn w:val="a"/>
    <w:rsid w:val="000C07F3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0C07F3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">
    <w:name w:val="Head HatzaotHok"/>
    <w:basedOn w:val="a"/>
    <w:rsid w:val="000C07F3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4Futer">
    <w:name w:val="Head HatzaotHok4Futer"/>
    <w:basedOn w:val="HeadHatzaotHok"/>
    <w:rsid w:val="000C07F3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0C07F3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0C07F3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SideHeading">
    <w:name w:val="Table SideHeading"/>
    <w:basedOn w:val="TableText"/>
    <w:rsid w:val="000C07F3"/>
    <w:pPr>
      <w:outlineLvl w:val="2"/>
    </w:pPr>
  </w:style>
  <w:style w:type="paragraph" w:customStyle="1" w:styleId="TableBlock">
    <w:name w:val="Table Block"/>
    <w:basedOn w:val="TableText"/>
    <w:rsid w:val="000C07F3"/>
    <w:pPr>
      <w:jc w:val="both"/>
    </w:pPr>
  </w:style>
  <w:style w:type="paragraph" w:customStyle="1" w:styleId="TableHead">
    <w:name w:val="Table Head"/>
    <w:basedOn w:val="TableText"/>
    <w:rsid w:val="000C07F3"/>
    <w:pPr>
      <w:jc w:val="center"/>
      <w:outlineLvl w:val="1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0C07F3"/>
    <w:pPr>
      <w:outlineLvl w:val="9"/>
    </w:pPr>
  </w:style>
  <w:style w:type="paragraph" w:customStyle="1" w:styleId="Hesber">
    <w:name w:val="Hesber"/>
    <w:basedOn w:val="a"/>
    <w:rsid w:val="000C07F3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styleId="a4">
    <w:name w:val="footnote text"/>
    <w:basedOn w:val="a"/>
    <w:link w:val="a5"/>
    <w:autoRedefine/>
    <w:semiHidden/>
    <w:rsid w:val="000C07F3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styleId="a6">
    <w:name w:val="footnote reference"/>
    <w:aliases w:val="Footnote Reference"/>
    <w:basedOn w:val="a0"/>
    <w:semiHidden/>
    <w:rsid w:val="000C07F3"/>
    <w:rPr>
      <w:vertAlign w:val="superscript"/>
    </w:rPr>
  </w:style>
  <w:style w:type="paragraph" w:customStyle="1" w:styleId="HesberHeading">
    <w:name w:val="Hesber Heading"/>
    <w:basedOn w:val="Hesber"/>
    <w:rsid w:val="000C07F3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0C07F3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0C07F3"/>
    <w:pPr>
      <w:tabs>
        <w:tab w:val="left" w:pos="680"/>
        <w:tab w:val="left" w:pos="1020"/>
      </w:tabs>
      <w:ind w:firstLine="0"/>
    </w:pPr>
  </w:style>
  <w:style w:type="character" w:styleId="a7">
    <w:name w:val="endnote reference"/>
    <w:basedOn w:val="a0"/>
    <w:semiHidden/>
    <w:rsid w:val="000C07F3"/>
    <w:rPr>
      <w:vertAlign w:val="superscript"/>
    </w:rPr>
  </w:style>
  <w:style w:type="paragraph" w:customStyle="1" w:styleId="TableBlockOutdent">
    <w:name w:val="Table BlockOutdent"/>
    <w:basedOn w:val="TableBlock"/>
    <w:rsid w:val="000C07F3"/>
    <w:pPr>
      <w:ind w:left="624" w:hanging="624"/>
    </w:pPr>
  </w:style>
  <w:style w:type="paragraph" w:styleId="a8">
    <w:name w:val="header"/>
    <w:basedOn w:val="a"/>
    <w:rsid w:val="000C07F3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0C07F3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0C07F3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0C07F3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a">
    <w:name w:val="Title"/>
    <w:basedOn w:val="a"/>
    <w:qFormat/>
    <w:rsid w:val="00943386"/>
    <w:pPr>
      <w:jc w:val="center"/>
    </w:pPr>
    <w:rPr>
      <w:b/>
      <w:bCs/>
      <w:sz w:val="28"/>
      <w:szCs w:val="28"/>
      <w:u w:val="single"/>
    </w:rPr>
  </w:style>
  <w:style w:type="character" w:styleId="ab">
    <w:name w:val="page number"/>
    <w:basedOn w:val="a0"/>
    <w:rsid w:val="000C07F3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jc w:val="left"/>
    </w:pPr>
    <w:rPr>
      <w:sz w:val="26"/>
      <w:szCs w:val="26"/>
    </w:rPr>
  </w:style>
  <w:style w:type="paragraph" w:styleId="ac">
    <w:name w:val="Balloon Text"/>
    <w:basedOn w:val="a"/>
    <w:link w:val="ad"/>
    <w:semiHidden/>
    <w:unhideWhenUsed/>
    <w:rsid w:val="00325C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character" w:customStyle="1" w:styleId="a5">
    <w:name w:val="טקסט הערת שוליים תו"/>
    <w:basedOn w:val="a0"/>
    <w:link w:val="a4"/>
    <w:semiHidden/>
    <w:rsid w:val="00336939"/>
    <w:rPr>
      <w:rFonts w:ascii="Arial" w:eastAsia="Arial Unicode MS" w:hAnsi="Arial" w:cs="David"/>
      <w:snapToGrid w:val="0"/>
      <w:sz w:val="14"/>
    </w:rPr>
  </w:style>
  <w:style w:type="character" w:styleId="ae">
    <w:name w:val="annotation reference"/>
    <w:basedOn w:val="a0"/>
    <w:semiHidden/>
    <w:unhideWhenUsed/>
    <w:rsid w:val="00223161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223161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semiHidden/>
    <w:rsid w:val="00223161"/>
    <w:rPr>
      <w:rFonts w:ascii="Hadasa Roso SL" w:hAnsi="Hadasa Roso SL" w:cs="Hadasa Roso SL"/>
      <w:color w:val="000000"/>
      <w:spacing w:val="1"/>
      <w:lang w:eastAsia="ja-JP"/>
    </w:rPr>
  </w:style>
  <w:style w:type="paragraph" w:styleId="af1">
    <w:name w:val="annotation subject"/>
    <w:basedOn w:val="af"/>
    <w:next w:val="af"/>
    <w:link w:val="af2"/>
    <w:semiHidden/>
    <w:unhideWhenUsed/>
    <w:rsid w:val="00223161"/>
    <w:rPr>
      <w:b/>
      <w:bCs/>
    </w:rPr>
  </w:style>
  <w:style w:type="character" w:customStyle="1" w:styleId="af2">
    <w:name w:val="נושא הערה תו"/>
    <w:basedOn w:val="af0"/>
    <w:link w:val="af1"/>
    <w:semiHidden/>
    <w:rsid w:val="00223161"/>
    <w:rPr>
      <w:rFonts w:ascii="Hadasa Roso SL" w:hAnsi="Hadasa Roso SL" w:cs="Hadasa Roso SL"/>
      <w:b/>
      <w:bCs/>
      <w:color w:val="000000"/>
      <w:spacing w:val="1"/>
      <w:lang w:eastAsia="ja-JP"/>
    </w:rPr>
  </w:style>
  <w:style w:type="character" w:customStyle="1" w:styleId="10">
    <w:name w:val="כותרת 1 תו"/>
    <w:basedOn w:val="a0"/>
    <w:link w:val="1"/>
    <w:uiPriority w:val="9"/>
    <w:rsid w:val="000C07F3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20">
    <w:name w:val="כותרת 2 תו"/>
    <w:basedOn w:val="a0"/>
    <w:link w:val="2"/>
    <w:rsid w:val="000C07F3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30">
    <w:name w:val="כותרת 3 תו"/>
    <w:basedOn w:val="a0"/>
    <w:link w:val="3"/>
    <w:rsid w:val="000C07F3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40">
    <w:name w:val="כותרת 4 תו"/>
    <w:basedOn w:val="a0"/>
    <w:link w:val="4"/>
    <w:uiPriority w:val="9"/>
    <w:rsid w:val="000C07F3"/>
    <w:rPr>
      <w:rFonts w:ascii="David" w:eastAsiaTheme="minorHAnsi" w:hAnsi="David" w:cs="David"/>
      <w:b/>
      <w:bCs/>
      <w:color w:val="000000" w:themeColor="text1"/>
      <w:sz w:val="24"/>
      <w:szCs w:val="28"/>
    </w:rPr>
  </w:style>
  <w:style w:type="character" w:customStyle="1" w:styleId="50">
    <w:name w:val="כותרת 5 תו"/>
    <w:basedOn w:val="a0"/>
    <w:link w:val="5"/>
    <w:uiPriority w:val="9"/>
    <w:rsid w:val="000C07F3"/>
    <w:rPr>
      <w:rFonts w:ascii="David" w:eastAsiaTheme="minorHAnsi" w:hAnsi="David" w:cs="David"/>
      <w:color w:val="000000" w:themeColor="text1"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0C07F3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0C07F3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0C07F3"/>
    <w:pPr>
      <w:tabs>
        <w:tab w:val="right" w:leader="dot" w:pos="9628"/>
      </w:tabs>
      <w:spacing w:after="100"/>
    </w:pPr>
    <w:rPr>
      <w:szCs w:val="22"/>
    </w:rPr>
  </w:style>
  <w:style w:type="character" w:styleId="Hyperlink">
    <w:name w:val="Hyperlink"/>
    <w:basedOn w:val="a0"/>
    <w:uiPriority w:val="99"/>
    <w:unhideWhenUsed/>
    <w:rsid w:val="000C07F3"/>
    <w:rPr>
      <w:color w:val="0000FF" w:themeColor="hyperlink"/>
      <w:u w:val="single"/>
    </w:rPr>
  </w:style>
  <w:style w:type="paragraph" w:styleId="TOC3">
    <w:name w:val="toc 3"/>
    <w:basedOn w:val="a"/>
    <w:next w:val="a"/>
    <w:uiPriority w:val="39"/>
    <w:unhideWhenUsed/>
    <w:rsid w:val="000C07F3"/>
    <w:pPr>
      <w:numPr>
        <w:numId w:val="21"/>
      </w:numPr>
      <w:tabs>
        <w:tab w:val="right" w:leader="dot" w:pos="9629"/>
      </w:tabs>
      <w:spacing w:after="100"/>
      <w:ind w:left="811" w:hanging="35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0C07F3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0C07F3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0C07F3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0C07F3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0C07F3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0C07F3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0C07F3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0C07F3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0C07F3"/>
    <w:rPr>
      <w:rFonts w:eastAsia="Times New Roman"/>
    </w:rPr>
  </w:style>
  <w:style w:type="paragraph" w:styleId="af4">
    <w:name w:val="List Paragraph"/>
    <w:basedOn w:val="a"/>
    <w:uiPriority w:val="34"/>
    <w:qFormat/>
    <w:rsid w:val="000C07F3"/>
    <w:pPr>
      <w:widowControl/>
      <w:spacing w:line="259" w:lineRule="auto"/>
    </w:pPr>
    <w:rPr>
      <w:rFonts w:asciiTheme="minorHAnsi" w:hAnsiTheme="minorHAnsi"/>
      <w:sz w:val="22"/>
    </w:rPr>
  </w:style>
  <w:style w:type="table" w:styleId="af5">
    <w:name w:val="Table Grid"/>
    <w:basedOn w:val="a1"/>
    <w:rsid w:val="000C0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0C07F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0C07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6">
    <w:name w:val="טבלת חקיקה"/>
    <w:basedOn w:val="a1"/>
    <w:uiPriority w:val="99"/>
    <w:rsid w:val="000C07F3"/>
    <w:pPr>
      <w:jc w:val="center"/>
    </w:pPr>
    <w:rPr>
      <w:rFonts w:cstheme="minorBidi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0C07F3"/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3869E5-0CB9-44C5-993F-56A2E2106B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5E8ECB-5D39-40B0-B6BD-39A8A85D0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4AFE3-9455-419C-8851-785A55F44517}">
  <ds:schemaRefs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290d5b49-c690-4c6f-bbb9-1e50dab33ee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322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גיא לוי</cp:lastModifiedBy>
  <cp:revision>24</cp:revision>
  <cp:lastPrinted>2026-06-07T06:31:00Z</cp:lastPrinted>
  <dcterms:created xsi:type="dcterms:W3CDTF">2015-04-20T09:58:00Z</dcterms:created>
  <dcterms:modified xsi:type="dcterms:W3CDTF">2026-06-08T15:29:00Z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2243493</vt:r8>
  </property>
</Properties>
</file>