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02A76C" w14:textId="77777777" w:rsidR="00586D18" w:rsidRPr="00E635A2" w:rsidRDefault="00586D18" w:rsidP="00586D18">
      <w:pPr>
        <w:jc w:val="right"/>
        <w:rPr>
          <w:b/>
          <w:bCs/>
          <w:sz w:val="20"/>
          <w:szCs w:val="20"/>
        </w:rPr>
      </w:pPr>
      <w:r w:rsidRPr="00E635A2">
        <w:rPr>
          <w:rFonts w:hint="cs"/>
          <w:sz w:val="20"/>
          <w:szCs w:val="20"/>
          <w:rtl/>
        </w:rPr>
        <w:t xml:space="preserve">מספר פנימי: </w:t>
      </w:r>
      <w:r>
        <w:rPr>
          <w:rFonts w:hint="cs"/>
          <w:sz w:val="20"/>
          <w:szCs w:val="20"/>
          <w:rtl/>
        </w:rPr>
        <w:t>2243525</w:t>
      </w:r>
    </w:p>
    <w:p w14:paraId="1DDDA5B1" w14:textId="77777777" w:rsidR="00586D18" w:rsidRPr="00DB7060" w:rsidRDefault="00586D18" w:rsidP="00586D18">
      <w:pPr>
        <w:pStyle w:val="HeadHatzaotHok"/>
        <w:rPr>
          <w:sz w:val="28"/>
          <w:szCs w:val="28"/>
          <w:rtl/>
        </w:rPr>
      </w:pPr>
      <w:r w:rsidRPr="00DB7060">
        <w:rPr>
          <w:rFonts w:hint="cs"/>
          <w:sz w:val="28"/>
          <w:szCs w:val="28"/>
          <w:rtl/>
        </w:rPr>
        <w:t xml:space="preserve">הכנסת </w:t>
      </w:r>
      <w:r>
        <w:rPr>
          <w:rFonts w:hint="cs"/>
          <w:sz w:val="28"/>
          <w:szCs w:val="28"/>
          <w:rtl/>
        </w:rPr>
        <w:t>העשרים וחמש</w:t>
      </w:r>
    </w:p>
    <w:p w14:paraId="5B2A2767" w14:textId="77777777" w:rsidR="00586D18" w:rsidRPr="00F67051" w:rsidRDefault="00586D18" w:rsidP="00586D18">
      <w:pPr>
        <w:rPr>
          <w:b/>
          <w:bCs/>
          <w:sz w:val="26"/>
          <w:szCs w:val="26"/>
          <w:rtl/>
        </w:rPr>
      </w:pPr>
    </w:p>
    <w:p w14:paraId="769D7109" w14:textId="23B91E31" w:rsidR="00586D18" w:rsidRPr="00CF1AA2" w:rsidRDefault="00586D18" w:rsidP="00B02C61">
      <w:pPr>
        <w:pStyle w:val="David"/>
        <w:spacing w:before="102"/>
        <w:ind w:left="3544"/>
        <w:rPr>
          <w:b/>
          <w:bCs/>
          <w:sz w:val="16"/>
          <w:szCs w:val="16"/>
          <w:rtl/>
        </w:rPr>
      </w:pPr>
      <w:r>
        <w:rPr>
          <w:b/>
          <w:bCs/>
          <w:rtl/>
        </w:rPr>
        <w:t>יוזם:</w:t>
      </w:r>
      <w:r>
        <w:tab/>
      </w:r>
      <w:r>
        <w:rPr>
          <w:b/>
          <w:bCs/>
          <w:rtl/>
        </w:rPr>
        <w:t xml:space="preserve">      חבר הכנסת</w:t>
      </w:r>
      <w:r w:rsidRPr="00F67051">
        <w:rPr>
          <w:b/>
          <w:bCs/>
        </w:rPr>
        <w:tab/>
      </w:r>
      <w:r>
        <w:rPr>
          <w:rFonts w:hint="cs"/>
          <w:b/>
          <w:bCs/>
          <w:rtl/>
        </w:rPr>
        <w:t>יעקב טסלר</w:t>
      </w:r>
      <w:r>
        <w:rPr>
          <w:rtl/>
        </w:rPr>
        <w:t xml:space="preserve"> </w:t>
      </w:r>
      <w:r w:rsidRPr="00CF1AA2">
        <w:rPr>
          <w:rFonts w:hint="cs"/>
          <w:rtl/>
        </w:rPr>
        <w:tab/>
      </w:r>
      <w:r>
        <w:rPr>
          <w:rFonts w:hint="cs"/>
          <w:rtl/>
        </w:rPr>
        <w:t xml:space="preserve"> </w:t>
      </w:r>
    </w:p>
    <w:p w14:paraId="1106705E" w14:textId="77777777" w:rsidR="00586D18" w:rsidRPr="00904591" w:rsidRDefault="00586D18" w:rsidP="00586D18">
      <w:pPr>
        <w:pStyle w:val="David"/>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3F1170A2" w14:textId="6188D221" w:rsidR="00586D18" w:rsidRPr="00E06736" w:rsidRDefault="00586D18" w:rsidP="00B40833">
      <w:pPr>
        <w:pStyle w:val="David"/>
        <w:spacing w:line="240" w:lineRule="auto"/>
        <w:ind w:left="5704" w:firstLine="56"/>
        <w:rPr>
          <w:rtl/>
        </w:rPr>
      </w:pPr>
      <w:r>
        <w:t xml:space="preserve">       </w:t>
      </w:r>
      <w:r w:rsidR="00B02C61">
        <w:rPr>
          <w:rFonts w:hint="cs"/>
          <w:rtl/>
        </w:rPr>
        <w:t xml:space="preserve">     </w:t>
      </w:r>
      <w:r w:rsidR="00B40833">
        <w:rPr>
          <w:rFonts w:hint="cs"/>
          <w:rtl/>
        </w:rPr>
        <w:t>פ/6779/25</w:t>
      </w:r>
      <w:r>
        <w:t xml:space="preserve">                                      </w:t>
      </w:r>
      <w:r>
        <w:rPr>
          <w:rFonts w:hint="cs"/>
          <w:rtl/>
        </w:rPr>
        <w:t xml:space="preserve"> </w:t>
      </w:r>
    </w:p>
    <w:p w14:paraId="1B1AD052" w14:textId="77777777" w:rsidR="00586D18" w:rsidRDefault="00586D18" w:rsidP="00586D18">
      <w:pPr>
        <w:ind w:left="2880" w:firstLine="720"/>
        <w:rPr>
          <w:sz w:val="26"/>
          <w:szCs w:val="26"/>
          <w:rtl/>
        </w:rPr>
      </w:pPr>
    </w:p>
    <w:p w14:paraId="6EB6889E" w14:textId="1CA8E520" w:rsidR="00586D18" w:rsidRPr="00F67051" w:rsidRDefault="00586D18" w:rsidP="00586D18">
      <w:pPr>
        <w:pStyle w:val="HeadHatzaotHok"/>
        <w:rPr>
          <w:rtl/>
        </w:rPr>
      </w:pPr>
      <w:r>
        <w:rPr>
          <w:rFonts w:hint="cs"/>
          <w:rtl/>
        </w:rPr>
        <w:t>הצעת חוק התכנון והבני</w:t>
      </w:r>
      <w:r w:rsidR="00B40833">
        <w:rPr>
          <w:rFonts w:hint="cs"/>
          <w:rtl/>
        </w:rPr>
        <w:t xml:space="preserve">יה (תיקון – ערעור ברשות לחברי </w:t>
      </w:r>
      <w:r>
        <w:rPr>
          <w:rFonts w:hint="cs"/>
          <w:rtl/>
        </w:rPr>
        <w:t>ועדה מחוזית), התשפ"ו–2026</w:t>
      </w:r>
    </w:p>
    <w:p w14:paraId="6BA40364" w14:textId="77777777" w:rsidR="00586D18" w:rsidRDefault="00586D18" w:rsidP="00586D18">
      <w:pPr>
        <w:pStyle w:val="HeadDivreiHesber"/>
        <w:spacing w:before="0" w:after="0"/>
        <w:rPr>
          <w:rtl/>
        </w:rPr>
      </w:pPr>
    </w:p>
    <w:tbl>
      <w:tblPr>
        <w:bidiVisual/>
        <w:tblW w:w="9636" w:type="dxa"/>
        <w:tblLayout w:type="fixed"/>
        <w:tblCellMar>
          <w:top w:w="57" w:type="dxa"/>
          <w:left w:w="0" w:type="dxa"/>
          <w:bottom w:w="57" w:type="dxa"/>
          <w:right w:w="0" w:type="dxa"/>
        </w:tblCellMar>
        <w:tblLook w:val="01E0" w:firstRow="1" w:lastRow="1" w:firstColumn="1" w:lastColumn="1" w:noHBand="0" w:noVBand="0"/>
      </w:tblPr>
      <w:tblGrid>
        <w:gridCol w:w="1869"/>
        <w:gridCol w:w="624"/>
        <w:gridCol w:w="624"/>
        <w:gridCol w:w="624"/>
        <w:gridCol w:w="5895"/>
      </w:tblGrid>
      <w:tr w:rsidR="00586D18" w14:paraId="19D4E2CD" w14:textId="77777777" w:rsidTr="00B02C61">
        <w:trPr>
          <w:cantSplit/>
        </w:trPr>
        <w:tc>
          <w:tcPr>
            <w:tcW w:w="1869" w:type="dxa"/>
          </w:tcPr>
          <w:p w14:paraId="0E23060C" w14:textId="77777777" w:rsidR="00586D18" w:rsidRDefault="00586D18" w:rsidP="00C03365">
            <w:pPr>
              <w:pStyle w:val="TableSideHeading"/>
              <w:keepLines w:val="0"/>
            </w:pPr>
            <w:r>
              <w:rPr>
                <w:rFonts w:hint="cs"/>
                <w:rtl/>
              </w:rPr>
              <w:t>תיקון סעיף 110</w:t>
            </w:r>
          </w:p>
        </w:tc>
        <w:tc>
          <w:tcPr>
            <w:tcW w:w="624" w:type="dxa"/>
          </w:tcPr>
          <w:p w14:paraId="70ABB16E" w14:textId="32043466" w:rsidR="00586D18" w:rsidRDefault="00B02C61" w:rsidP="00B02C61">
            <w:pPr>
              <w:pStyle w:val="TableText"/>
              <w:keepLines w:val="0"/>
            </w:pPr>
            <w:r>
              <w:rPr>
                <w:rFonts w:hint="cs"/>
                <w:rtl/>
              </w:rPr>
              <w:t>1.</w:t>
            </w:r>
          </w:p>
        </w:tc>
        <w:tc>
          <w:tcPr>
            <w:tcW w:w="7143" w:type="dxa"/>
            <w:gridSpan w:val="3"/>
          </w:tcPr>
          <w:p w14:paraId="05C2B636" w14:textId="6CB0234F" w:rsidR="00586D18" w:rsidRPr="00C34DE2" w:rsidRDefault="00586D18" w:rsidP="00B02C61">
            <w:pPr>
              <w:pStyle w:val="TableBlock"/>
            </w:pPr>
            <w:r w:rsidRPr="003A05E2">
              <w:rPr>
                <w:rtl/>
              </w:rPr>
              <w:t>בחוק התכנון והבנ</w:t>
            </w:r>
            <w:r w:rsidR="00B02C61">
              <w:rPr>
                <w:rFonts w:hint="cs"/>
                <w:rtl/>
              </w:rPr>
              <w:t>י</w:t>
            </w:r>
            <w:r w:rsidRPr="003A05E2">
              <w:rPr>
                <w:rtl/>
              </w:rPr>
              <w:t>יה, התשכ"ה</w:t>
            </w:r>
            <w:r w:rsidR="00B02C61">
              <w:rPr>
                <w:rFonts w:hint="cs"/>
                <w:rtl/>
              </w:rPr>
              <w:t>–</w:t>
            </w:r>
            <w:r w:rsidRPr="003A05E2">
              <w:rPr>
                <w:rtl/>
              </w:rPr>
              <w:t>1965</w:t>
            </w:r>
            <w:r w:rsidRPr="00B02C61">
              <w:rPr>
                <w:rStyle w:val="a5"/>
                <w:rFonts w:ascii="David" w:hAnsi="David"/>
                <w:sz w:val="26"/>
                <w:rtl/>
              </w:rPr>
              <w:footnoteReference w:id="2"/>
            </w:r>
            <w:r w:rsidRPr="003A05E2">
              <w:rPr>
                <w:rtl/>
              </w:rPr>
              <w:t>,</w:t>
            </w:r>
            <w:r>
              <w:rPr>
                <w:rFonts w:hint="cs"/>
                <w:rtl/>
              </w:rPr>
              <w:t xml:space="preserve"> </w:t>
            </w:r>
            <w:r w:rsidRPr="003A05E2">
              <w:rPr>
                <w:rtl/>
              </w:rPr>
              <w:t>בסעיף 110</w:t>
            </w:r>
            <w:r>
              <w:rPr>
                <w:rFonts w:hint="cs"/>
                <w:rtl/>
              </w:rPr>
              <w:t xml:space="preserve"> –</w:t>
            </w:r>
          </w:p>
        </w:tc>
      </w:tr>
      <w:tr w:rsidR="00586D18" w14:paraId="2328984C" w14:textId="77777777" w:rsidTr="00B02C61">
        <w:trPr>
          <w:cantSplit/>
        </w:trPr>
        <w:tc>
          <w:tcPr>
            <w:tcW w:w="1869" w:type="dxa"/>
          </w:tcPr>
          <w:p w14:paraId="170D9A42" w14:textId="77777777" w:rsidR="00586D18" w:rsidRDefault="00586D18" w:rsidP="00C03365">
            <w:pPr>
              <w:pStyle w:val="TableSideHeading"/>
            </w:pPr>
          </w:p>
        </w:tc>
        <w:tc>
          <w:tcPr>
            <w:tcW w:w="624" w:type="dxa"/>
          </w:tcPr>
          <w:p w14:paraId="7FE389E6" w14:textId="77777777" w:rsidR="00586D18" w:rsidRDefault="00586D18" w:rsidP="00C03365">
            <w:pPr>
              <w:pStyle w:val="TableText"/>
              <w:jc w:val="both"/>
            </w:pPr>
          </w:p>
        </w:tc>
        <w:tc>
          <w:tcPr>
            <w:tcW w:w="7143" w:type="dxa"/>
            <w:gridSpan w:val="3"/>
          </w:tcPr>
          <w:p w14:paraId="572E3809" w14:textId="77777777" w:rsidR="00586D18" w:rsidRDefault="00586D18" w:rsidP="00B02C61">
            <w:pPr>
              <w:pStyle w:val="TableBlock"/>
            </w:pPr>
            <w:r>
              <w:rPr>
                <w:rFonts w:hint="cs"/>
                <w:rtl/>
              </w:rPr>
              <w:t>(1)</w:t>
            </w:r>
            <w:r>
              <w:rPr>
                <w:rtl/>
              </w:rPr>
              <w:tab/>
            </w:r>
            <w:r>
              <w:rPr>
                <w:rFonts w:hint="cs"/>
                <w:rtl/>
              </w:rPr>
              <w:t xml:space="preserve">בסעיף קטן </w:t>
            </w:r>
            <w:r>
              <w:t>)</w:t>
            </w:r>
            <w:r>
              <w:rPr>
                <w:rFonts w:hint="cs"/>
                <w:rtl/>
              </w:rPr>
              <w:t xml:space="preserve">א) </w:t>
            </w:r>
            <w:r>
              <w:rPr>
                <w:rFonts w:hint="eastAsia"/>
                <w:rtl/>
              </w:rPr>
              <w:t>–</w:t>
            </w:r>
            <w:r>
              <w:rPr>
                <w:rFonts w:hint="cs"/>
                <w:rtl/>
              </w:rPr>
              <w:t xml:space="preserve"> </w:t>
            </w:r>
          </w:p>
        </w:tc>
      </w:tr>
      <w:tr w:rsidR="00586D18" w14:paraId="1F634D8A" w14:textId="77777777" w:rsidTr="00B02C61">
        <w:trPr>
          <w:cantSplit/>
        </w:trPr>
        <w:tc>
          <w:tcPr>
            <w:tcW w:w="1869" w:type="dxa"/>
          </w:tcPr>
          <w:p w14:paraId="67676C15" w14:textId="77777777" w:rsidR="00586D18" w:rsidRDefault="00586D18" w:rsidP="00C03365">
            <w:pPr>
              <w:pStyle w:val="TableSideHeading"/>
            </w:pPr>
          </w:p>
        </w:tc>
        <w:tc>
          <w:tcPr>
            <w:tcW w:w="624" w:type="dxa"/>
          </w:tcPr>
          <w:p w14:paraId="05AA3E9E" w14:textId="77777777" w:rsidR="00586D18" w:rsidRDefault="00586D18" w:rsidP="00C03365">
            <w:pPr>
              <w:pStyle w:val="TableText"/>
            </w:pPr>
          </w:p>
        </w:tc>
        <w:tc>
          <w:tcPr>
            <w:tcW w:w="624" w:type="dxa"/>
          </w:tcPr>
          <w:p w14:paraId="6F30F6D5" w14:textId="77777777" w:rsidR="00586D18" w:rsidRDefault="00586D18" w:rsidP="00C03365">
            <w:pPr>
              <w:pStyle w:val="TableText"/>
            </w:pPr>
          </w:p>
        </w:tc>
        <w:tc>
          <w:tcPr>
            <w:tcW w:w="6519" w:type="dxa"/>
            <w:gridSpan w:val="2"/>
          </w:tcPr>
          <w:p w14:paraId="447A3580" w14:textId="1A0C802C" w:rsidR="00586D18" w:rsidRDefault="00586D18" w:rsidP="00B27CE2">
            <w:pPr>
              <w:pStyle w:val="TableBlock"/>
            </w:pPr>
            <w:r>
              <w:rPr>
                <w:rFonts w:hint="cs"/>
                <w:rtl/>
              </w:rPr>
              <w:t>(א)</w:t>
            </w:r>
            <w:r>
              <w:rPr>
                <w:rtl/>
              </w:rPr>
              <w:tab/>
            </w:r>
            <w:r w:rsidR="00B27CE2">
              <w:rPr>
                <w:rFonts w:hint="cs"/>
                <w:rtl/>
              </w:rPr>
              <w:t xml:space="preserve">בפסקה (1), פסקת משנה (א) </w:t>
            </w:r>
            <w:r>
              <w:rPr>
                <w:rFonts w:hint="eastAsia"/>
                <w:rtl/>
              </w:rPr>
              <w:t>–</w:t>
            </w:r>
            <w:r>
              <w:rPr>
                <w:rFonts w:hint="cs"/>
                <w:rtl/>
              </w:rPr>
              <w:t xml:space="preserve"> תימחק;</w:t>
            </w:r>
          </w:p>
        </w:tc>
      </w:tr>
      <w:tr w:rsidR="00586D18" w14:paraId="1CA36150" w14:textId="77777777" w:rsidTr="00B02C61">
        <w:trPr>
          <w:cantSplit/>
        </w:trPr>
        <w:tc>
          <w:tcPr>
            <w:tcW w:w="1869" w:type="dxa"/>
          </w:tcPr>
          <w:p w14:paraId="3FA25909" w14:textId="77777777" w:rsidR="00586D18" w:rsidRDefault="00586D18" w:rsidP="00C03365">
            <w:pPr>
              <w:pStyle w:val="TableSideHeading"/>
            </w:pPr>
          </w:p>
        </w:tc>
        <w:tc>
          <w:tcPr>
            <w:tcW w:w="624" w:type="dxa"/>
          </w:tcPr>
          <w:p w14:paraId="523E870F" w14:textId="77777777" w:rsidR="00586D18" w:rsidRDefault="00586D18" w:rsidP="00C03365">
            <w:pPr>
              <w:pStyle w:val="TableText"/>
            </w:pPr>
          </w:p>
        </w:tc>
        <w:tc>
          <w:tcPr>
            <w:tcW w:w="624" w:type="dxa"/>
          </w:tcPr>
          <w:p w14:paraId="43D02DA8" w14:textId="77777777" w:rsidR="00586D18" w:rsidRDefault="00586D18" w:rsidP="00C03365">
            <w:pPr>
              <w:pStyle w:val="TableText"/>
            </w:pPr>
          </w:p>
        </w:tc>
        <w:tc>
          <w:tcPr>
            <w:tcW w:w="6519" w:type="dxa"/>
            <w:gridSpan w:val="2"/>
          </w:tcPr>
          <w:p w14:paraId="24744C64" w14:textId="747797B4" w:rsidR="00586D18" w:rsidRDefault="00586D18" w:rsidP="00B27CE2">
            <w:pPr>
              <w:pStyle w:val="TableBlock"/>
              <w:rPr>
                <w:rtl/>
              </w:rPr>
            </w:pPr>
            <w:r>
              <w:rPr>
                <w:rFonts w:hint="cs"/>
                <w:rtl/>
              </w:rPr>
              <w:t>(ב)</w:t>
            </w:r>
            <w:r>
              <w:rPr>
                <w:rtl/>
              </w:rPr>
              <w:tab/>
            </w:r>
            <w:r w:rsidR="00B27CE2">
              <w:rPr>
                <w:rFonts w:hint="cs"/>
                <w:rtl/>
              </w:rPr>
              <w:t>בפסקה (2), בסופה יבוא:</w:t>
            </w:r>
          </w:p>
        </w:tc>
      </w:tr>
      <w:tr w:rsidR="00586D18" w14:paraId="2BA63BB2" w14:textId="77777777" w:rsidTr="00B02C61">
        <w:trPr>
          <w:cantSplit/>
        </w:trPr>
        <w:tc>
          <w:tcPr>
            <w:tcW w:w="1869" w:type="dxa"/>
          </w:tcPr>
          <w:p w14:paraId="42D8EA64" w14:textId="77777777" w:rsidR="00586D18" w:rsidRDefault="00586D18" w:rsidP="00C03365">
            <w:pPr>
              <w:pStyle w:val="TableSideHeading"/>
            </w:pPr>
          </w:p>
        </w:tc>
        <w:tc>
          <w:tcPr>
            <w:tcW w:w="624" w:type="dxa"/>
          </w:tcPr>
          <w:p w14:paraId="16A4DE3D" w14:textId="77777777" w:rsidR="00586D18" w:rsidRDefault="00586D18" w:rsidP="00C03365">
            <w:pPr>
              <w:pStyle w:val="TableText"/>
            </w:pPr>
          </w:p>
        </w:tc>
        <w:tc>
          <w:tcPr>
            <w:tcW w:w="624" w:type="dxa"/>
          </w:tcPr>
          <w:p w14:paraId="4DEE90D1" w14:textId="77777777" w:rsidR="00586D18" w:rsidRDefault="00586D18" w:rsidP="00C03365">
            <w:pPr>
              <w:pStyle w:val="TableText"/>
            </w:pPr>
          </w:p>
        </w:tc>
        <w:tc>
          <w:tcPr>
            <w:tcW w:w="624" w:type="dxa"/>
          </w:tcPr>
          <w:p w14:paraId="543686C7" w14:textId="77777777" w:rsidR="00586D18" w:rsidRDefault="00586D18" w:rsidP="00C03365">
            <w:pPr>
              <w:pStyle w:val="TableText"/>
            </w:pPr>
          </w:p>
        </w:tc>
        <w:tc>
          <w:tcPr>
            <w:tcW w:w="5895" w:type="dxa"/>
          </w:tcPr>
          <w:p w14:paraId="4ADD6CDD" w14:textId="463E294B" w:rsidR="00586D18" w:rsidRDefault="00586D18" w:rsidP="00B02C61">
            <w:pPr>
              <w:pStyle w:val="TableBlock"/>
            </w:pPr>
            <w:r>
              <w:rPr>
                <w:rFonts w:hint="cs"/>
                <w:rtl/>
              </w:rPr>
              <w:t>"(ד)</w:t>
            </w:r>
            <w:r>
              <w:rPr>
                <w:rtl/>
              </w:rPr>
              <w:tab/>
            </w:r>
            <w:r>
              <w:rPr>
                <w:rFonts w:hint="cs"/>
                <w:rtl/>
              </w:rPr>
              <w:t>ש</w:t>
            </w:r>
            <w:r w:rsidRPr="00BC3A28">
              <w:rPr>
                <w:rtl/>
              </w:rPr>
              <w:t>לושה חברי ה</w:t>
            </w:r>
            <w:r w:rsidR="00B27CE2">
              <w:rPr>
                <w:rFonts w:hint="cs"/>
                <w:rtl/>
              </w:rPr>
              <w:t>ו</w:t>
            </w:r>
            <w:r w:rsidRPr="00BC3A28">
              <w:rPr>
                <w:rtl/>
              </w:rPr>
              <w:t>ועדה המחוזית כאחד</w:t>
            </w:r>
            <w:r w:rsidR="00B27CE2">
              <w:rPr>
                <w:rFonts w:hint="cs"/>
                <w:rtl/>
              </w:rPr>
              <w:t>.";</w:t>
            </w:r>
          </w:p>
        </w:tc>
      </w:tr>
      <w:tr w:rsidR="00586D18" w14:paraId="5372B517" w14:textId="77777777" w:rsidTr="00B02C61">
        <w:trPr>
          <w:cantSplit/>
        </w:trPr>
        <w:tc>
          <w:tcPr>
            <w:tcW w:w="1869" w:type="dxa"/>
          </w:tcPr>
          <w:p w14:paraId="234CD43D" w14:textId="77777777" w:rsidR="00586D18" w:rsidRDefault="00586D18" w:rsidP="00C03365">
            <w:pPr>
              <w:pStyle w:val="TableSideHeading"/>
            </w:pPr>
          </w:p>
        </w:tc>
        <w:tc>
          <w:tcPr>
            <w:tcW w:w="624" w:type="dxa"/>
          </w:tcPr>
          <w:p w14:paraId="5576E0F4" w14:textId="77777777" w:rsidR="00586D18" w:rsidRDefault="00586D18" w:rsidP="00C03365">
            <w:pPr>
              <w:pStyle w:val="TableText"/>
              <w:jc w:val="both"/>
            </w:pPr>
          </w:p>
        </w:tc>
        <w:tc>
          <w:tcPr>
            <w:tcW w:w="7143" w:type="dxa"/>
            <w:gridSpan w:val="3"/>
          </w:tcPr>
          <w:p w14:paraId="4CA0E4B4" w14:textId="7C5B804E" w:rsidR="00586D18" w:rsidRDefault="00586D18" w:rsidP="00B02C61">
            <w:pPr>
              <w:pStyle w:val="TableBlock"/>
            </w:pPr>
            <w:r>
              <w:rPr>
                <w:rFonts w:hint="cs"/>
                <w:rtl/>
              </w:rPr>
              <w:t>(2)</w:t>
            </w:r>
            <w:r>
              <w:rPr>
                <w:rtl/>
              </w:rPr>
              <w:tab/>
            </w:r>
            <w:r w:rsidR="00B27CE2">
              <w:rPr>
                <w:rFonts w:hint="cs"/>
                <w:rtl/>
              </w:rPr>
              <w:t xml:space="preserve">בסעיף קטן (ב), </w:t>
            </w:r>
            <w:r>
              <w:rPr>
                <w:rFonts w:hint="cs"/>
                <w:rtl/>
              </w:rPr>
              <w:t>בסופו יבוא "החלטה כאמו</w:t>
            </w:r>
            <w:r w:rsidR="00B27CE2">
              <w:rPr>
                <w:rFonts w:hint="cs"/>
                <w:rtl/>
              </w:rPr>
              <w:t>ר תהיה מנומקת ובכתב";</w:t>
            </w:r>
            <w:r>
              <w:rPr>
                <w:rFonts w:hint="cs"/>
                <w:rtl/>
              </w:rPr>
              <w:t xml:space="preserve"> </w:t>
            </w:r>
          </w:p>
        </w:tc>
      </w:tr>
      <w:tr w:rsidR="00586D18" w14:paraId="3958F5DF" w14:textId="77777777" w:rsidTr="00B02C61">
        <w:trPr>
          <w:cantSplit/>
        </w:trPr>
        <w:tc>
          <w:tcPr>
            <w:tcW w:w="1869" w:type="dxa"/>
          </w:tcPr>
          <w:p w14:paraId="729A1C2D" w14:textId="77777777" w:rsidR="00586D18" w:rsidRDefault="00586D18" w:rsidP="00C03365">
            <w:pPr>
              <w:pStyle w:val="TableSideHeading"/>
            </w:pPr>
          </w:p>
        </w:tc>
        <w:tc>
          <w:tcPr>
            <w:tcW w:w="624" w:type="dxa"/>
          </w:tcPr>
          <w:p w14:paraId="1D37EEF9" w14:textId="77777777" w:rsidR="00586D18" w:rsidRDefault="00586D18" w:rsidP="00C03365">
            <w:pPr>
              <w:pStyle w:val="TableText"/>
            </w:pPr>
          </w:p>
        </w:tc>
        <w:tc>
          <w:tcPr>
            <w:tcW w:w="7143" w:type="dxa"/>
            <w:gridSpan w:val="3"/>
          </w:tcPr>
          <w:p w14:paraId="05D78D6B" w14:textId="14DBFCE1" w:rsidR="00586D18" w:rsidRDefault="00586D18" w:rsidP="00B02C61">
            <w:pPr>
              <w:pStyle w:val="TableBlock"/>
              <w:rPr>
                <w:rtl/>
              </w:rPr>
            </w:pPr>
            <w:r>
              <w:rPr>
                <w:rFonts w:hint="cs"/>
                <w:rtl/>
              </w:rPr>
              <w:t>(3)</w:t>
            </w:r>
            <w:r>
              <w:rPr>
                <w:rtl/>
              </w:rPr>
              <w:tab/>
            </w:r>
            <w:r w:rsidR="00B27CE2">
              <w:rPr>
                <w:rtl/>
              </w:rPr>
              <w:t>אחרי סעיף קטן (ב) יב</w:t>
            </w:r>
            <w:r w:rsidR="00B27CE2">
              <w:rPr>
                <w:rFonts w:hint="cs"/>
                <w:rtl/>
              </w:rPr>
              <w:t>וא:</w:t>
            </w:r>
          </w:p>
        </w:tc>
      </w:tr>
      <w:tr w:rsidR="00586D18" w14:paraId="1F2E48E5" w14:textId="77777777" w:rsidTr="00B02C61">
        <w:trPr>
          <w:cantSplit/>
        </w:trPr>
        <w:tc>
          <w:tcPr>
            <w:tcW w:w="1869" w:type="dxa"/>
          </w:tcPr>
          <w:p w14:paraId="24DD481A" w14:textId="77777777" w:rsidR="00586D18" w:rsidRDefault="00586D18" w:rsidP="00C03365">
            <w:pPr>
              <w:pStyle w:val="TableSideHeading"/>
            </w:pPr>
          </w:p>
        </w:tc>
        <w:tc>
          <w:tcPr>
            <w:tcW w:w="624" w:type="dxa"/>
          </w:tcPr>
          <w:p w14:paraId="5823C9FC" w14:textId="77777777" w:rsidR="00586D18" w:rsidRDefault="00586D18" w:rsidP="00C03365">
            <w:pPr>
              <w:pStyle w:val="TableText"/>
              <w:jc w:val="both"/>
            </w:pPr>
          </w:p>
        </w:tc>
        <w:tc>
          <w:tcPr>
            <w:tcW w:w="624" w:type="dxa"/>
          </w:tcPr>
          <w:p w14:paraId="7008BFC1" w14:textId="77777777" w:rsidR="00586D18" w:rsidRDefault="00586D18" w:rsidP="00C03365">
            <w:pPr>
              <w:pStyle w:val="TableText"/>
              <w:jc w:val="both"/>
            </w:pPr>
          </w:p>
        </w:tc>
        <w:tc>
          <w:tcPr>
            <w:tcW w:w="6519" w:type="dxa"/>
            <w:gridSpan w:val="2"/>
          </w:tcPr>
          <w:p w14:paraId="1AB14EF2" w14:textId="361F5C19" w:rsidR="00586D18" w:rsidRDefault="00586D18" w:rsidP="00B27CE2">
            <w:pPr>
              <w:pStyle w:val="TableBlock"/>
            </w:pPr>
            <w:r>
              <w:rPr>
                <w:rFonts w:hint="cs"/>
                <w:rtl/>
              </w:rPr>
              <w:t>"(ב</w:t>
            </w:r>
            <w:r w:rsidR="00B27CE2">
              <w:rPr>
                <w:rFonts w:hint="cs"/>
                <w:rtl/>
              </w:rPr>
              <w:t>1</w:t>
            </w:r>
            <w:r>
              <w:rPr>
                <w:rFonts w:hint="cs"/>
                <w:rtl/>
              </w:rPr>
              <w:t>)</w:t>
            </w:r>
            <w:r w:rsidR="00B02C61">
              <w:rPr>
                <w:rtl/>
              </w:rPr>
              <w:tab/>
            </w:r>
            <w:r w:rsidRPr="003A05E2">
              <w:rPr>
                <w:rtl/>
              </w:rPr>
              <w:t xml:space="preserve">רשות </w:t>
            </w:r>
            <w:r>
              <w:rPr>
                <w:rFonts w:hint="cs"/>
                <w:rtl/>
              </w:rPr>
              <w:t xml:space="preserve">כאמור בסעיף קטן (ב) תינתן אם שוכנע יושב ראש הוועדה המחוזית </w:t>
            </w:r>
            <w:r>
              <w:rPr>
                <w:rtl/>
              </w:rPr>
              <w:t xml:space="preserve">כי </w:t>
            </w:r>
            <w:r>
              <w:rPr>
                <w:rFonts w:hint="cs"/>
                <w:rtl/>
              </w:rPr>
              <w:t xml:space="preserve">נושא </w:t>
            </w:r>
            <w:r>
              <w:rPr>
                <w:rtl/>
              </w:rPr>
              <w:t xml:space="preserve">הערר </w:t>
            </w:r>
            <w:r>
              <w:rPr>
                <w:rFonts w:hint="cs"/>
                <w:rtl/>
              </w:rPr>
              <w:t>יש בו כדי להשפיע על מרחבי תכנון מקומיים נוספים או שהוא מעורר שאלה בעלת חשיבות משפטית או ציבורית.</w:t>
            </w:r>
            <w:r w:rsidR="00B02C61">
              <w:rPr>
                <w:rFonts w:hint="cs"/>
                <w:rtl/>
              </w:rPr>
              <w:t>"</w:t>
            </w:r>
          </w:p>
        </w:tc>
      </w:tr>
      <w:tr w:rsidR="00586D18" w14:paraId="67123F32" w14:textId="77777777" w:rsidTr="00B02C61">
        <w:trPr>
          <w:cantSplit/>
        </w:trPr>
        <w:tc>
          <w:tcPr>
            <w:tcW w:w="1869" w:type="dxa"/>
          </w:tcPr>
          <w:p w14:paraId="4DAF4EC2" w14:textId="77777777" w:rsidR="00586D18" w:rsidRDefault="00586D18" w:rsidP="00C03365">
            <w:pPr>
              <w:pStyle w:val="TableSideHeading"/>
              <w:keepLines w:val="0"/>
              <w:rPr>
                <w:rtl/>
              </w:rPr>
            </w:pPr>
            <w:r>
              <w:rPr>
                <w:rFonts w:hint="cs"/>
                <w:rtl/>
              </w:rPr>
              <w:t>תחילה</w:t>
            </w:r>
          </w:p>
        </w:tc>
        <w:tc>
          <w:tcPr>
            <w:tcW w:w="624" w:type="dxa"/>
          </w:tcPr>
          <w:p w14:paraId="596D52F3" w14:textId="501EDB6D" w:rsidR="00586D18" w:rsidRDefault="00B02C61" w:rsidP="00B02C61">
            <w:pPr>
              <w:pStyle w:val="TableText"/>
              <w:keepLines w:val="0"/>
              <w:rPr>
                <w:rtl/>
              </w:rPr>
            </w:pPr>
            <w:r>
              <w:rPr>
                <w:rFonts w:hint="cs"/>
                <w:rtl/>
              </w:rPr>
              <w:t>2.</w:t>
            </w:r>
          </w:p>
        </w:tc>
        <w:tc>
          <w:tcPr>
            <w:tcW w:w="7143" w:type="dxa"/>
            <w:gridSpan w:val="3"/>
          </w:tcPr>
          <w:p w14:paraId="52141263" w14:textId="6BC9C0D2" w:rsidR="00586D18" w:rsidRPr="00B02C61" w:rsidRDefault="00586D18" w:rsidP="00B02C61">
            <w:pPr>
              <w:pStyle w:val="TableBlock"/>
              <w:rPr>
                <w:rtl/>
              </w:rPr>
            </w:pPr>
            <w:r w:rsidRPr="00B02C61">
              <w:rPr>
                <w:rtl/>
              </w:rPr>
              <w:t>תחילתו של חוק זה 30 ימים מיום פרסומו</w:t>
            </w:r>
            <w:r w:rsidR="00B27CE2">
              <w:rPr>
                <w:rFonts w:hint="cs"/>
                <w:rtl/>
              </w:rPr>
              <w:t xml:space="preserve"> (להלן </w:t>
            </w:r>
            <w:r w:rsidR="00B27CE2">
              <w:rPr>
                <w:rFonts w:hint="eastAsia"/>
                <w:rtl/>
              </w:rPr>
              <w:t>–</w:t>
            </w:r>
            <w:r w:rsidR="00B27CE2">
              <w:rPr>
                <w:rFonts w:hint="cs"/>
                <w:rtl/>
              </w:rPr>
              <w:t xml:space="preserve"> יום התחילה)</w:t>
            </w:r>
            <w:r w:rsidRPr="00B02C61">
              <w:rPr>
                <w:rFonts w:hint="cs"/>
                <w:rtl/>
              </w:rPr>
              <w:t>, והוא יחול על החלטת ועדה מחוזית שניתנה ביום התחילה ואילך.</w:t>
            </w:r>
          </w:p>
        </w:tc>
      </w:tr>
    </w:tbl>
    <w:p w14:paraId="420F5C32" w14:textId="77777777" w:rsidR="00586D18" w:rsidRDefault="00586D18" w:rsidP="00586D18">
      <w:pPr>
        <w:pStyle w:val="HeadDivreiHesber"/>
        <w:rPr>
          <w:rtl/>
        </w:rPr>
      </w:pPr>
      <w:r w:rsidRPr="0027450A">
        <w:rPr>
          <w:rFonts w:hint="cs"/>
          <w:rtl/>
        </w:rPr>
        <w:t>דברי הסבר</w:t>
      </w:r>
    </w:p>
    <w:p w14:paraId="6250CDBE" w14:textId="7D5C6641" w:rsidR="00586D18" w:rsidRPr="003A05E2" w:rsidRDefault="00586D18" w:rsidP="00B02C61">
      <w:pPr>
        <w:pStyle w:val="Hesber"/>
      </w:pPr>
      <w:r w:rsidRPr="003A05E2">
        <w:rPr>
          <w:rtl/>
        </w:rPr>
        <w:t>סעיף 110 לחוק התכנון והבנ</w:t>
      </w:r>
      <w:r w:rsidR="00B02C61">
        <w:rPr>
          <w:rFonts w:hint="cs"/>
          <w:rtl/>
        </w:rPr>
        <w:t>י</w:t>
      </w:r>
      <w:r w:rsidRPr="003A05E2">
        <w:rPr>
          <w:rtl/>
        </w:rPr>
        <w:t>יה, התשכ"ה</w:t>
      </w:r>
      <w:r w:rsidR="00B02C61">
        <w:rPr>
          <w:rFonts w:hint="cs"/>
          <w:rtl/>
        </w:rPr>
        <w:t>–</w:t>
      </w:r>
      <w:r w:rsidRPr="003A05E2">
        <w:rPr>
          <w:rtl/>
        </w:rPr>
        <w:t xml:space="preserve">1965, מסדיר את הזכות לערור בפני המועצה הארצית </w:t>
      </w:r>
      <w:r w:rsidR="00B27CE2">
        <w:rPr>
          <w:rFonts w:hint="cs"/>
          <w:rtl/>
        </w:rPr>
        <w:t xml:space="preserve">לתכנון ובנייה </w:t>
      </w:r>
      <w:r w:rsidRPr="003A05E2">
        <w:rPr>
          <w:rtl/>
        </w:rPr>
        <w:t>על החלטת ועדה מחוזית בדבר אישור ת</w:t>
      </w:r>
      <w:r w:rsidR="00B02C61">
        <w:rPr>
          <w:rFonts w:hint="cs"/>
          <w:rtl/>
        </w:rPr>
        <w:t>ו</w:t>
      </w:r>
      <w:r w:rsidRPr="003A05E2">
        <w:rPr>
          <w:rtl/>
        </w:rPr>
        <w:t>כנית או דחייתה. לפי הדין הקיים, שלושה חברי ועדה מחוזית כאחד רשאים להגיש ערר בזכות, ואילו מגיש הת</w:t>
      </w:r>
      <w:r w:rsidR="00B02C61">
        <w:rPr>
          <w:rFonts w:hint="cs"/>
          <w:rtl/>
        </w:rPr>
        <w:t>ו</w:t>
      </w:r>
      <w:r w:rsidRPr="003A05E2">
        <w:rPr>
          <w:rtl/>
        </w:rPr>
        <w:t>כנית, מי שהתנגדותו לת</w:t>
      </w:r>
      <w:r w:rsidR="00B02C61">
        <w:rPr>
          <w:rFonts w:hint="cs"/>
          <w:rtl/>
        </w:rPr>
        <w:t>ו</w:t>
      </w:r>
      <w:r w:rsidRPr="003A05E2">
        <w:rPr>
          <w:rtl/>
        </w:rPr>
        <w:t>כנית נדחתה ומי שהשמיע טענות לפי סעיף 106(ב) רשאים להגיש ערר רק ברשות יושב ראש הו</w:t>
      </w:r>
      <w:r w:rsidR="00B02C61">
        <w:rPr>
          <w:rFonts w:hint="cs"/>
          <w:rtl/>
        </w:rPr>
        <w:t>ו</w:t>
      </w:r>
      <w:r w:rsidRPr="003A05E2">
        <w:rPr>
          <w:rtl/>
        </w:rPr>
        <w:t>עדה המחוזית</w:t>
      </w:r>
      <w:r w:rsidRPr="003A05E2">
        <w:t>.</w:t>
      </w:r>
    </w:p>
    <w:p w14:paraId="50F1DB39" w14:textId="6C11F571" w:rsidR="00586D18" w:rsidRPr="003A05E2" w:rsidRDefault="00586D18" w:rsidP="00586D18">
      <w:pPr>
        <w:pStyle w:val="Hesber"/>
        <w:ind w:firstLine="0"/>
      </w:pPr>
      <w:r>
        <w:rPr>
          <w:rtl/>
        </w:rPr>
        <w:tab/>
      </w:r>
      <w:r w:rsidRPr="003A05E2">
        <w:rPr>
          <w:rtl/>
        </w:rPr>
        <w:t>מוצע לקבוע כי גם ערר המוגש בידי שלושה חברי הו</w:t>
      </w:r>
      <w:r w:rsidR="00B02C61">
        <w:rPr>
          <w:rFonts w:hint="cs"/>
          <w:rtl/>
        </w:rPr>
        <w:t>ו</w:t>
      </w:r>
      <w:r w:rsidRPr="003A05E2">
        <w:rPr>
          <w:rtl/>
        </w:rPr>
        <w:t xml:space="preserve">עדה המחוזית כאחד יוגש רק ברשות יושב </w:t>
      </w:r>
      <w:r w:rsidRPr="003A05E2">
        <w:rPr>
          <w:rtl/>
        </w:rPr>
        <w:lastRenderedPageBreak/>
        <w:t>ראש הו</w:t>
      </w:r>
      <w:r w:rsidR="00B02C61">
        <w:rPr>
          <w:rFonts w:hint="cs"/>
          <w:rtl/>
        </w:rPr>
        <w:t>ו</w:t>
      </w:r>
      <w:r w:rsidRPr="003A05E2">
        <w:rPr>
          <w:rtl/>
        </w:rPr>
        <w:t>עדה המחוזית. בכך תיווצר אמת מידה אחידה לכניסה למסלול הערר בפני המועצה הארצית, המבוססת על קיומו של עניין ציבורי בעל חשיבות מרחבית או מחוזית</w:t>
      </w:r>
      <w:r w:rsidRPr="003A05E2">
        <w:t>.</w:t>
      </w:r>
    </w:p>
    <w:p w14:paraId="207591FB" w14:textId="2C4C2886" w:rsidR="00586D18" w:rsidRPr="00B27CE2" w:rsidRDefault="00586D18" w:rsidP="00B27CE2">
      <w:pPr>
        <w:pStyle w:val="Hesber"/>
      </w:pPr>
      <w:r w:rsidRPr="00B27CE2">
        <w:rPr>
          <w:rtl/>
        </w:rPr>
        <w:t>הצעת החוק עולה בקנה אחד עם ההלכה הפסוקה, ובכלל זה בעניין בית הכרם, שלפיה מסלול הערר למועצה הארצית נועד למקרים החורגים מעניינה המקומי של הת</w:t>
      </w:r>
      <w:r w:rsidR="00B02C61" w:rsidRPr="00B27CE2">
        <w:rPr>
          <w:rFonts w:hint="cs"/>
          <w:rtl/>
        </w:rPr>
        <w:t>ו</w:t>
      </w:r>
      <w:r w:rsidRPr="00B27CE2">
        <w:rPr>
          <w:rtl/>
        </w:rPr>
        <w:t>כנית ומעוררים שאלה תכנונית בעלת חשיבות רחבה יותר. מאחר שזהו גם הרציונל הענייני שביסוד האפשרות של שלושה חברי ועדה מחוזית לפעול יחד, אין הצדקה להבחין בינם לבין יתר המבקשים לערור לעניין הצורך בקבלת רשות</w:t>
      </w:r>
      <w:r w:rsidRPr="00B27CE2">
        <w:t>.</w:t>
      </w:r>
    </w:p>
    <w:p w14:paraId="596E187C" w14:textId="50C13349" w:rsidR="00586D18" w:rsidRPr="00B27CE2" w:rsidRDefault="00586D18" w:rsidP="00B27CE2">
      <w:pPr>
        <w:pStyle w:val="Hesber"/>
      </w:pPr>
      <w:r w:rsidRPr="00B27CE2">
        <w:rPr>
          <w:rtl/>
        </w:rPr>
        <w:t>עוד מוצע לקבוע כי החלטת יושב ראש הו</w:t>
      </w:r>
      <w:r w:rsidR="00B02C61" w:rsidRPr="00B27CE2">
        <w:rPr>
          <w:rFonts w:hint="cs"/>
          <w:rtl/>
        </w:rPr>
        <w:t>ו</w:t>
      </w:r>
      <w:r w:rsidRPr="00B27CE2">
        <w:rPr>
          <w:rtl/>
        </w:rPr>
        <w:t>עדה המחוזית בבקשת רשות לערור תהיה בכתב ומנומקת, לשם חיזוק השקיפות, האחידות והביקורתיות בהפעלת הסמכות</w:t>
      </w:r>
      <w:r w:rsidR="00B27CE2">
        <w:rPr>
          <w:rFonts w:hint="cs"/>
          <w:rtl/>
        </w:rPr>
        <w:t>.</w:t>
      </w:r>
      <w:bookmarkStart w:id="0" w:name="_GoBack"/>
      <w:bookmarkEnd w:id="0"/>
    </w:p>
    <w:p w14:paraId="6FAE1FC4" w14:textId="196AD733" w:rsidR="00586D18" w:rsidRPr="00B27CE2" w:rsidRDefault="00586D18" w:rsidP="00B27CE2">
      <w:pPr>
        <w:pStyle w:val="Hesber"/>
      </w:pPr>
      <w:r w:rsidRPr="00B27CE2">
        <w:rPr>
          <w:rtl/>
        </w:rPr>
        <w:t>התיקון המוצע נועד גם לצמצם שימוש לא מידתי במנגנון הערר, שעלול לעכב את הליכי התכנון ולהכביד שלא לצורך על מוסדות התכנון, במקרים שבהם אין הצדקה תכנונית</w:t>
      </w:r>
      <w:r w:rsidR="00B02C61" w:rsidRPr="00B27CE2">
        <w:rPr>
          <w:rFonts w:hint="cs"/>
          <w:rtl/>
        </w:rPr>
        <w:t>–</w:t>
      </w:r>
      <w:r w:rsidRPr="00B27CE2">
        <w:rPr>
          <w:rtl/>
        </w:rPr>
        <w:t>ציבורית להבאת העניין לפתח המועצה הארצית</w:t>
      </w:r>
      <w:r w:rsidR="00B02C61" w:rsidRPr="00B27CE2">
        <w:rPr>
          <w:rFonts w:hint="cs"/>
          <w:rtl/>
        </w:rPr>
        <w:t>.</w:t>
      </w:r>
    </w:p>
    <w:p w14:paraId="0605906D" w14:textId="77777777" w:rsidR="00586D18" w:rsidRPr="003A05E2" w:rsidRDefault="00586D18" w:rsidP="00586D18">
      <w:pPr>
        <w:pStyle w:val="Hesber"/>
        <w:rPr>
          <w:rtl/>
        </w:rPr>
      </w:pPr>
    </w:p>
    <w:p w14:paraId="7F6961CB" w14:textId="6186101D" w:rsidR="00E13C27" w:rsidRPr="003A05E2" w:rsidRDefault="00E13C27" w:rsidP="00E13C27">
      <w:pPr>
        <w:pStyle w:val="Hesber"/>
        <w:rPr>
          <w:rtl/>
        </w:rPr>
      </w:pPr>
    </w:p>
    <w:p w14:paraId="37450CBD" w14:textId="77777777" w:rsidR="00CE6553" w:rsidRDefault="00B40833">
      <w:pPr>
        <w:jc w:val="left"/>
      </w:pPr>
      <w:bookmarkStart w:id="1" w:name="selectedDocDateB"/>
      <w:bookmarkEnd w:id="1"/>
      <w:r>
        <w:rPr>
          <w:rFonts w:eastAsia="David" w:hint="cs"/>
          <w:sz w:val="26"/>
          <w:szCs w:val="26"/>
          <w:rtl/>
        </w:rPr>
        <w:t>--------------------------------</w:t>
      </w:r>
    </w:p>
    <w:p w14:paraId="6F066DD2" w14:textId="77777777" w:rsidR="00CE6553" w:rsidRDefault="00B40833">
      <w:pPr>
        <w:jc w:val="left"/>
      </w:pPr>
      <w:r>
        <w:rPr>
          <w:rFonts w:eastAsia="David" w:hint="cs"/>
          <w:sz w:val="26"/>
          <w:szCs w:val="26"/>
          <w:rtl/>
        </w:rPr>
        <w:t>הוגשה ליו"ר הכנסת והסגנים</w:t>
      </w:r>
    </w:p>
    <w:p w14:paraId="64B01636" w14:textId="77777777" w:rsidR="00CE6553" w:rsidRDefault="00B40833">
      <w:pPr>
        <w:jc w:val="left"/>
      </w:pPr>
      <w:r>
        <w:rPr>
          <w:rFonts w:eastAsia="David" w:hint="cs"/>
          <w:sz w:val="26"/>
          <w:szCs w:val="26"/>
          <w:rtl/>
        </w:rPr>
        <w:t>והונחה על שולחן הכנסת ביום</w:t>
      </w:r>
    </w:p>
    <w:p w14:paraId="5250F872" w14:textId="77777777" w:rsidR="00CE6553" w:rsidRDefault="00B40833">
      <w:pPr>
        <w:jc w:val="left"/>
      </w:pPr>
      <w:r>
        <w:rPr>
          <w:rFonts w:eastAsia="David" w:hint="cs"/>
          <w:sz w:val="26"/>
          <w:szCs w:val="26"/>
          <w:rtl/>
        </w:rPr>
        <w:t xml:space="preserve">ז' בתמוז התשפ"ו (22.06.2026) </w:t>
      </w:r>
    </w:p>
    <w:p w14:paraId="6667CD8A" w14:textId="77777777" w:rsidR="00CE6553" w:rsidRDefault="00CE6553">
      <w:pPr>
        <w:spacing w:line="276" w:lineRule="auto"/>
        <w:jc w:val="left"/>
      </w:pPr>
    </w:p>
    <w:sectPr w:rsidR="00CE6553" w:rsidSect="00B02C61">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adasa Roso SL">
    <w:altName w:val="Times New Roman"/>
    <w:charset w:val="00"/>
    <w:family w:val="roman"/>
    <w:pitch w:val="variable"/>
    <w:sig w:usb0="80001827" w:usb1="5000004A" w:usb2="0000002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7AD656D4"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B27CE2">
      <w:rPr>
        <w:rStyle w:val="aa"/>
        <w:noProof/>
        <w:rtl/>
      </w:rPr>
      <w:t>2</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B02C61">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1E826092" w14:textId="443DE403" w:rsidR="00586D18" w:rsidRDefault="00586D18" w:rsidP="00586D18">
      <w:pPr>
        <w:pStyle w:val="a4"/>
        <w:rPr>
          <w:rtl/>
        </w:rPr>
      </w:pPr>
      <w:r>
        <w:rPr>
          <w:rStyle w:val="a5"/>
        </w:rPr>
        <w:footnoteRef/>
      </w:r>
      <w:r>
        <w:rPr>
          <w:rtl/>
        </w:rPr>
        <w:t xml:space="preserve"> </w:t>
      </w:r>
      <w:r>
        <w:rPr>
          <w:rFonts w:hint="cs"/>
          <w:rtl/>
        </w:rPr>
        <w:t xml:space="preserve">ס"ח </w:t>
      </w:r>
      <w:r w:rsidR="00B27CE2">
        <w:rPr>
          <w:rFonts w:hint="cs"/>
          <w:rtl/>
        </w:rPr>
        <w:t>התשכ"ח, עמ'</w:t>
      </w:r>
      <w:r>
        <w:rPr>
          <w:rFonts w:hint="cs"/>
          <w:rtl/>
        </w:rPr>
        <w:t xml:space="preserve"> 307.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905010"/>
    <w:multiLevelType w:val="hybridMultilevel"/>
    <w:tmpl w:val="6416FDF4"/>
    <w:lvl w:ilvl="0" w:tplc="636C8CF6">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04D2503"/>
    <w:multiLevelType w:val="hybridMultilevel"/>
    <w:tmpl w:val="3DD21646"/>
    <w:lvl w:ilvl="0" w:tplc="F6A019E2">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F372919"/>
    <w:multiLevelType w:val="hybridMultilevel"/>
    <w:tmpl w:val="57A4C7E6"/>
    <w:lvl w:ilvl="0" w:tplc="45E856E8">
      <w:start w:val="1"/>
      <w:numFmt w:val="decimal"/>
      <w:lvlText w:val="%1."/>
      <w:lvlJc w:val="left"/>
      <w:pPr>
        <w:ind w:left="360" w:hanging="360"/>
      </w:pPr>
      <w:rPr>
        <w:rFonts w:ascii="David" w:hAnsi="David" w:cs="David"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8"/>
  </w:num>
  <w:num w:numId="13">
    <w:abstractNumId w:val="11"/>
  </w:num>
  <w:num w:numId="14">
    <w:abstractNumId w:val="19"/>
  </w:num>
  <w:num w:numId="15">
    <w:abstractNumId w:val="15"/>
  </w:num>
  <w:num w:numId="16">
    <w:abstractNumId w:val="13"/>
  </w:num>
  <w:num w:numId="17">
    <w:abstractNumId w:val="14"/>
  </w:num>
  <w:num w:numId="18">
    <w:abstractNumId w:val="16"/>
  </w:num>
  <w:num w:numId="19">
    <w:abstractNumId w:val="16"/>
    <w:lvlOverride w:ilvl="0">
      <w:startOverride w:val="1"/>
    </w:lvlOverride>
  </w:num>
  <w:num w:numId="20">
    <w:abstractNumId w:val="10"/>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20842"/>
    <w:rsid w:val="002362BF"/>
    <w:rsid w:val="00241B97"/>
    <w:rsid w:val="002425D1"/>
    <w:rsid w:val="00246756"/>
    <w:rsid w:val="00251E58"/>
    <w:rsid w:val="00254605"/>
    <w:rsid w:val="00266D86"/>
    <w:rsid w:val="002728B4"/>
    <w:rsid w:val="0027600C"/>
    <w:rsid w:val="00292712"/>
    <w:rsid w:val="002A487D"/>
    <w:rsid w:val="002C2E29"/>
    <w:rsid w:val="002C2E9E"/>
    <w:rsid w:val="002C3041"/>
    <w:rsid w:val="002D1EE3"/>
    <w:rsid w:val="002F1D80"/>
    <w:rsid w:val="003232A2"/>
    <w:rsid w:val="00325C14"/>
    <w:rsid w:val="0036422C"/>
    <w:rsid w:val="003710F6"/>
    <w:rsid w:val="00386E88"/>
    <w:rsid w:val="00396585"/>
    <w:rsid w:val="003A05E2"/>
    <w:rsid w:val="003D6E38"/>
    <w:rsid w:val="003D74A0"/>
    <w:rsid w:val="004033D8"/>
    <w:rsid w:val="004073F0"/>
    <w:rsid w:val="00412A7D"/>
    <w:rsid w:val="00416B4D"/>
    <w:rsid w:val="00417CFC"/>
    <w:rsid w:val="004A06DC"/>
    <w:rsid w:val="004A12A4"/>
    <w:rsid w:val="004B24ED"/>
    <w:rsid w:val="004B6625"/>
    <w:rsid w:val="004D2D82"/>
    <w:rsid w:val="004D3876"/>
    <w:rsid w:val="004E4552"/>
    <w:rsid w:val="004E6CDF"/>
    <w:rsid w:val="00553C9D"/>
    <w:rsid w:val="00562A66"/>
    <w:rsid w:val="00586D18"/>
    <w:rsid w:val="005B064E"/>
    <w:rsid w:val="005D51AE"/>
    <w:rsid w:val="0062674B"/>
    <w:rsid w:val="006363B2"/>
    <w:rsid w:val="00644940"/>
    <w:rsid w:val="006818A9"/>
    <w:rsid w:val="006A2795"/>
    <w:rsid w:val="006A2D81"/>
    <w:rsid w:val="006B2923"/>
    <w:rsid w:val="006C1D0D"/>
    <w:rsid w:val="006E05C9"/>
    <w:rsid w:val="0070601E"/>
    <w:rsid w:val="00712C72"/>
    <w:rsid w:val="00735FE9"/>
    <w:rsid w:val="00763CAA"/>
    <w:rsid w:val="00765F66"/>
    <w:rsid w:val="00776A54"/>
    <w:rsid w:val="0078664F"/>
    <w:rsid w:val="0079562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15F78"/>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66BF4"/>
    <w:rsid w:val="00A82CB7"/>
    <w:rsid w:val="00A942C1"/>
    <w:rsid w:val="00AA2F03"/>
    <w:rsid w:val="00AC36F7"/>
    <w:rsid w:val="00AC63A4"/>
    <w:rsid w:val="00AD239E"/>
    <w:rsid w:val="00B02AA5"/>
    <w:rsid w:val="00B02C61"/>
    <w:rsid w:val="00B0627D"/>
    <w:rsid w:val="00B10265"/>
    <w:rsid w:val="00B16A99"/>
    <w:rsid w:val="00B21211"/>
    <w:rsid w:val="00B27CE2"/>
    <w:rsid w:val="00B35784"/>
    <w:rsid w:val="00B40833"/>
    <w:rsid w:val="00B733A7"/>
    <w:rsid w:val="00B75C91"/>
    <w:rsid w:val="00B921C7"/>
    <w:rsid w:val="00B975AD"/>
    <w:rsid w:val="00BC3A28"/>
    <w:rsid w:val="00BC45FB"/>
    <w:rsid w:val="00BF148D"/>
    <w:rsid w:val="00C21029"/>
    <w:rsid w:val="00C23B1A"/>
    <w:rsid w:val="00C310EB"/>
    <w:rsid w:val="00C9176A"/>
    <w:rsid w:val="00CE6553"/>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F7F3EFAC-32E3-468F-A4BE-A2D5E2C51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2C61"/>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B02C61"/>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B02C61"/>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B02C61"/>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B02C61"/>
    <w:pPr>
      <w:numPr>
        <w:numId w:val="21"/>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B02C61"/>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02C61"/>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B02C61"/>
    <w:rPr>
      <w:sz w:val="36"/>
      <w:szCs w:val="52"/>
    </w:rPr>
  </w:style>
  <w:style w:type="paragraph" w:customStyle="1" w:styleId="Cover3-Haknesset">
    <w:name w:val="Cover 3-Haknesset"/>
    <w:basedOn w:val="Cover1-Reshumot"/>
    <w:rsid w:val="00B02C61"/>
    <w:rPr>
      <w:b/>
      <w:bCs/>
      <w:spacing w:val="60"/>
    </w:rPr>
  </w:style>
  <w:style w:type="paragraph" w:customStyle="1" w:styleId="Cover4-Date">
    <w:name w:val="Cover 4-Date"/>
    <w:basedOn w:val="a"/>
    <w:rsid w:val="00B02C61"/>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02C61"/>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B02C61"/>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B02C61"/>
    <w:pPr>
      <w:spacing w:before="120" w:after="120"/>
    </w:pPr>
    <w:rPr>
      <w:color w:val="FF0000"/>
      <w:w w:val="80"/>
    </w:rPr>
  </w:style>
  <w:style w:type="paragraph" w:styleId="a3">
    <w:name w:val="endnote text"/>
    <w:basedOn w:val="a"/>
    <w:semiHidden/>
    <w:rsid w:val="00B02C61"/>
    <w:pPr>
      <w:ind w:left="227" w:hanging="227"/>
    </w:pPr>
    <w:rPr>
      <w:sz w:val="14"/>
      <w:szCs w:val="22"/>
    </w:rPr>
  </w:style>
  <w:style w:type="paragraph" w:customStyle="1" w:styleId="TableText">
    <w:name w:val="Table Text"/>
    <w:basedOn w:val="a"/>
    <w:rsid w:val="00B02C61"/>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B02C61"/>
    <w:pPr>
      <w:outlineLvl w:val="2"/>
    </w:pPr>
  </w:style>
  <w:style w:type="paragraph" w:customStyle="1" w:styleId="TableBlock">
    <w:name w:val="Table Block"/>
    <w:basedOn w:val="TableText"/>
    <w:rsid w:val="00B02C61"/>
    <w:pPr>
      <w:jc w:val="both"/>
    </w:pPr>
  </w:style>
  <w:style w:type="paragraph" w:customStyle="1" w:styleId="TableHead">
    <w:name w:val="Table Head"/>
    <w:basedOn w:val="TableText"/>
    <w:rsid w:val="00B02C61"/>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02C61"/>
    <w:pPr>
      <w:outlineLvl w:val="9"/>
    </w:pPr>
  </w:style>
  <w:style w:type="paragraph" w:customStyle="1" w:styleId="Hesber">
    <w:name w:val="Hesber"/>
    <w:basedOn w:val="a"/>
    <w:rsid w:val="00B02C61"/>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B02C61"/>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B02C61"/>
    <w:rPr>
      <w:vertAlign w:val="superscript"/>
    </w:rPr>
  </w:style>
  <w:style w:type="paragraph" w:customStyle="1" w:styleId="HesberHeading">
    <w:name w:val="Hesber Heading"/>
    <w:basedOn w:val="Hesber"/>
    <w:rsid w:val="00B02C61"/>
    <w:pPr>
      <w:tabs>
        <w:tab w:val="left" w:pos="624"/>
        <w:tab w:val="left" w:pos="1247"/>
      </w:tabs>
    </w:pPr>
    <w:rPr>
      <w:b/>
      <w:bCs/>
    </w:rPr>
  </w:style>
  <w:style w:type="paragraph" w:customStyle="1" w:styleId="HesberWriters">
    <w:name w:val="Hesber Writers"/>
    <w:basedOn w:val="Hesber"/>
    <w:rsid w:val="00B02C61"/>
    <w:pPr>
      <w:spacing w:before="120" w:after="120"/>
      <w:ind w:left="1418"/>
      <w:jc w:val="right"/>
    </w:pPr>
    <w:rPr>
      <w:b/>
      <w:bCs/>
    </w:rPr>
  </w:style>
  <w:style w:type="paragraph" w:customStyle="1" w:styleId="Hesber1st">
    <w:name w:val="Hesber 1st"/>
    <w:basedOn w:val="Hesber"/>
    <w:rsid w:val="00B02C61"/>
    <w:pPr>
      <w:tabs>
        <w:tab w:val="left" w:pos="680"/>
        <w:tab w:val="left" w:pos="1020"/>
      </w:tabs>
      <w:ind w:firstLine="0"/>
    </w:pPr>
  </w:style>
  <w:style w:type="character" w:styleId="a6">
    <w:name w:val="endnote reference"/>
    <w:basedOn w:val="a0"/>
    <w:semiHidden/>
    <w:rsid w:val="00B02C61"/>
    <w:rPr>
      <w:vertAlign w:val="superscript"/>
    </w:rPr>
  </w:style>
  <w:style w:type="paragraph" w:customStyle="1" w:styleId="TableBlockOutdent">
    <w:name w:val="Table BlockOutdent"/>
    <w:basedOn w:val="TableBlock"/>
    <w:rsid w:val="00B02C61"/>
    <w:pPr>
      <w:ind w:left="624" w:hanging="624"/>
    </w:pPr>
  </w:style>
  <w:style w:type="paragraph" w:styleId="a7">
    <w:name w:val="header"/>
    <w:basedOn w:val="a"/>
    <w:rsid w:val="00B02C61"/>
    <w:pPr>
      <w:tabs>
        <w:tab w:val="center" w:pos="4153"/>
        <w:tab w:val="right" w:pos="8306"/>
      </w:tabs>
    </w:pPr>
  </w:style>
  <w:style w:type="paragraph" w:styleId="a8">
    <w:name w:val="footer"/>
    <w:basedOn w:val="a"/>
    <w:rsid w:val="00B02C61"/>
    <w:pPr>
      <w:tabs>
        <w:tab w:val="center" w:pos="4153"/>
        <w:tab w:val="right" w:pos="8306"/>
      </w:tabs>
    </w:pPr>
  </w:style>
  <w:style w:type="paragraph" w:customStyle="1" w:styleId="HeadDivreiHesber">
    <w:name w:val="Head DivreiHesber"/>
    <w:basedOn w:val="a"/>
    <w:rsid w:val="00B02C61"/>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B02C61"/>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B02C61"/>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character" w:styleId="ad">
    <w:name w:val="annotation reference"/>
    <w:basedOn w:val="a0"/>
    <w:semiHidden/>
    <w:unhideWhenUsed/>
    <w:rsid w:val="00B921C7"/>
    <w:rPr>
      <w:sz w:val="16"/>
      <w:szCs w:val="16"/>
    </w:rPr>
  </w:style>
  <w:style w:type="paragraph" w:styleId="ae">
    <w:name w:val="annotation text"/>
    <w:basedOn w:val="a"/>
    <w:link w:val="af"/>
    <w:semiHidden/>
    <w:unhideWhenUsed/>
    <w:rsid w:val="00B921C7"/>
    <w:pPr>
      <w:spacing w:line="240" w:lineRule="auto"/>
    </w:pPr>
    <w:rPr>
      <w:sz w:val="20"/>
      <w:szCs w:val="20"/>
    </w:rPr>
  </w:style>
  <w:style w:type="character" w:customStyle="1" w:styleId="af">
    <w:name w:val="טקסט הערה תו"/>
    <w:basedOn w:val="a0"/>
    <w:link w:val="ae"/>
    <w:semiHidden/>
    <w:rsid w:val="00B921C7"/>
    <w:rPr>
      <w:rFonts w:ascii="Hadasa Roso SL" w:hAnsi="Hadasa Roso SL" w:cs="Hadasa Roso SL"/>
      <w:color w:val="000000"/>
      <w:spacing w:val="1"/>
      <w:lang w:eastAsia="ja-JP"/>
    </w:rPr>
  </w:style>
  <w:style w:type="paragraph" w:styleId="af0">
    <w:name w:val="annotation subject"/>
    <w:basedOn w:val="ae"/>
    <w:next w:val="ae"/>
    <w:link w:val="af1"/>
    <w:semiHidden/>
    <w:unhideWhenUsed/>
    <w:rsid w:val="00B921C7"/>
    <w:rPr>
      <w:b/>
      <w:bCs/>
    </w:rPr>
  </w:style>
  <w:style w:type="character" w:customStyle="1" w:styleId="af1">
    <w:name w:val="נושא הערה תו"/>
    <w:basedOn w:val="af"/>
    <w:link w:val="af0"/>
    <w:semiHidden/>
    <w:rsid w:val="00B921C7"/>
    <w:rPr>
      <w:rFonts w:ascii="Hadasa Roso SL" w:hAnsi="Hadasa Roso SL" w:cs="Hadasa Roso SL"/>
      <w:b/>
      <w:bCs/>
      <w:color w:val="000000"/>
      <w:spacing w:val="1"/>
      <w:lang w:eastAsia="ja-JP"/>
    </w:rPr>
  </w:style>
  <w:style w:type="character" w:customStyle="1" w:styleId="10">
    <w:name w:val="כותרת 1 תו"/>
    <w:basedOn w:val="a0"/>
    <w:link w:val="1"/>
    <w:uiPriority w:val="9"/>
    <w:rsid w:val="00B02C61"/>
    <w:rPr>
      <w:rFonts w:asciiTheme="majorHAnsi" w:eastAsiaTheme="majorEastAsia" w:hAnsiTheme="majorHAnsi" w:cs="David"/>
      <w:bCs/>
      <w:sz w:val="32"/>
      <w:szCs w:val="36"/>
    </w:rPr>
  </w:style>
  <w:style w:type="character" w:customStyle="1" w:styleId="20">
    <w:name w:val="כותרת 2 תו"/>
    <w:basedOn w:val="a0"/>
    <w:link w:val="2"/>
    <w:rsid w:val="00B02C61"/>
    <w:rPr>
      <w:rFonts w:asciiTheme="majorHAnsi" w:eastAsiaTheme="majorEastAsia" w:hAnsiTheme="majorHAnsi" w:cs="David"/>
      <w:bCs/>
      <w:sz w:val="26"/>
      <w:szCs w:val="36"/>
      <w:u w:val="single"/>
    </w:rPr>
  </w:style>
  <w:style w:type="character" w:customStyle="1" w:styleId="30">
    <w:name w:val="כותרת 3 תו"/>
    <w:basedOn w:val="a0"/>
    <w:link w:val="3"/>
    <w:rsid w:val="00B02C61"/>
    <w:rPr>
      <w:rFonts w:asciiTheme="majorHAnsi" w:eastAsiaTheme="majorEastAsia" w:hAnsiTheme="majorHAnsi" w:cs="David"/>
      <w:sz w:val="24"/>
      <w:szCs w:val="28"/>
      <w:u w:val="double"/>
    </w:rPr>
  </w:style>
  <w:style w:type="character" w:customStyle="1" w:styleId="40">
    <w:name w:val="כותרת 4 תו"/>
    <w:basedOn w:val="a0"/>
    <w:link w:val="4"/>
    <w:uiPriority w:val="9"/>
    <w:rsid w:val="00B02C61"/>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B02C61"/>
    <w:rPr>
      <w:rFonts w:ascii="David" w:eastAsiaTheme="minorHAnsi" w:hAnsi="David" w:cs="David"/>
      <w:color w:val="000000" w:themeColor="text1"/>
      <w:sz w:val="24"/>
      <w:szCs w:val="24"/>
    </w:rPr>
  </w:style>
  <w:style w:type="paragraph" w:styleId="af2">
    <w:name w:val="TOC Heading"/>
    <w:basedOn w:val="1"/>
    <w:next w:val="a"/>
    <w:uiPriority w:val="39"/>
    <w:unhideWhenUsed/>
    <w:qFormat/>
    <w:rsid w:val="00B02C61"/>
    <w:pPr>
      <w:widowControl/>
      <w:spacing w:before="120" w:after="120"/>
      <w:outlineLvl w:val="9"/>
    </w:pPr>
    <w:rPr>
      <w:rtl/>
      <w:cs/>
    </w:rPr>
  </w:style>
  <w:style w:type="paragraph" w:styleId="TOC1">
    <w:name w:val="toc 1"/>
    <w:basedOn w:val="a"/>
    <w:next w:val="a"/>
    <w:autoRedefine/>
    <w:uiPriority w:val="39"/>
    <w:unhideWhenUsed/>
    <w:rsid w:val="00B02C61"/>
    <w:pPr>
      <w:tabs>
        <w:tab w:val="right" w:leader="dot" w:pos="9629"/>
      </w:tabs>
      <w:spacing w:after="100"/>
    </w:pPr>
    <w:rPr>
      <w:bCs/>
      <w:szCs w:val="22"/>
    </w:rPr>
  </w:style>
  <w:style w:type="paragraph" w:styleId="TOC2">
    <w:name w:val="toc 2"/>
    <w:basedOn w:val="a"/>
    <w:next w:val="a"/>
    <w:uiPriority w:val="39"/>
    <w:unhideWhenUsed/>
    <w:rsid w:val="00B02C61"/>
    <w:pPr>
      <w:tabs>
        <w:tab w:val="right" w:leader="dot" w:pos="9628"/>
      </w:tabs>
      <w:spacing w:after="100"/>
    </w:pPr>
    <w:rPr>
      <w:szCs w:val="22"/>
    </w:rPr>
  </w:style>
  <w:style w:type="character" w:styleId="Hyperlink">
    <w:name w:val="Hyperlink"/>
    <w:basedOn w:val="a0"/>
    <w:uiPriority w:val="99"/>
    <w:unhideWhenUsed/>
    <w:rsid w:val="00B02C61"/>
    <w:rPr>
      <w:color w:val="0000FF" w:themeColor="hyperlink"/>
      <w:u w:val="single"/>
    </w:rPr>
  </w:style>
  <w:style w:type="paragraph" w:styleId="TOC3">
    <w:name w:val="toc 3"/>
    <w:basedOn w:val="a"/>
    <w:next w:val="a"/>
    <w:uiPriority w:val="39"/>
    <w:unhideWhenUsed/>
    <w:rsid w:val="00B02C61"/>
    <w:pPr>
      <w:numPr>
        <w:numId w:val="24"/>
      </w:numPr>
      <w:tabs>
        <w:tab w:val="right" w:leader="dot" w:pos="9629"/>
      </w:tabs>
      <w:spacing w:after="100"/>
      <w:ind w:left="811" w:hanging="357"/>
    </w:pPr>
    <w:rPr>
      <w:szCs w:val="22"/>
    </w:rPr>
  </w:style>
  <w:style w:type="paragraph" w:styleId="TOC4">
    <w:name w:val="toc 4"/>
    <w:basedOn w:val="a"/>
    <w:next w:val="a"/>
    <w:autoRedefine/>
    <w:unhideWhenUsed/>
    <w:qFormat/>
    <w:rsid w:val="00B02C61"/>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B02C61"/>
    <w:pPr>
      <w:tabs>
        <w:tab w:val="right" w:leader="dot" w:pos="9628"/>
      </w:tabs>
      <w:spacing w:after="100"/>
      <w:ind w:left="567"/>
    </w:pPr>
    <w:rPr>
      <w:szCs w:val="22"/>
    </w:rPr>
  </w:style>
  <w:style w:type="paragraph" w:styleId="TOC6">
    <w:name w:val="toc 6"/>
    <w:basedOn w:val="a"/>
    <w:next w:val="a"/>
    <w:autoRedefine/>
    <w:semiHidden/>
    <w:unhideWhenUsed/>
    <w:rsid w:val="00B02C61"/>
    <w:pPr>
      <w:spacing w:after="100"/>
      <w:ind w:left="850"/>
    </w:pPr>
  </w:style>
  <w:style w:type="paragraph" w:styleId="TOC7">
    <w:name w:val="toc 7"/>
    <w:basedOn w:val="a"/>
    <w:next w:val="a"/>
    <w:autoRedefine/>
    <w:semiHidden/>
    <w:unhideWhenUsed/>
    <w:rsid w:val="00B02C61"/>
    <w:pPr>
      <w:spacing w:after="100"/>
      <w:ind w:left="1020"/>
    </w:pPr>
  </w:style>
  <w:style w:type="paragraph" w:styleId="TOC8">
    <w:name w:val="toc 8"/>
    <w:basedOn w:val="a"/>
    <w:next w:val="a"/>
    <w:autoRedefine/>
    <w:semiHidden/>
    <w:unhideWhenUsed/>
    <w:rsid w:val="00B02C61"/>
    <w:pPr>
      <w:spacing w:after="100"/>
      <w:ind w:left="1190"/>
    </w:pPr>
  </w:style>
  <w:style w:type="paragraph" w:styleId="TOC9">
    <w:name w:val="toc 9"/>
    <w:basedOn w:val="a"/>
    <w:next w:val="a"/>
    <w:autoRedefine/>
    <w:semiHidden/>
    <w:unhideWhenUsed/>
    <w:rsid w:val="00B02C61"/>
    <w:pPr>
      <w:spacing w:after="100"/>
      <w:ind w:left="1360"/>
    </w:pPr>
  </w:style>
  <w:style w:type="paragraph" w:customStyle="1" w:styleId="TableHead2">
    <w:name w:val="Table Head2"/>
    <w:basedOn w:val="TableHead"/>
    <w:qFormat/>
    <w:rsid w:val="00B02C61"/>
    <w:pPr>
      <w:outlineLvl w:val="9"/>
    </w:pPr>
  </w:style>
  <w:style w:type="paragraph" w:customStyle="1" w:styleId="TableSideHeading2">
    <w:name w:val="Table SideHeading2"/>
    <w:basedOn w:val="TableSideHeading"/>
    <w:autoRedefine/>
    <w:qFormat/>
    <w:rsid w:val="00B02C61"/>
    <w:pPr>
      <w:keepLines w:val="0"/>
      <w:outlineLvl w:val="9"/>
    </w:pPr>
  </w:style>
  <w:style w:type="paragraph" w:customStyle="1" w:styleId="0">
    <w:name w:val="סגנון שורה ראשונה:  0  ס''מ"/>
    <w:basedOn w:val="2"/>
    <w:rsid w:val="00B02C61"/>
    <w:rPr>
      <w:rFonts w:eastAsia="Times New Roman"/>
    </w:rPr>
  </w:style>
  <w:style w:type="paragraph" w:styleId="af3">
    <w:name w:val="List Paragraph"/>
    <w:basedOn w:val="a"/>
    <w:uiPriority w:val="34"/>
    <w:qFormat/>
    <w:rsid w:val="00B02C61"/>
    <w:pPr>
      <w:widowControl/>
      <w:spacing w:line="259" w:lineRule="auto"/>
    </w:pPr>
    <w:rPr>
      <w:rFonts w:asciiTheme="minorHAnsi" w:hAnsiTheme="minorHAnsi"/>
      <w:sz w:val="22"/>
    </w:rPr>
  </w:style>
  <w:style w:type="table" w:styleId="af4">
    <w:name w:val="Table Grid"/>
    <w:basedOn w:val="a1"/>
    <w:rsid w:val="00B02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B02C6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B02C6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5">
    <w:name w:val="טבלת חקיקה"/>
    <w:basedOn w:val="a1"/>
    <w:uiPriority w:val="99"/>
    <w:rsid w:val="00B02C61"/>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B02C61"/>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145994">
      <w:bodyDiv w:val="1"/>
      <w:marLeft w:val="0"/>
      <w:marRight w:val="0"/>
      <w:marTop w:val="0"/>
      <w:marBottom w:val="0"/>
      <w:divBdr>
        <w:top w:val="none" w:sz="0" w:space="0" w:color="auto"/>
        <w:left w:val="none" w:sz="0" w:space="0" w:color="auto"/>
        <w:bottom w:val="none" w:sz="0" w:space="0" w:color="auto"/>
        <w:right w:val="none" w:sz="0" w:space="0" w:color="auto"/>
      </w:divBdr>
      <w:divsChild>
        <w:div w:id="1021319776">
          <w:marLeft w:val="0"/>
          <w:marRight w:val="0"/>
          <w:marTop w:val="0"/>
          <w:marBottom w:val="0"/>
          <w:divBdr>
            <w:top w:val="none" w:sz="0" w:space="0" w:color="auto"/>
            <w:left w:val="none" w:sz="0" w:space="0" w:color="auto"/>
            <w:bottom w:val="none" w:sz="0" w:space="0" w:color="auto"/>
            <w:right w:val="none" w:sz="0" w:space="0" w:color="auto"/>
          </w:divBdr>
        </w:div>
        <w:div w:id="1646619386">
          <w:marLeft w:val="0"/>
          <w:marRight w:val="0"/>
          <w:marTop w:val="0"/>
          <w:marBottom w:val="0"/>
          <w:divBdr>
            <w:top w:val="none" w:sz="0" w:space="0" w:color="auto"/>
            <w:left w:val="none" w:sz="0" w:space="0" w:color="auto"/>
            <w:bottom w:val="none" w:sz="0" w:space="0" w:color="auto"/>
            <w:right w:val="none" w:sz="0" w:space="0" w:color="auto"/>
          </w:divBdr>
        </w:div>
      </w:divsChild>
    </w:div>
    <w:div w:id="1312171090">
      <w:bodyDiv w:val="1"/>
      <w:marLeft w:val="0"/>
      <w:marRight w:val="0"/>
      <w:marTop w:val="0"/>
      <w:marBottom w:val="0"/>
      <w:divBdr>
        <w:top w:val="none" w:sz="0" w:space="0" w:color="auto"/>
        <w:left w:val="none" w:sz="0" w:space="0" w:color="auto"/>
        <w:bottom w:val="none" w:sz="0" w:space="0" w:color="auto"/>
        <w:right w:val="none" w:sz="0" w:space="0" w:color="auto"/>
      </w:divBdr>
      <w:divsChild>
        <w:div w:id="287441065">
          <w:marLeft w:val="0"/>
          <w:marRight w:val="0"/>
          <w:marTop w:val="0"/>
          <w:marBottom w:val="0"/>
          <w:divBdr>
            <w:top w:val="none" w:sz="0" w:space="0" w:color="auto"/>
            <w:left w:val="none" w:sz="0" w:space="0" w:color="auto"/>
            <w:bottom w:val="none" w:sz="0" w:space="0" w:color="auto"/>
            <w:right w:val="none" w:sz="0" w:space="0" w:color="auto"/>
          </w:divBdr>
        </w:div>
        <w:div w:id="1531912338">
          <w:marLeft w:val="0"/>
          <w:marRight w:val="0"/>
          <w:marTop w:val="0"/>
          <w:marBottom w:val="0"/>
          <w:divBdr>
            <w:top w:val="none" w:sz="0" w:space="0" w:color="auto"/>
            <w:left w:val="none" w:sz="0" w:space="0" w:color="auto"/>
            <w:bottom w:val="none" w:sz="0" w:space="0" w:color="auto"/>
            <w:right w:val="none" w:sz="0" w:space="0" w:color="auto"/>
          </w:divBdr>
        </w:div>
        <w:div w:id="202449344">
          <w:marLeft w:val="0"/>
          <w:marRight w:val="0"/>
          <w:marTop w:val="0"/>
          <w:marBottom w:val="0"/>
          <w:divBdr>
            <w:top w:val="none" w:sz="0" w:space="0" w:color="auto"/>
            <w:left w:val="none" w:sz="0" w:space="0" w:color="auto"/>
            <w:bottom w:val="none" w:sz="0" w:space="0" w:color="auto"/>
            <w:right w:val="none" w:sz="0" w:space="0" w:color="auto"/>
          </w:divBdr>
        </w:div>
        <w:div w:id="1346782960">
          <w:marLeft w:val="0"/>
          <w:marRight w:val="0"/>
          <w:marTop w:val="0"/>
          <w:marBottom w:val="0"/>
          <w:divBdr>
            <w:top w:val="none" w:sz="0" w:space="0" w:color="auto"/>
            <w:left w:val="none" w:sz="0" w:space="0" w:color="auto"/>
            <w:bottom w:val="none" w:sz="0" w:space="0" w:color="auto"/>
            <w:right w:val="none" w:sz="0" w:space="0" w:color="auto"/>
          </w:divBdr>
        </w:div>
        <w:div w:id="318922594">
          <w:marLeft w:val="0"/>
          <w:marRight w:val="0"/>
          <w:marTop w:val="0"/>
          <w:marBottom w:val="0"/>
          <w:divBdr>
            <w:top w:val="none" w:sz="0" w:space="0" w:color="auto"/>
            <w:left w:val="none" w:sz="0" w:space="0" w:color="auto"/>
            <w:bottom w:val="none" w:sz="0" w:space="0" w:color="auto"/>
            <w:right w:val="none" w:sz="0" w:space="0" w:color="auto"/>
          </w:divBdr>
        </w:div>
        <w:div w:id="1517227848">
          <w:marLeft w:val="0"/>
          <w:marRight w:val="0"/>
          <w:marTop w:val="0"/>
          <w:marBottom w:val="0"/>
          <w:divBdr>
            <w:top w:val="none" w:sz="0" w:space="0" w:color="auto"/>
            <w:left w:val="none" w:sz="0" w:space="0" w:color="auto"/>
            <w:bottom w:val="none" w:sz="0" w:space="0" w:color="auto"/>
            <w:right w:val="none" w:sz="0" w:space="0" w:color="auto"/>
          </w:divBdr>
        </w:div>
        <w:div w:id="1058817482">
          <w:marLeft w:val="0"/>
          <w:marRight w:val="0"/>
          <w:marTop w:val="0"/>
          <w:marBottom w:val="0"/>
          <w:divBdr>
            <w:top w:val="none" w:sz="0" w:space="0" w:color="auto"/>
            <w:left w:val="none" w:sz="0" w:space="0" w:color="auto"/>
            <w:bottom w:val="none" w:sz="0" w:space="0" w:color="auto"/>
            <w:right w:val="none" w:sz="0" w:space="0" w:color="auto"/>
          </w:divBdr>
        </w:div>
        <w:div w:id="101464688">
          <w:marLeft w:val="0"/>
          <w:marRight w:val="0"/>
          <w:marTop w:val="0"/>
          <w:marBottom w:val="0"/>
          <w:divBdr>
            <w:top w:val="none" w:sz="0" w:space="0" w:color="auto"/>
            <w:left w:val="none" w:sz="0" w:space="0" w:color="auto"/>
            <w:bottom w:val="none" w:sz="0" w:space="0" w:color="auto"/>
            <w:right w:val="none" w:sz="0" w:space="0" w:color="auto"/>
          </w:divBdr>
        </w:div>
        <w:div w:id="1971857933">
          <w:marLeft w:val="0"/>
          <w:marRight w:val="0"/>
          <w:marTop w:val="0"/>
          <w:marBottom w:val="0"/>
          <w:divBdr>
            <w:top w:val="none" w:sz="0" w:space="0" w:color="auto"/>
            <w:left w:val="none" w:sz="0" w:space="0" w:color="auto"/>
            <w:bottom w:val="none" w:sz="0" w:space="0" w:color="auto"/>
            <w:right w:val="none" w:sz="0" w:space="0" w:color="auto"/>
          </w:divBdr>
        </w:div>
      </w:divsChild>
    </w:div>
    <w:div w:id="1621183577">
      <w:bodyDiv w:val="1"/>
      <w:marLeft w:val="0"/>
      <w:marRight w:val="0"/>
      <w:marTop w:val="0"/>
      <w:marBottom w:val="0"/>
      <w:divBdr>
        <w:top w:val="none" w:sz="0" w:space="0" w:color="auto"/>
        <w:left w:val="none" w:sz="0" w:space="0" w:color="auto"/>
        <w:bottom w:val="none" w:sz="0" w:space="0" w:color="auto"/>
        <w:right w:val="none" w:sz="0" w:space="0" w:color="auto"/>
      </w:divBdr>
      <w:divsChild>
        <w:div w:id="2098137688">
          <w:marLeft w:val="0"/>
          <w:marRight w:val="0"/>
          <w:marTop w:val="0"/>
          <w:marBottom w:val="0"/>
          <w:divBdr>
            <w:top w:val="none" w:sz="0" w:space="0" w:color="auto"/>
            <w:left w:val="none" w:sz="0" w:space="0" w:color="auto"/>
            <w:bottom w:val="none" w:sz="0" w:space="0" w:color="auto"/>
            <w:right w:val="none" w:sz="0" w:space="0" w:color="auto"/>
          </w:divBdr>
        </w:div>
        <w:div w:id="1774284464">
          <w:marLeft w:val="0"/>
          <w:marRight w:val="0"/>
          <w:marTop w:val="0"/>
          <w:marBottom w:val="0"/>
          <w:divBdr>
            <w:top w:val="none" w:sz="0" w:space="0" w:color="auto"/>
            <w:left w:val="none" w:sz="0" w:space="0" w:color="auto"/>
            <w:bottom w:val="none" w:sz="0" w:space="0" w:color="auto"/>
            <w:right w:val="none" w:sz="0" w:space="0" w:color="auto"/>
          </w:divBdr>
        </w:div>
        <w:div w:id="1929070233">
          <w:marLeft w:val="0"/>
          <w:marRight w:val="0"/>
          <w:marTop w:val="0"/>
          <w:marBottom w:val="0"/>
          <w:divBdr>
            <w:top w:val="none" w:sz="0" w:space="0" w:color="auto"/>
            <w:left w:val="none" w:sz="0" w:space="0" w:color="auto"/>
            <w:bottom w:val="none" w:sz="0" w:space="0" w:color="auto"/>
            <w:right w:val="none" w:sz="0" w:space="0" w:color="auto"/>
          </w:divBdr>
        </w:div>
        <w:div w:id="1970697750">
          <w:marLeft w:val="0"/>
          <w:marRight w:val="0"/>
          <w:marTop w:val="0"/>
          <w:marBottom w:val="0"/>
          <w:divBdr>
            <w:top w:val="none" w:sz="0" w:space="0" w:color="auto"/>
            <w:left w:val="none" w:sz="0" w:space="0" w:color="auto"/>
            <w:bottom w:val="none" w:sz="0" w:space="0" w:color="auto"/>
            <w:right w:val="none" w:sz="0" w:space="0" w:color="auto"/>
          </w:divBdr>
        </w:div>
      </w:divsChild>
    </w:div>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B4DDA-AFF9-4A91-930A-36977FB609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4AFE3-9455-419C-8851-785A55F44517}">
  <ds:schemaRefs>
    <ds:schemaRef ds:uri="http://purl.org/dc/elements/1.1/"/>
    <ds:schemaRef ds:uri="http://purl.org/dc/terms/"/>
    <ds:schemaRef ds:uri="http://purl.org/dc/dcmitype/"/>
    <ds:schemaRef ds:uri="http://www.w3.org/XML/1998/namespace"/>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290d5b49-c690-4c6f-bbb9-1e50dab33eee"/>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D12C43DB-8AC0-42BB-BE07-4B6E6D4C3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Pages>
  <Words>377</Words>
  <Characters>1885</Characters>
  <Application>Microsoft Office Word</Application>
  <DocSecurity>0</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16</cp:revision>
  <cp:lastPrinted>2013-07-04T08:25:00Z</cp:lastPrinted>
  <dcterms:created xsi:type="dcterms:W3CDTF">2015-04-20T09:58:00Z</dcterms:created>
  <dcterms:modified xsi:type="dcterms:W3CDTF">2026-06-21T11:38:00Z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2243525</vt:r8>
  </property>
</Properties>
</file>