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6961A1" w14:textId="77777777" w:rsidR="002C2E29" w:rsidRPr="00F52032" w:rsidRDefault="004033D8" w:rsidP="00E635A2">
      <w:pPr>
        <w:jc w:val="right"/>
        <w:rPr>
          <w:rFonts w:ascii="David" w:hAnsi="David" w:cs="David"/>
          <w:b/>
          <w:bCs/>
          <w:sz w:val="20"/>
          <w:szCs w:val="20"/>
        </w:rPr>
      </w:pPr>
      <w:r w:rsidRPr="00F52032">
        <w:rPr>
          <w:rFonts w:ascii="David" w:hAnsi="David" w:cs="David"/>
          <w:sz w:val="20"/>
          <w:szCs w:val="20"/>
          <w:rtl/>
        </w:rPr>
        <w:t xml:space="preserve">מספר פנימי: </w:t>
      </w:r>
      <w:bookmarkStart w:id="0" w:name="LGS_Internal_ID"/>
      <w:r w:rsidRPr="00F52032">
        <w:rPr>
          <w:rFonts w:ascii="David" w:hAnsi="David" w:cs="David"/>
          <w:sz w:val="20"/>
          <w:szCs w:val="20"/>
          <w:rtl/>
        </w:rPr>
        <w:t>2244078</w:t>
      </w:r>
      <w:bookmarkEnd w:id="0"/>
    </w:p>
    <w:p w14:paraId="7F6961A2" w14:textId="53D639AE" w:rsidR="00E13C27" w:rsidRPr="00F52032" w:rsidRDefault="00E13C27" w:rsidP="00A443CF">
      <w:pPr>
        <w:pStyle w:val="HeadHatzaotHok"/>
        <w:rPr>
          <w:rFonts w:ascii="David" w:hAnsi="David"/>
          <w:sz w:val="28"/>
          <w:szCs w:val="28"/>
          <w:rtl/>
        </w:rPr>
      </w:pPr>
      <w:r w:rsidRPr="00F52032">
        <w:rPr>
          <w:rFonts w:ascii="David" w:hAnsi="David"/>
          <w:sz w:val="28"/>
          <w:szCs w:val="28"/>
          <w:rtl/>
        </w:rPr>
        <w:t xml:space="preserve">הכנסת </w:t>
      </w:r>
      <w:bookmarkStart w:id="1" w:name="LGS_Knesset_Num"/>
      <w:r w:rsidRPr="00F52032">
        <w:rPr>
          <w:rFonts w:ascii="David" w:hAnsi="David"/>
          <w:sz w:val="28"/>
          <w:szCs w:val="28"/>
          <w:rtl/>
        </w:rPr>
        <w:t>העשרים וחמש</w:t>
      </w:r>
      <w:bookmarkEnd w:id="1"/>
    </w:p>
    <w:p w14:paraId="7F6961A3" w14:textId="77777777" w:rsidR="00E13C27" w:rsidRPr="00F52032" w:rsidRDefault="00E13C27" w:rsidP="00E13C27">
      <w:pPr>
        <w:rPr>
          <w:rFonts w:ascii="David" w:hAnsi="David" w:cs="David"/>
          <w:b/>
          <w:bCs/>
          <w:sz w:val="26"/>
          <w:szCs w:val="26"/>
          <w:rtl/>
        </w:rPr>
      </w:pPr>
    </w:p>
    <w:p w14:paraId="7F6961AA" w14:textId="422E7874" w:rsidR="00E13C27" w:rsidRPr="00F52032" w:rsidRDefault="008F6665" w:rsidP="003708F6">
      <w:pPr>
        <w:pStyle w:val="David"/>
        <w:spacing w:line="360" w:lineRule="auto"/>
        <w:ind w:left="3544"/>
        <w:rPr>
          <w:rFonts w:ascii="David" w:hAnsi="David"/>
          <w:b/>
          <w:bCs/>
          <w:sz w:val="16"/>
          <w:szCs w:val="16"/>
          <w:rtl/>
        </w:rPr>
      </w:pPr>
      <w:bookmarkStart w:id="2" w:name="LGS_Initiators_List"/>
      <w:r w:rsidRPr="00F52032">
        <w:rPr>
          <w:rFonts w:ascii="David" w:hAnsi="David"/>
          <w:b/>
          <w:bCs/>
          <w:rtl/>
        </w:rPr>
        <w:t>יוזם:</w:t>
      </w:r>
      <w:r w:rsidRPr="00F52032">
        <w:rPr>
          <w:rFonts w:ascii="David" w:hAnsi="David"/>
        </w:rPr>
        <w:tab/>
      </w:r>
      <w:r w:rsidRPr="00F52032">
        <w:rPr>
          <w:rFonts w:ascii="David" w:hAnsi="David"/>
          <w:b/>
          <w:bCs/>
          <w:rtl/>
        </w:rPr>
        <w:t xml:space="preserve">      חבר הכנסת</w:t>
      </w:r>
      <w:bookmarkEnd w:id="2"/>
      <w:r w:rsidR="00B35784" w:rsidRPr="00F52032">
        <w:rPr>
          <w:rFonts w:ascii="David" w:hAnsi="David"/>
          <w:b/>
          <w:bCs/>
        </w:rPr>
        <w:tab/>
      </w:r>
      <w:bookmarkStart w:id="3" w:name="LGS_PM_Names"/>
      <w:r w:rsidRPr="00F52032">
        <w:rPr>
          <w:rFonts w:ascii="David" w:hAnsi="David"/>
          <w:b/>
          <w:bCs/>
          <w:rtl/>
        </w:rPr>
        <w:t>עופר כסיף</w:t>
      </w:r>
      <w:bookmarkStart w:id="4" w:name="LGS_Join_List"/>
      <w:bookmarkEnd w:id="3"/>
      <w:r w:rsidR="007D585A" w:rsidRPr="00F52032">
        <w:rPr>
          <w:rFonts w:ascii="David" w:hAnsi="David"/>
          <w:rtl/>
        </w:rPr>
        <w:t xml:space="preserve"> </w:t>
      </w:r>
      <w:bookmarkEnd w:id="4"/>
      <w:r w:rsidR="002200A1" w:rsidRPr="00F52032">
        <w:rPr>
          <w:rFonts w:ascii="David" w:hAnsi="David"/>
          <w:rtl/>
        </w:rPr>
        <w:tab/>
      </w:r>
      <w:bookmarkStart w:id="5" w:name="LGS_PM_NamesJoin"/>
      <w:r w:rsidR="007D585A" w:rsidRPr="00F52032">
        <w:rPr>
          <w:rFonts w:ascii="David" w:hAnsi="David"/>
          <w:rtl/>
        </w:rPr>
        <w:t xml:space="preserve"> </w:t>
      </w:r>
      <w:bookmarkEnd w:id="5"/>
    </w:p>
    <w:p w14:paraId="34DB4103" w14:textId="77777777" w:rsidR="00904591" w:rsidRPr="00F52032" w:rsidRDefault="00266D86" w:rsidP="0036422C">
      <w:pPr>
        <w:pStyle w:val="David"/>
        <w:spacing w:before="0" w:line="360" w:lineRule="auto"/>
        <w:ind w:left="3544"/>
        <w:rPr>
          <w:rFonts w:ascii="David" w:hAnsi="David"/>
          <w:sz w:val="4"/>
          <w:szCs w:val="4"/>
          <w:rtl/>
        </w:rPr>
      </w:pPr>
      <w:r w:rsidRPr="00F52032">
        <w:rPr>
          <w:rFonts w:ascii="David" w:hAnsi="David"/>
        </w:rPr>
        <w:t>____</w:t>
      </w:r>
      <w:r w:rsidR="00E374F2" w:rsidRPr="00F52032">
        <w:rPr>
          <w:rFonts w:ascii="David" w:hAnsi="David"/>
        </w:rPr>
        <w:t>__</w:t>
      </w:r>
      <w:r w:rsidRPr="00F52032">
        <w:rPr>
          <w:rFonts w:ascii="David" w:hAnsi="David"/>
        </w:rPr>
        <w:t>________________________________________</w:t>
      </w:r>
      <w:r w:rsidR="00E06736" w:rsidRPr="00F52032">
        <w:rPr>
          <w:rFonts w:ascii="David" w:hAnsi="David"/>
        </w:rPr>
        <w:tab/>
      </w:r>
      <w:r w:rsidR="00E13C27" w:rsidRPr="00F52032">
        <w:rPr>
          <w:rFonts w:ascii="David" w:hAnsi="David"/>
          <w:rtl/>
        </w:rPr>
        <w:tab/>
      </w:r>
      <w:r w:rsidR="00E13C27" w:rsidRPr="00F52032">
        <w:rPr>
          <w:rFonts w:ascii="David" w:hAnsi="David"/>
          <w:rtl/>
        </w:rPr>
        <w:tab/>
      </w:r>
      <w:r w:rsidR="00E13C27" w:rsidRPr="00F52032">
        <w:rPr>
          <w:rFonts w:ascii="David" w:hAnsi="David"/>
          <w:rtl/>
        </w:rPr>
        <w:tab/>
      </w:r>
      <w:r w:rsidR="00904591" w:rsidRPr="00F52032">
        <w:rPr>
          <w:rFonts w:ascii="David" w:hAnsi="David"/>
        </w:rPr>
        <w:t xml:space="preserve">           </w:t>
      </w:r>
    </w:p>
    <w:p w14:paraId="7F6961AC" w14:textId="3B709F65" w:rsidR="00E13C27" w:rsidRPr="00F52032" w:rsidRDefault="00904591" w:rsidP="00470C67">
      <w:pPr>
        <w:pStyle w:val="David"/>
        <w:spacing w:before="0" w:line="240" w:lineRule="auto"/>
        <w:ind w:left="6424" w:firstLine="56"/>
        <w:rPr>
          <w:rFonts w:ascii="David" w:hAnsi="David"/>
          <w:rtl/>
        </w:rPr>
      </w:pPr>
      <w:bookmarkStart w:id="6" w:name="Private_Number"/>
      <w:r>
        <w:rPr>
          <w:rFonts w:ascii="David" w:hAnsi="David"/>
          <w:rtl/>
        </w:rPr>
        <w:t>פ/6786/25</w:t>
      </w:r>
      <w:bookmarkEnd w:id="6"/>
    </w:p>
    <w:p w14:paraId="6170E778" w14:textId="458505DA" w:rsidR="00470C67" w:rsidRPr="00F52032" w:rsidRDefault="00A443CF" w:rsidP="00470C67">
      <w:pPr>
        <w:pStyle w:val="HeadHatzaotHok"/>
        <w:rPr>
          <w:rFonts w:ascii="David" w:hAnsi="David"/>
          <w:rtl/>
        </w:rPr>
      </w:pPr>
      <w:bookmarkStart w:id="7" w:name="LGS_Subject"/>
      <w:r>
        <w:rPr>
          <w:rFonts w:ascii="David" w:hAnsi="David"/>
          <w:rtl/>
        </w:rPr>
        <w:t>הצעת חוק בינוי ופינוי של אזורי שיקום (כפר שלם), התשפ"ו–2026</w:t>
      </w:r>
      <w:bookmarkEnd w:id="7"/>
    </w:p>
    <w:tbl>
      <w:tblPr>
        <w:bidiVisual/>
        <w:tblW w:w="9640" w:type="dxa"/>
        <w:tblLayout w:type="fixed"/>
        <w:tblCellMar>
          <w:top w:w="57" w:type="dxa"/>
          <w:left w:w="0" w:type="dxa"/>
          <w:bottom w:w="57" w:type="dxa"/>
          <w:right w:w="0" w:type="dxa"/>
        </w:tblCellMar>
        <w:tblLook w:val="04A0" w:firstRow="1" w:lastRow="0" w:firstColumn="1" w:lastColumn="0" w:noHBand="0" w:noVBand="1"/>
      </w:tblPr>
      <w:tblGrid>
        <w:gridCol w:w="1871"/>
        <w:gridCol w:w="624"/>
        <w:gridCol w:w="624"/>
        <w:gridCol w:w="6521"/>
      </w:tblGrid>
      <w:tr w:rsidR="00BC05A0" w14:paraId="12D8B304" w14:textId="77777777" w:rsidTr="00B43175">
        <w:tc>
          <w:tcPr>
            <w:tcW w:w="1871" w:type="dxa"/>
            <w:hideMark/>
          </w:tcPr>
          <w:p w14:paraId="322D71CB" w14:textId="77777777" w:rsidR="00BC05A0" w:rsidRDefault="00BC05A0" w:rsidP="00D76C6E">
            <w:pPr>
              <w:pStyle w:val="TableSideHeading"/>
              <w:rPr>
                <w:sz w:val="26"/>
              </w:rPr>
            </w:pPr>
            <w:r>
              <w:rPr>
                <w:sz w:val="26"/>
                <w:rtl/>
              </w:rPr>
              <w:t>מטרה</w:t>
            </w:r>
          </w:p>
        </w:tc>
        <w:tc>
          <w:tcPr>
            <w:tcW w:w="624" w:type="dxa"/>
            <w:hideMark/>
          </w:tcPr>
          <w:p w14:paraId="14733C69" w14:textId="77777777" w:rsidR="00BC05A0" w:rsidRDefault="00BC05A0" w:rsidP="00D76C6E">
            <w:pPr>
              <w:pStyle w:val="TableText"/>
              <w:rPr>
                <w:sz w:val="26"/>
                <w:rtl/>
              </w:rPr>
            </w:pPr>
            <w:r>
              <w:rPr>
                <w:sz w:val="26"/>
                <w:rtl/>
              </w:rPr>
              <w:t>1.</w:t>
            </w:r>
          </w:p>
        </w:tc>
        <w:tc>
          <w:tcPr>
            <w:tcW w:w="7145" w:type="dxa"/>
            <w:gridSpan w:val="2"/>
            <w:hideMark/>
          </w:tcPr>
          <w:p w14:paraId="23E13C72" w14:textId="77777777" w:rsidR="00BC05A0" w:rsidRDefault="00BC05A0" w:rsidP="00D76C6E">
            <w:pPr>
              <w:pStyle w:val="TableBlockOutdent"/>
              <w:rPr>
                <w:sz w:val="26"/>
                <w:rtl/>
              </w:rPr>
            </w:pPr>
            <w:r>
              <w:rPr>
                <w:sz w:val="26"/>
                <w:rtl/>
                <w:lang w:eastAsia="en-US"/>
              </w:rPr>
              <w:t>מטרת חוק זה להבטיח את זכויות המפונים ממתחם כפר שלם.</w:t>
            </w:r>
          </w:p>
        </w:tc>
      </w:tr>
      <w:tr w:rsidR="00BC05A0" w14:paraId="7E1FCB2C" w14:textId="77777777" w:rsidTr="00B43175">
        <w:tc>
          <w:tcPr>
            <w:tcW w:w="1871" w:type="dxa"/>
            <w:hideMark/>
          </w:tcPr>
          <w:p w14:paraId="1E584C83" w14:textId="77777777" w:rsidR="00BC05A0" w:rsidRDefault="00BC05A0" w:rsidP="00D76C6E">
            <w:pPr>
              <w:pStyle w:val="TableSideHeading"/>
              <w:rPr>
                <w:sz w:val="26"/>
                <w:rtl/>
              </w:rPr>
            </w:pPr>
            <w:r>
              <w:rPr>
                <w:sz w:val="26"/>
                <w:rtl/>
              </w:rPr>
              <w:t>הגדרות</w:t>
            </w:r>
          </w:p>
        </w:tc>
        <w:tc>
          <w:tcPr>
            <w:tcW w:w="624" w:type="dxa"/>
            <w:hideMark/>
          </w:tcPr>
          <w:p w14:paraId="3C7C0FF0" w14:textId="77777777" w:rsidR="00BC05A0" w:rsidRDefault="00BC05A0" w:rsidP="00D76C6E">
            <w:pPr>
              <w:pStyle w:val="TableText"/>
            </w:pPr>
            <w:r>
              <w:rPr>
                <w:sz w:val="26"/>
                <w:rtl/>
              </w:rPr>
              <w:t>2.</w:t>
            </w:r>
          </w:p>
        </w:tc>
        <w:tc>
          <w:tcPr>
            <w:tcW w:w="7145" w:type="dxa"/>
            <w:gridSpan w:val="2"/>
            <w:hideMark/>
          </w:tcPr>
          <w:p w14:paraId="7E7C3590" w14:textId="77777777" w:rsidR="00BC05A0" w:rsidRDefault="00BC05A0" w:rsidP="00D76C6E">
            <w:pPr>
              <w:pStyle w:val="TableBlockOutdent"/>
            </w:pPr>
            <w:r>
              <w:rPr>
                <w:sz w:val="26"/>
                <w:rtl/>
              </w:rPr>
              <w:t xml:space="preserve">בחוק זה – </w:t>
            </w:r>
          </w:p>
        </w:tc>
      </w:tr>
      <w:tr w:rsidR="00BC05A0" w14:paraId="18985CA3" w14:textId="77777777" w:rsidTr="00B43175">
        <w:tc>
          <w:tcPr>
            <w:tcW w:w="1871" w:type="dxa"/>
          </w:tcPr>
          <w:p w14:paraId="24C24C8D" w14:textId="77777777" w:rsidR="00BC05A0" w:rsidRDefault="00BC05A0" w:rsidP="00D76C6E">
            <w:pPr>
              <w:pStyle w:val="TableSideHeading"/>
              <w:rPr>
                <w:sz w:val="26"/>
              </w:rPr>
            </w:pPr>
          </w:p>
        </w:tc>
        <w:tc>
          <w:tcPr>
            <w:tcW w:w="624" w:type="dxa"/>
          </w:tcPr>
          <w:p w14:paraId="4CFF708C" w14:textId="77777777" w:rsidR="00BC05A0" w:rsidRDefault="00BC05A0" w:rsidP="00D76C6E">
            <w:pPr>
              <w:pStyle w:val="TableText"/>
              <w:rPr>
                <w:sz w:val="26"/>
                <w:rtl/>
              </w:rPr>
            </w:pPr>
          </w:p>
        </w:tc>
        <w:tc>
          <w:tcPr>
            <w:tcW w:w="7145" w:type="dxa"/>
            <w:gridSpan w:val="2"/>
            <w:hideMark/>
          </w:tcPr>
          <w:p w14:paraId="7E8D94F4" w14:textId="77777777" w:rsidR="00BC05A0" w:rsidRDefault="00BC05A0" w:rsidP="00D76C6E">
            <w:pPr>
              <w:pStyle w:val="TableBlockOutdent"/>
              <w:rPr>
                <w:sz w:val="26"/>
                <w:rtl/>
              </w:rPr>
            </w:pPr>
            <w:r>
              <w:rPr>
                <w:sz w:val="26"/>
                <w:rtl/>
              </w:rPr>
              <w:t>"בן משפחה נלווה" – ילדו או נכדו של מי שהחזיק או התגורר בנכס במתחם כפר שלם עד למועד הקובע, והוא מחזיק או מתגורר בנכס, ובלבד שגילו מעל 25;</w:t>
            </w:r>
          </w:p>
        </w:tc>
      </w:tr>
      <w:tr w:rsidR="00BC05A0" w14:paraId="7A7849B1" w14:textId="77777777" w:rsidTr="00B43175">
        <w:tc>
          <w:tcPr>
            <w:tcW w:w="1871" w:type="dxa"/>
          </w:tcPr>
          <w:p w14:paraId="2826A6C4" w14:textId="77777777" w:rsidR="00BC05A0" w:rsidRDefault="00BC05A0" w:rsidP="00D76C6E">
            <w:pPr>
              <w:pStyle w:val="TableSideHeading"/>
              <w:rPr>
                <w:sz w:val="26"/>
                <w:rtl/>
              </w:rPr>
            </w:pPr>
          </w:p>
        </w:tc>
        <w:tc>
          <w:tcPr>
            <w:tcW w:w="624" w:type="dxa"/>
          </w:tcPr>
          <w:p w14:paraId="6DD886F7" w14:textId="77777777" w:rsidR="00BC05A0" w:rsidRDefault="00BC05A0" w:rsidP="00D76C6E">
            <w:pPr>
              <w:pStyle w:val="TableText"/>
              <w:rPr>
                <w:sz w:val="26"/>
                <w:rtl/>
              </w:rPr>
            </w:pPr>
          </w:p>
        </w:tc>
        <w:tc>
          <w:tcPr>
            <w:tcW w:w="7145" w:type="dxa"/>
            <w:gridSpan w:val="2"/>
            <w:hideMark/>
          </w:tcPr>
          <w:p w14:paraId="26BEA2CD" w14:textId="77777777" w:rsidR="00BC05A0" w:rsidRDefault="00BC05A0" w:rsidP="00D76C6E">
            <w:pPr>
              <w:pStyle w:val="TableBlockOutdent"/>
              <w:rPr>
                <w:sz w:val="26"/>
                <w:rtl/>
              </w:rPr>
            </w:pPr>
            <w:r>
              <w:rPr>
                <w:sz w:val="26"/>
                <w:rtl/>
              </w:rPr>
              <w:t xml:space="preserve">"גורם מפנה" – גורם שנוקט בהליכי פינוי כדין נגד מפונה, לרבות אחד מאלה: </w:t>
            </w:r>
          </w:p>
        </w:tc>
      </w:tr>
      <w:tr w:rsidR="00BC05A0" w14:paraId="627CA62E" w14:textId="77777777" w:rsidTr="00B43175">
        <w:tc>
          <w:tcPr>
            <w:tcW w:w="1871" w:type="dxa"/>
          </w:tcPr>
          <w:p w14:paraId="73B0067B" w14:textId="77777777" w:rsidR="00BC05A0" w:rsidRDefault="00BC05A0" w:rsidP="00D76C6E">
            <w:pPr>
              <w:pStyle w:val="TableSideHeading"/>
              <w:rPr>
                <w:rtl/>
              </w:rPr>
            </w:pPr>
          </w:p>
        </w:tc>
        <w:tc>
          <w:tcPr>
            <w:tcW w:w="624" w:type="dxa"/>
          </w:tcPr>
          <w:p w14:paraId="42F58E33" w14:textId="77777777" w:rsidR="00BC05A0" w:rsidRDefault="00BC05A0" w:rsidP="00D76C6E">
            <w:pPr>
              <w:pStyle w:val="TableText"/>
            </w:pPr>
          </w:p>
        </w:tc>
        <w:tc>
          <w:tcPr>
            <w:tcW w:w="624" w:type="dxa"/>
          </w:tcPr>
          <w:p w14:paraId="615D1B8F" w14:textId="77777777" w:rsidR="00BC05A0" w:rsidRDefault="00BC05A0" w:rsidP="00D76C6E">
            <w:pPr>
              <w:pStyle w:val="TableText"/>
            </w:pPr>
          </w:p>
        </w:tc>
        <w:tc>
          <w:tcPr>
            <w:tcW w:w="6521" w:type="dxa"/>
            <w:hideMark/>
          </w:tcPr>
          <w:p w14:paraId="4BF71F68" w14:textId="77777777" w:rsidR="00BC05A0" w:rsidRDefault="00BC05A0" w:rsidP="00D76C6E">
            <w:pPr>
              <w:pStyle w:val="TableBlockOutdent"/>
            </w:pPr>
            <w:r>
              <w:rPr>
                <w:sz w:val="26"/>
                <w:rtl/>
              </w:rPr>
              <w:t>(1)</w:t>
            </w:r>
            <w:r>
              <w:rPr>
                <w:sz w:val="26"/>
                <w:rtl/>
              </w:rPr>
              <w:tab/>
              <w:t>חברה לדיור ציבורי;</w:t>
            </w:r>
          </w:p>
        </w:tc>
      </w:tr>
      <w:tr w:rsidR="00BC05A0" w14:paraId="72BCB3BB" w14:textId="77777777" w:rsidTr="00B43175">
        <w:tc>
          <w:tcPr>
            <w:tcW w:w="1871" w:type="dxa"/>
          </w:tcPr>
          <w:p w14:paraId="630024E6" w14:textId="77777777" w:rsidR="00BC05A0" w:rsidRDefault="00BC05A0" w:rsidP="00D76C6E">
            <w:pPr>
              <w:pStyle w:val="TableSideHeading"/>
            </w:pPr>
          </w:p>
        </w:tc>
        <w:tc>
          <w:tcPr>
            <w:tcW w:w="624" w:type="dxa"/>
          </w:tcPr>
          <w:p w14:paraId="179484DE" w14:textId="77777777" w:rsidR="00BC05A0" w:rsidRDefault="00BC05A0" w:rsidP="00D76C6E">
            <w:pPr>
              <w:pStyle w:val="TableText"/>
            </w:pPr>
          </w:p>
        </w:tc>
        <w:tc>
          <w:tcPr>
            <w:tcW w:w="624" w:type="dxa"/>
          </w:tcPr>
          <w:p w14:paraId="37B9EF0C" w14:textId="77777777" w:rsidR="00BC05A0" w:rsidRDefault="00BC05A0" w:rsidP="00D76C6E">
            <w:pPr>
              <w:pStyle w:val="TableText"/>
            </w:pPr>
          </w:p>
        </w:tc>
        <w:tc>
          <w:tcPr>
            <w:tcW w:w="6521" w:type="dxa"/>
            <w:hideMark/>
          </w:tcPr>
          <w:p w14:paraId="73147440" w14:textId="70FF80F4" w:rsidR="00BC05A0" w:rsidRDefault="00BC05A0" w:rsidP="00D76C6E">
            <w:pPr>
              <w:pStyle w:val="TableBlockOutdent"/>
            </w:pPr>
            <w:r>
              <w:rPr>
                <w:sz w:val="26"/>
                <w:rtl/>
              </w:rPr>
              <w:t>(2)</w:t>
            </w:r>
            <w:r>
              <w:rPr>
                <w:sz w:val="26"/>
                <w:rtl/>
              </w:rPr>
              <w:tab/>
              <w:t>עיריית תל</w:t>
            </w:r>
            <w:r w:rsidR="006A3CD0">
              <w:rPr>
                <w:rFonts w:hint="cs"/>
                <w:rtl/>
              </w:rPr>
              <w:t xml:space="preserve"> </w:t>
            </w:r>
            <w:r>
              <w:rPr>
                <w:sz w:val="26"/>
                <w:rtl/>
              </w:rPr>
              <w:t>אביב</w:t>
            </w:r>
            <w:r w:rsidR="00CC7C5F">
              <w:rPr>
                <w:rtl/>
              </w:rPr>
              <w:t>–</w:t>
            </w:r>
            <w:r>
              <w:rPr>
                <w:sz w:val="26"/>
                <w:rtl/>
              </w:rPr>
              <w:t>יפו;</w:t>
            </w:r>
          </w:p>
        </w:tc>
      </w:tr>
      <w:tr w:rsidR="00BC05A0" w14:paraId="6EBE143B" w14:textId="77777777" w:rsidTr="00B43175">
        <w:tc>
          <w:tcPr>
            <w:tcW w:w="1871" w:type="dxa"/>
          </w:tcPr>
          <w:p w14:paraId="4C481022" w14:textId="77777777" w:rsidR="00BC05A0" w:rsidRDefault="00BC05A0" w:rsidP="00D76C6E">
            <w:pPr>
              <w:pStyle w:val="TableSideHeading"/>
            </w:pPr>
          </w:p>
        </w:tc>
        <w:tc>
          <w:tcPr>
            <w:tcW w:w="624" w:type="dxa"/>
          </w:tcPr>
          <w:p w14:paraId="039FC44B" w14:textId="77777777" w:rsidR="00BC05A0" w:rsidRDefault="00BC05A0" w:rsidP="00D76C6E">
            <w:pPr>
              <w:pStyle w:val="TableText"/>
            </w:pPr>
          </w:p>
        </w:tc>
        <w:tc>
          <w:tcPr>
            <w:tcW w:w="624" w:type="dxa"/>
          </w:tcPr>
          <w:p w14:paraId="233A1FDB" w14:textId="77777777" w:rsidR="00BC05A0" w:rsidRDefault="00BC05A0" w:rsidP="00D76C6E">
            <w:pPr>
              <w:pStyle w:val="TableText"/>
            </w:pPr>
          </w:p>
        </w:tc>
        <w:tc>
          <w:tcPr>
            <w:tcW w:w="6521" w:type="dxa"/>
            <w:hideMark/>
          </w:tcPr>
          <w:p w14:paraId="07E4C74A" w14:textId="77777777" w:rsidR="00BC05A0" w:rsidRDefault="00BC05A0" w:rsidP="00D76C6E">
            <w:pPr>
              <w:pStyle w:val="TableBlock"/>
            </w:pPr>
            <w:r>
              <w:rPr>
                <w:rtl/>
              </w:rPr>
              <w:t>(3)</w:t>
            </w:r>
            <w:r>
              <w:rPr>
                <w:rtl/>
              </w:rPr>
              <w:tab/>
              <w:t>רשות מקרקעי ישראל, כמשמעותה בחוק רשות מקרקעי ישראל, התש"ך–1960</w:t>
            </w:r>
            <w:r>
              <w:rPr>
                <w:rStyle w:val="a6"/>
                <w:rtl/>
              </w:rPr>
              <w:footnoteReference w:id="2"/>
            </w:r>
            <w:r>
              <w:rPr>
                <w:rtl/>
              </w:rPr>
              <w:t>;</w:t>
            </w:r>
          </w:p>
        </w:tc>
      </w:tr>
      <w:tr w:rsidR="00BC05A0" w14:paraId="143B1C79" w14:textId="77777777" w:rsidTr="00B43175">
        <w:tc>
          <w:tcPr>
            <w:tcW w:w="1871" w:type="dxa"/>
          </w:tcPr>
          <w:p w14:paraId="20DBAFC9" w14:textId="77777777" w:rsidR="00BC05A0" w:rsidRDefault="00BC05A0" w:rsidP="00D76C6E">
            <w:pPr>
              <w:pStyle w:val="TableSideHeading"/>
              <w:rPr>
                <w:sz w:val="26"/>
                <w:rtl/>
              </w:rPr>
            </w:pPr>
          </w:p>
        </w:tc>
        <w:tc>
          <w:tcPr>
            <w:tcW w:w="624" w:type="dxa"/>
          </w:tcPr>
          <w:p w14:paraId="26F37349" w14:textId="77777777" w:rsidR="00BC05A0" w:rsidRDefault="00BC05A0" w:rsidP="00D76C6E">
            <w:pPr>
              <w:pStyle w:val="TableText"/>
              <w:rPr>
                <w:sz w:val="26"/>
                <w:rtl/>
              </w:rPr>
            </w:pPr>
          </w:p>
        </w:tc>
        <w:tc>
          <w:tcPr>
            <w:tcW w:w="7145" w:type="dxa"/>
            <w:gridSpan w:val="2"/>
            <w:hideMark/>
          </w:tcPr>
          <w:p w14:paraId="649A7303" w14:textId="77777777" w:rsidR="00BC05A0" w:rsidRDefault="00BC05A0" w:rsidP="00D76C6E">
            <w:pPr>
              <w:pStyle w:val="TableBlockOutdent"/>
              <w:rPr>
                <w:sz w:val="26"/>
                <w:rtl/>
              </w:rPr>
            </w:pPr>
            <w:r>
              <w:rPr>
                <w:sz w:val="26"/>
                <w:rtl/>
              </w:rPr>
              <w:t>"ועדת הפינויים" – ועדת הפינויים הפועלת לפי מסמך הקריטריונים;</w:t>
            </w:r>
          </w:p>
        </w:tc>
      </w:tr>
      <w:tr w:rsidR="00BC05A0" w14:paraId="21F43E38" w14:textId="77777777" w:rsidTr="00B43175">
        <w:tc>
          <w:tcPr>
            <w:tcW w:w="1871" w:type="dxa"/>
          </w:tcPr>
          <w:p w14:paraId="3AC01464" w14:textId="77777777" w:rsidR="00BC05A0" w:rsidRDefault="00BC05A0" w:rsidP="00D76C6E">
            <w:pPr>
              <w:pStyle w:val="TableSideHeading"/>
              <w:rPr>
                <w:sz w:val="26"/>
                <w:rtl/>
              </w:rPr>
            </w:pPr>
          </w:p>
        </w:tc>
        <w:tc>
          <w:tcPr>
            <w:tcW w:w="624" w:type="dxa"/>
          </w:tcPr>
          <w:p w14:paraId="75DB1046" w14:textId="77777777" w:rsidR="00BC05A0" w:rsidRDefault="00BC05A0" w:rsidP="00D76C6E">
            <w:pPr>
              <w:pStyle w:val="TableText"/>
              <w:rPr>
                <w:sz w:val="26"/>
                <w:rtl/>
              </w:rPr>
            </w:pPr>
          </w:p>
        </w:tc>
        <w:tc>
          <w:tcPr>
            <w:tcW w:w="7145" w:type="dxa"/>
            <w:gridSpan w:val="2"/>
            <w:hideMark/>
          </w:tcPr>
          <w:p w14:paraId="700C465D" w14:textId="77777777" w:rsidR="00BC05A0" w:rsidRDefault="00BC05A0" w:rsidP="00D76C6E">
            <w:pPr>
              <w:pStyle w:val="TableBlockOutdent"/>
              <w:rPr>
                <w:sz w:val="26"/>
                <w:rtl/>
              </w:rPr>
            </w:pPr>
            <w:r>
              <w:rPr>
                <w:sz w:val="26"/>
                <w:rtl/>
              </w:rPr>
              <w:t>"זכאי" – ראש משפחה, או בן משפחה נלווה המתגורר או המחזיק בנכס בכפר שלם;</w:t>
            </w:r>
          </w:p>
        </w:tc>
      </w:tr>
      <w:tr w:rsidR="00BC05A0" w14:paraId="29AD7100" w14:textId="77777777" w:rsidTr="00B43175">
        <w:tc>
          <w:tcPr>
            <w:tcW w:w="1871" w:type="dxa"/>
          </w:tcPr>
          <w:p w14:paraId="3203BB7E" w14:textId="77777777" w:rsidR="00BC05A0" w:rsidRDefault="00BC05A0" w:rsidP="00D76C6E">
            <w:pPr>
              <w:pStyle w:val="TableSideHeading"/>
              <w:rPr>
                <w:sz w:val="26"/>
                <w:rtl/>
              </w:rPr>
            </w:pPr>
          </w:p>
        </w:tc>
        <w:tc>
          <w:tcPr>
            <w:tcW w:w="624" w:type="dxa"/>
          </w:tcPr>
          <w:p w14:paraId="543C9FBF" w14:textId="77777777" w:rsidR="00BC05A0" w:rsidRDefault="00BC05A0" w:rsidP="00D76C6E">
            <w:pPr>
              <w:pStyle w:val="TableText"/>
              <w:rPr>
                <w:sz w:val="26"/>
                <w:rtl/>
              </w:rPr>
            </w:pPr>
          </w:p>
        </w:tc>
        <w:tc>
          <w:tcPr>
            <w:tcW w:w="7145" w:type="dxa"/>
            <w:gridSpan w:val="2"/>
            <w:hideMark/>
          </w:tcPr>
          <w:p w14:paraId="34C94D76" w14:textId="77777777" w:rsidR="00BC05A0" w:rsidRDefault="00BC05A0" w:rsidP="00D76C6E">
            <w:pPr>
              <w:pStyle w:val="TableBlockOutdent"/>
              <w:rPr>
                <w:sz w:val="26"/>
                <w:rtl/>
              </w:rPr>
            </w:pPr>
            <w:r>
              <w:rPr>
                <w:sz w:val="26"/>
                <w:rtl/>
              </w:rPr>
              <w:t>"חברה לדיור ציבורי" – כהגדרתה בחוק זכויות הדייר בדיור הציבורי, התשנ"ח–1998</w:t>
            </w:r>
            <w:r>
              <w:rPr>
                <w:sz w:val="26"/>
                <w:vertAlign w:val="superscript"/>
                <w:rtl/>
              </w:rPr>
              <w:footnoteReference w:id="3"/>
            </w:r>
            <w:r>
              <w:rPr>
                <w:sz w:val="26"/>
                <w:rtl/>
              </w:rPr>
              <w:t xml:space="preserve">; </w:t>
            </w:r>
          </w:p>
        </w:tc>
      </w:tr>
      <w:tr w:rsidR="006A3CD0" w14:paraId="37A5616B" w14:textId="77777777" w:rsidTr="00B43175">
        <w:tc>
          <w:tcPr>
            <w:tcW w:w="1871" w:type="dxa"/>
          </w:tcPr>
          <w:p w14:paraId="5815A63E" w14:textId="221AAC21" w:rsidR="006A3CD0" w:rsidRDefault="006A3CD0" w:rsidP="006A3CD0">
            <w:pPr>
              <w:pStyle w:val="TableSideHeading"/>
              <w:rPr>
                <w:sz w:val="26"/>
                <w:rtl/>
              </w:rPr>
            </w:pPr>
          </w:p>
        </w:tc>
        <w:tc>
          <w:tcPr>
            <w:tcW w:w="624" w:type="dxa"/>
          </w:tcPr>
          <w:p w14:paraId="519783D2" w14:textId="77777777" w:rsidR="006A3CD0" w:rsidRDefault="006A3CD0" w:rsidP="006A3CD0">
            <w:pPr>
              <w:pStyle w:val="TableText"/>
              <w:rPr>
                <w:sz w:val="26"/>
                <w:rtl/>
              </w:rPr>
            </w:pPr>
          </w:p>
        </w:tc>
        <w:tc>
          <w:tcPr>
            <w:tcW w:w="7145" w:type="dxa"/>
            <w:gridSpan w:val="2"/>
          </w:tcPr>
          <w:p w14:paraId="3CA8ED53" w14:textId="2EA24415" w:rsidR="006A3CD0" w:rsidRDefault="006A3CD0" w:rsidP="006A3CD0">
            <w:pPr>
              <w:pStyle w:val="TableBlock"/>
              <w:tabs>
                <w:tab w:val="left" w:pos="624"/>
                <w:tab w:val="left" w:pos="1247"/>
              </w:tabs>
              <w:rPr>
                <w:rtl/>
              </w:rPr>
            </w:pPr>
            <w:r>
              <w:rPr>
                <w:sz w:val="26"/>
                <w:rtl/>
              </w:rPr>
              <w:t>"המועד הקובע" – ב' בניסן התשמ"ז (1 באפריל 1987);</w:t>
            </w:r>
          </w:p>
        </w:tc>
      </w:tr>
      <w:tr w:rsidR="006A3CD0" w14:paraId="39352AEC" w14:textId="77777777" w:rsidTr="00B43175">
        <w:tc>
          <w:tcPr>
            <w:tcW w:w="1871" w:type="dxa"/>
          </w:tcPr>
          <w:p w14:paraId="7DD4CB43" w14:textId="77777777" w:rsidR="006A3CD0" w:rsidRDefault="006A3CD0" w:rsidP="006A3CD0">
            <w:pPr>
              <w:pStyle w:val="TableSideHeading"/>
              <w:rPr>
                <w:rtl/>
              </w:rPr>
            </w:pPr>
          </w:p>
        </w:tc>
        <w:tc>
          <w:tcPr>
            <w:tcW w:w="624" w:type="dxa"/>
          </w:tcPr>
          <w:p w14:paraId="6786C75E" w14:textId="77777777" w:rsidR="006A3CD0" w:rsidRDefault="006A3CD0" w:rsidP="006A3CD0">
            <w:pPr>
              <w:pStyle w:val="TableText"/>
            </w:pPr>
          </w:p>
        </w:tc>
        <w:tc>
          <w:tcPr>
            <w:tcW w:w="7145" w:type="dxa"/>
            <w:gridSpan w:val="2"/>
            <w:hideMark/>
          </w:tcPr>
          <w:p w14:paraId="389B4F12" w14:textId="77777777" w:rsidR="006A3CD0" w:rsidRDefault="006A3CD0" w:rsidP="006A3CD0">
            <w:pPr>
              <w:pStyle w:val="TableBlockOutdent"/>
              <w:rPr>
                <w:sz w:val="26"/>
              </w:rPr>
            </w:pPr>
            <w:r>
              <w:rPr>
                <w:sz w:val="26"/>
                <w:rtl/>
              </w:rPr>
              <w:t>"מסלול פינוי בנה ביתך" – פינוי שתמורתו מוענקות למפונה זכויות בקרקע ופיצוי כספי לצורך בניית בית במקום הנכס שפינה, בהתאם לקריטריונים לפינוי במסגרת בנה ביתך, כמפורט במסמך הקריטריונים;</w:t>
            </w:r>
          </w:p>
        </w:tc>
      </w:tr>
      <w:tr w:rsidR="006A3CD0" w14:paraId="64676827" w14:textId="77777777" w:rsidTr="00B43175">
        <w:tc>
          <w:tcPr>
            <w:tcW w:w="1871" w:type="dxa"/>
          </w:tcPr>
          <w:p w14:paraId="47BC8137" w14:textId="77777777" w:rsidR="006A3CD0" w:rsidRDefault="006A3CD0" w:rsidP="006A3CD0">
            <w:pPr>
              <w:pStyle w:val="TableSideHeading"/>
            </w:pPr>
          </w:p>
        </w:tc>
        <w:tc>
          <w:tcPr>
            <w:tcW w:w="624" w:type="dxa"/>
          </w:tcPr>
          <w:p w14:paraId="25B600E3" w14:textId="77777777" w:rsidR="006A3CD0" w:rsidRDefault="006A3CD0" w:rsidP="006A3CD0">
            <w:pPr>
              <w:pStyle w:val="TableText"/>
            </w:pPr>
          </w:p>
        </w:tc>
        <w:tc>
          <w:tcPr>
            <w:tcW w:w="7145" w:type="dxa"/>
            <w:gridSpan w:val="2"/>
            <w:hideMark/>
          </w:tcPr>
          <w:p w14:paraId="524CB923" w14:textId="77777777" w:rsidR="006A3CD0" w:rsidRDefault="006A3CD0" w:rsidP="006A3CD0">
            <w:pPr>
              <w:pStyle w:val="TableBlockOutdent"/>
              <w:rPr>
                <w:sz w:val="26"/>
              </w:rPr>
            </w:pPr>
            <w:r>
              <w:rPr>
                <w:sz w:val="26"/>
                <w:rtl/>
              </w:rPr>
              <w:t xml:space="preserve">"מסלול פינוי שוק חופשי" – פינוי שתמורתו מוענק למפונה סכום כספי לצורך רכישת דירה במקום הנכס שפינה, בהתאם לקריטריונים לפינוי בשוק </w:t>
            </w:r>
            <w:r>
              <w:rPr>
                <w:sz w:val="26"/>
                <w:rtl/>
              </w:rPr>
              <w:lastRenderedPageBreak/>
              <w:t>החופשי, כמפורט במסמך הקריטריונים;</w:t>
            </w:r>
          </w:p>
        </w:tc>
      </w:tr>
      <w:tr w:rsidR="006A3CD0" w14:paraId="22A969B3" w14:textId="77777777" w:rsidTr="00B43175">
        <w:tc>
          <w:tcPr>
            <w:tcW w:w="1871" w:type="dxa"/>
          </w:tcPr>
          <w:p w14:paraId="6E138458" w14:textId="77777777" w:rsidR="006A3CD0" w:rsidRDefault="006A3CD0" w:rsidP="006A3CD0">
            <w:pPr>
              <w:pStyle w:val="TableSideHeading"/>
              <w:rPr>
                <w:rtl/>
              </w:rPr>
            </w:pPr>
          </w:p>
        </w:tc>
        <w:tc>
          <w:tcPr>
            <w:tcW w:w="624" w:type="dxa"/>
          </w:tcPr>
          <w:p w14:paraId="7DC91E8C" w14:textId="77777777" w:rsidR="006A3CD0" w:rsidRDefault="006A3CD0" w:rsidP="006A3CD0">
            <w:pPr>
              <w:pStyle w:val="TableText"/>
            </w:pPr>
          </w:p>
        </w:tc>
        <w:tc>
          <w:tcPr>
            <w:tcW w:w="7145" w:type="dxa"/>
            <w:gridSpan w:val="2"/>
            <w:hideMark/>
          </w:tcPr>
          <w:p w14:paraId="27A5E75C" w14:textId="77777777" w:rsidR="006A3CD0" w:rsidRDefault="006A3CD0" w:rsidP="006A3CD0">
            <w:pPr>
              <w:pStyle w:val="TableBlockOutdent"/>
              <w:rPr>
                <w:sz w:val="26"/>
              </w:rPr>
            </w:pPr>
            <w:r>
              <w:rPr>
                <w:sz w:val="26"/>
                <w:rtl/>
              </w:rPr>
              <w:t>"מסמך הקריטריונים" – מסמך ריכוז הקריטריונים לפינוי כפר שלם מיום י"ט בסיון התשנ"ו (6 ביוני 1996) של משרד הבינוי והשיכון, המפורסם לעיון הציבור באתר האינטרנט של המשרד;</w:t>
            </w:r>
          </w:p>
        </w:tc>
      </w:tr>
      <w:tr w:rsidR="006A3CD0" w14:paraId="3443DC54" w14:textId="77777777" w:rsidTr="00B43175">
        <w:tc>
          <w:tcPr>
            <w:tcW w:w="1871" w:type="dxa"/>
          </w:tcPr>
          <w:p w14:paraId="5848B11F" w14:textId="77777777" w:rsidR="006A3CD0" w:rsidRDefault="006A3CD0" w:rsidP="006A3CD0">
            <w:pPr>
              <w:pStyle w:val="TableSideHeading"/>
              <w:rPr>
                <w:rtl/>
              </w:rPr>
            </w:pPr>
          </w:p>
        </w:tc>
        <w:tc>
          <w:tcPr>
            <w:tcW w:w="624" w:type="dxa"/>
          </w:tcPr>
          <w:p w14:paraId="77BFDBD5" w14:textId="77777777" w:rsidR="006A3CD0" w:rsidRDefault="006A3CD0" w:rsidP="006A3CD0">
            <w:pPr>
              <w:pStyle w:val="TableText"/>
            </w:pPr>
          </w:p>
        </w:tc>
        <w:tc>
          <w:tcPr>
            <w:tcW w:w="7145" w:type="dxa"/>
            <w:gridSpan w:val="2"/>
            <w:hideMark/>
          </w:tcPr>
          <w:p w14:paraId="166177F6" w14:textId="77777777" w:rsidR="006A3CD0" w:rsidRDefault="006A3CD0" w:rsidP="006A3CD0">
            <w:pPr>
              <w:pStyle w:val="TableBlockOutdent"/>
              <w:rPr>
                <w:sz w:val="26"/>
              </w:rPr>
            </w:pPr>
            <w:r>
              <w:rPr>
                <w:sz w:val="26"/>
                <w:rtl/>
              </w:rPr>
              <w:t>"מפונה" – זכאי המפונה מנכס שבחזקתו במתחם כפר שלם;</w:t>
            </w:r>
          </w:p>
        </w:tc>
      </w:tr>
      <w:tr w:rsidR="006A3CD0" w14:paraId="6BEAB738" w14:textId="77777777" w:rsidTr="00B43175">
        <w:tc>
          <w:tcPr>
            <w:tcW w:w="1871" w:type="dxa"/>
          </w:tcPr>
          <w:p w14:paraId="2A6852B1" w14:textId="77777777" w:rsidR="006A3CD0" w:rsidRDefault="006A3CD0" w:rsidP="006A3CD0">
            <w:pPr>
              <w:pStyle w:val="TableSideHeading"/>
              <w:rPr>
                <w:rtl/>
              </w:rPr>
            </w:pPr>
          </w:p>
        </w:tc>
        <w:tc>
          <w:tcPr>
            <w:tcW w:w="624" w:type="dxa"/>
          </w:tcPr>
          <w:p w14:paraId="7F391169" w14:textId="77777777" w:rsidR="006A3CD0" w:rsidRDefault="006A3CD0" w:rsidP="006A3CD0">
            <w:pPr>
              <w:pStyle w:val="TableText"/>
            </w:pPr>
          </w:p>
        </w:tc>
        <w:tc>
          <w:tcPr>
            <w:tcW w:w="7145" w:type="dxa"/>
            <w:gridSpan w:val="2"/>
            <w:hideMark/>
          </w:tcPr>
          <w:p w14:paraId="4B5DE36D" w14:textId="77777777" w:rsidR="006A3CD0" w:rsidRDefault="006A3CD0" w:rsidP="006A3CD0">
            <w:pPr>
              <w:pStyle w:val="TableBlockOutdent"/>
              <w:rPr>
                <w:sz w:val="26"/>
              </w:rPr>
            </w:pPr>
            <w:r>
              <w:rPr>
                <w:sz w:val="26"/>
                <w:rtl/>
              </w:rPr>
              <w:t>"מתחם כפר שלם" – התחום הגיאוגרפי המסומן במפה שבתוספת;</w:t>
            </w:r>
          </w:p>
        </w:tc>
      </w:tr>
      <w:tr w:rsidR="006A3CD0" w14:paraId="53268692" w14:textId="77777777" w:rsidTr="00B43175">
        <w:tc>
          <w:tcPr>
            <w:tcW w:w="1871" w:type="dxa"/>
          </w:tcPr>
          <w:p w14:paraId="2683CB64" w14:textId="77777777" w:rsidR="006A3CD0" w:rsidRDefault="006A3CD0" w:rsidP="006A3CD0">
            <w:pPr>
              <w:pStyle w:val="TableSideHeading"/>
              <w:rPr>
                <w:rtl/>
              </w:rPr>
            </w:pPr>
          </w:p>
        </w:tc>
        <w:tc>
          <w:tcPr>
            <w:tcW w:w="624" w:type="dxa"/>
          </w:tcPr>
          <w:p w14:paraId="291E9279" w14:textId="77777777" w:rsidR="006A3CD0" w:rsidRDefault="006A3CD0" w:rsidP="006A3CD0">
            <w:pPr>
              <w:pStyle w:val="TableText"/>
            </w:pPr>
          </w:p>
        </w:tc>
        <w:tc>
          <w:tcPr>
            <w:tcW w:w="7145" w:type="dxa"/>
            <w:gridSpan w:val="2"/>
            <w:hideMark/>
          </w:tcPr>
          <w:p w14:paraId="14E5E8F4" w14:textId="77777777" w:rsidR="006A3CD0" w:rsidRDefault="006A3CD0" w:rsidP="006A3CD0">
            <w:pPr>
              <w:pStyle w:val="TableBlockOutdent"/>
              <w:rPr>
                <w:sz w:val="26"/>
              </w:rPr>
            </w:pPr>
            <w:r>
              <w:rPr>
                <w:sz w:val="26"/>
                <w:rtl/>
              </w:rPr>
              <w:t>"ראש משפחה" – מי שהתגורר או החזיק בנכס בכפר שלם עד למועד הקובע, ובלבד שבבני זוג יוכר ראש משפחה אחד בלבד;</w:t>
            </w:r>
          </w:p>
        </w:tc>
      </w:tr>
      <w:tr w:rsidR="006A3CD0" w14:paraId="7D6E83E2" w14:textId="77777777" w:rsidTr="00B43175">
        <w:tc>
          <w:tcPr>
            <w:tcW w:w="1871" w:type="dxa"/>
          </w:tcPr>
          <w:p w14:paraId="08057625" w14:textId="77777777" w:rsidR="006A3CD0" w:rsidRDefault="006A3CD0" w:rsidP="006A3CD0">
            <w:pPr>
              <w:pStyle w:val="TableSideHeading"/>
              <w:rPr>
                <w:rtl/>
              </w:rPr>
            </w:pPr>
          </w:p>
        </w:tc>
        <w:tc>
          <w:tcPr>
            <w:tcW w:w="624" w:type="dxa"/>
          </w:tcPr>
          <w:p w14:paraId="54921A85" w14:textId="77777777" w:rsidR="006A3CD0" w:rsidRDefault="006A3CD0" w:rsidP="006A3CD0">
            <w:pPr>
              <w:pStyle w:val="TableText"/>
            </w:pPr>
          </w:p>
        </w:tc>
        <w:tc>
          <w:tcPr>
            <w:tcW w:w="7145" w:type="dxa"/>
            <w:gridSpan w:val="2"/>
            <w:hideMark/>
          </w:tcPr>
          <w:p w14:paraId="0410392F" w14:textId="77777777" w:rsidR="006A3CD0" w:rsidRDefault="006A3CD0" w:rsidP="00B43175">
            <w:pPr>
              <w:pStyle w:val="TableBlockOutdent"/>
              <w:tabs>
                <w:tab w:val="left" w:pos="624"/>
                <w:tab w:val="left" w:pos="1247"/>
              </w:tabs>
              <w:rPr>
                <w:sz w:val="26"/>
              </w:rPr>
            </w:pPr>
            <w:r>
              <w:rPr>
                <w:sz w:val="26"/>
                <w:rtl/>
              </w:rPr>
              <w:t>"</w:t>
            </w:r>
            <w:r w:rsidRPr="00B43175">
              <w:rPr>
                <w:rtl/>
              </w:rPr>
              <w:t>תושב ותיק" – זכאי המתגורר או המחזיק בנכס במתחם כפר שלם ברציפות החל ממועד תחילתו של חוק בינוי ופינוי של אזורי שיקום, התשכ"ה–1965</w:t>
            </w:r>
            <w:r w:rsidRPr="00B43175">
              <w:rPr>
                <w:vertAlign w:val="superscript"/>
                <w:rtl/>
              </w:rPr>
              <w:footnoteReference w:id="4"/>
            </w:r>
            <w:r w:rsidRPr="00B43175">
              <w:rPr>
                <w:rtl/>
              </w:rPr>
              <w:t>, וכן בן משפחה נלווה שלו.</w:t>
            </w:r>
            <w:r>
              <w:rPr>
                <w:sz w:val="26"/>
                <w:rtl/>
              </w:rPr>
              <w:t xml:space="preserve"> </w:t>
            </w:r>
          </w:p>
        </w:tc>
      </w:tr>
      <w:tr w:rsidR="006A3CD0" w14:paraId="0D15C641" w14:textId="77777777" w:rsidTr="00B43175">
        <w:tc>
          <w:tcPr>
            <w:tcW w:w="1871" w:type="dxa"/>
            <w:hideMark/>
          </w:tcPr>
          <w:p w14:paraId="13C65DB4" w14:textId="77777777" w:rsidR="006A3CD0" w:rsidRDefault="006A3CD0" w:rsidP="006A3CD0">
            <w:pPr>
              <w:pStyle w:val="TableSideHeading"/>
            </w:pPr>
            <w:r>
              <w:rPr>
                <w:sz w:val="26"/>
                <w:rtl/>
              </w:rPr>
              <w:t>זכאות לפיצויים</w:t>
            </w:r>
          </w:p>
        </w:tc>
        <w:tc>
          <w:tcPr>
            <w:tcW w:w="624" w:type="dxa"/>
            <w:hideMark/>
          </w:tcPr>
          <w:p w14:paraId="3C058BBF" w14:textId="77777777" w:rsidR="006A3CD0" w:rsidRDefault="006A3CD0" w:rsidP="006A3CD0">
            <w:pPr>
              <w:pStyle w:val="TableText"/>
            </w:pPr>
            <w:r>
              <w:rPr>
                <w:sz w:val="26"/>
                <w:rtl/>
              </w:rPr>
              <w:t>3.</w:t>
            </w:r>
          </w:p>
        </w:tc>
        <w:tc>
          <w:tcPr>
            <w:tcW w:w="7145" w:type="dxa"/>
            <w:gridSpan w:val="2"/>
            <w:hideMark/>
          </w:tcPr>
          <w:p w14:paraId="3BCEF18F" w14:textId="77777777" w:rsidR="006A3CD0" w:rsidRDefault="006A3CD0" w:rsidP="006A3CD0">
            <w:pPr>
              <w:pStyle w:val="TableBlock"/>
              <w:rPr>
                <w:lang w:eastAsia="en-US"/>
              </w:rPr>
            </w:pPr>
            <w:r>
              <w:rPr>
                <w:sz w:val="26"/>
                <w:rtl/>
                <w:lang w:eastAsia="en-US"/>
              </w:rPr>
              <w:t xml:space="preserve">על אף האמור בכל דין, לא יפונה זכאי ממתחם כפר שלם, אלא אם כן הובטחה זכאותו לפיצויים לפי חוק זה. </w:t>
            </w:r>
          </w:p>
        </w:tc>
      </w:tr>
      <w:tr w:rsidR="006A3CD0" w14:paraId="00211808" w14:textId="77777777" w:rsidTr="00B43175">
        <w:tc>
          <w:tcPr>
            <w:tcW w:w="1871" w:type="dxa"/>
            <w:hideMark/>
          </w:tcPr>
          <w:p w14:paraId="17637426" w14:textId="77777777" w:rsidR="006A3CD0" w:rsidRDefault="006A3CD0" w:rsidP="006A3CD0">
            <w:pPr>
              <w:pStyle w:val="TableSideHeading"/>
            </w:pPr>
            <w:r>
              <w:rPr>
                <w:sz w:val="26"/>
                <w:rtl/>
              </w:rPr>
              <w:t>פיצויי פינוי עבור מגורים</w:t>
            </w:r>
            <w:r>
              <w:rPr>
                <w:rFonts w:hint="cs"/>
              </w:rPr>
              <w:t xml:space="preserve"> </w:t>
            </w:r>
          </w:p>
        </w:tc>
        <w:tc>
          <w:tcPr>
            <w:tcW w:w="624" w:type="dxa"/>
            <w:hideMark/>
          </w:tcPr>
          <w:p w14:paraId="5D6B82AF" w14:textId="77777777" w:rsidR="006A3CD0" w:rsidRDefault="006A3CD0" w:rsidP="006A3CD0">
            <w:pPr>
              <w:pStyle w:val="TableText"/>
            </w:pPr>
            <w:r>
              <w:rPr>
                <w:sz w:val="26"/>
                <w:rtl/>
              </w:rPr>
              <w:t>4.</w:t>
            </w:r>
          </w:p>
        </w:tc>
        <w:tc>
          <w:tcPr>
            <w:tcW w:w="7145" w:type="dxa"/>
            <w:gridSpan w:val="2"/>
            <w:hideMark/>
          </w:tcPr>
          <w:p w14:paraId="00816C37" w14:textId="77777777" w:rsidR="006A3CD0" w:rsidRDefault="006A3CD0" w:rsidP="006A3CD0">
            <w:pPr>
              <w:pStyle w:val="TableBlock"/>
              <w:rPr>
                <w:lang w:eastAsia="en-US"/>
              </w:rPr>
            </w:pPr>
            <w:r>
              <w:rPr>
                <w:sz w:val="26"/>
                <w:rtl/>
                <w:lang w:eastAsia="en-US"/>
              </w:rPr>
              <w:t xml:space="preserve">(א) </w:t>
            </w:r>
            <w:r>
              <w:rPr>
                <w:sz w:val="26"/>
                <w:rtl/>
                <w:lang w:eastAsia="en-US"/>
              </w:rPr>
              <w:tab/>
              <w:t xml:space="preserve">סכום הפיצויים עבור מגורים למפונה במסלול פינוי בנה ביתך לא יפחת מהסכום המרבי שאותו הייתה רשאית לאשר ועדת הפינויים לפי מסמך הקריטריונים </w:t>
            </w:r>
            <w:r>
              <w:rPr>
                <w:rFonts w:ascii="Times New Roman" w:hAnsi="Times New Roman"/>
                <w:sz w:val="26"/>
                <w:rtl/>
              </w:rPr>
              <w:t xml:space="preserve">בתוספת </w:t>
            </w:r>
            <w:r>
              <w:rPr>
                <w:sz w:val="26"/>
                <w:rtl/>
                <w:lang w:eastAsia="en-US"/>
              </w:rPr>
              <w:t xml:space="preserve">הצמדה למדד </w:t>
            </w:r>
            <w:r>
              <w:rPr>
                <w:sz w:val="26"/>
                <w:rtl/>
              </w:rPr>
              <w:t xml:space="preserve">מיום י"ט בסיוון התשנ"ו (6 ביוני 1996), </w:t>
            </w:r>
            <w:r>
              <w:rPr>
                <w:sz w:val="26"/>
                <w:rtl/>
                <w:lang w:eastAsia="en-US"/>
              </w:rPr>
              <w:t>ועד יום תשלום הפיצויים בפועל; בסעיף קטן זה, "מדד" – מדד התשומות בבנייה למגורים שמפרסמת הלשכה המרכזית לסטטיסטיקה.</w:t>
            </w:r>
          </w:p>
        </w:tc>
      </w:tr>
      <w:tr w:rsidR="006A3CD0" w14:paraId="2A5893B4" w14:textId="77777777" w:rsidTr="00B43175">
        <w:tc>
          <w:tcPr>
            <w:tcW w:w="1871" w:type="dxa"/>
          </w:tcPr>
          <w:p w14:paraId="10A3982B" w14:textId="77777777" w:rsidR="006A3CD0" w:rsidRDefault="006A3CD0" w:rsidP="006A3CD0">
            <w:pPr>
              <w:pStyle w:val="TableSideHeading"/>
            </w:pPr>
          </w:p>
        </w:tc>
        <w:tc>
          <w:tcPr>
            <w:tcW w:w="624" w:type="dxa"/>
          </w:tcPr>
          <w:p w14:paraId="6F115D81" w14:textId="77777777" w:rsidR="006A3CD0" w:rsidRDefault="006A3CD0" w:rsidP="006A3CD0">
            <w:pPr>
              <w:pStyle w:val="TableText"/>
            </w:pPr>
          </w:p>
        </w:tc>
        <w:tc>
          <w:tcPr>
            <w:tcW w:w="7145" w:type="dxa"/>
            <w:gridSpan w:val="2"/>
            <w:hideMark/>
          </w:tcPr>
          <w:p w14:paraId="083D14EE" w14:textId="77777777" w:rsidR="006A3CD0" w:rsidRDefault="006A3CD0" w:rsidP="006A3CD0">
            <w:pPr>
              <w:pStyle w:val="TableBlock"/>
              <w:rPr>
                <w:lang w:eastAsia="en-US"/>
              </w:rPr>
            </w:pPr>
            <w:r>
              <w:rPr>
                <w:sz w:val="26"/>
                <w:rtl/>
                <w:lang w:eastAsia="en-US"/>
              </w:rPr>
              <w:t xml:space="preserve">(ב) </w:t>
            </w:r>
            <w:r>
              <w:rPr>
                <w:sz w:val="26"/>
                <w:rtl/>
                <w:lang w:eastAsia="en-US"/>
              </w:rPr>
              <w:tab/>
              <w:t>סכום הפיצויים עבור מגורים למפונה במסלול פינוי שוק חופשי לא יפחת משווי מחירה הממוצע של דירת ארבעה חדרים חדשה במתחם כפר שלם, ששטחה 100 מטרים מרובעים.</w:t>
            </w:r>
          </w:p>
        </w:tc>
      </w:tr>
      <w:tr w:rsidR="006A3CD0" w14:paraId="26783B87" w14:textId="77777777" w:rsidTr="00B43175">
        <w:tc>
          <w:tcPr>
            <w:tcW w:w="1871" w:type="dxa"/>
          </w:tcPr>
          <w:p w14:paraId="23271E6F" w14:textId="77777777" w:rsidR="006A3CD0" w:rsidRDefault="006A3CD0" w:rsidP="006A3CD0">
            <w:pPr>
              <w:pStyle w:val="TableSideHeading"/>
            </w:pPr>
          </w:p>
        </w:tc>
        <w:tc>
          <w:tcPr>
            <w:tcW w:w="624" w:type="dxa"/>
          </w:tcPr>
          <w:p w14:paraId="2EC74B16" w14:textId="77777777" w:rsidR="006A3CD0" w:rsidRDefault="006A3CD0" w:rsidP="006A3CD0">
            <w:pPr>
              <w:pStyle w:val="TableText"/>
            </w:pPr>
          </w:p>
        </w:tc>
        <w:tc>
          <w:tcPr>
            <w:tcW w:w="7145" w:type="dxa"/>
            <w:gridSpan w:val="2"/>
            <w:hideMark/>
          </w:tcPr>
          <w:p w14:paraId="2E985EC3" w14:textId="77777777" w:rsidR="006A3CD0" w:rsidRDefault="006A3CD0" w:rsidP="006A3CD0">
            <w:pPr>
              <w:pStyle w:val="TableBlock"/>
              <w:rPr>
                <w:lang w:eastAsia="en-US"/>
              </w:rPr>
            </w:pPr>
            <w:r>
              <w:rPr>
                <w:sz w:val="26"/>
                <w:rtl/>
                <w:lang w:eastAsia="en-US"/>
              </w:rPr>
              <w:t xml:space="preserve">(ג) </w:t>
            </w:r>
            <w:r>
              <w:rPr>
                <w:sz w:val="26"/>
                <w:rtl/>
                <w:lang w:eastAsia="en-US"/>
              </w:rPr>
              <w:tab/>
              <w:t xml:space="preserve">מפונה במסגרת מסלול פינוי בנה ביתך יהיה רשאי לבחור בין זכאותו לפי מסלול זה לבין זכאות במסלול פינוי שוק חופשי. </w:t>
            </w:r>
          </w:p>
        </w:tc>
      </w:tr>
      <w:tr w:rsidR="006A3CD0" w14:paraId="1FEB6EA6" w14:textId="77777777" w:rsidTr="00B43175">
        <w:tc>
          <w:tcPr>
            <w:tcW w:w="1871" w:type="dxa"/>
            <w:hideMark/>
          </w:tcPr>
          <w:p w14:paraId="6D9077F7" w14:textId="77777777" w:rsidR="006A3CD0" w:rsidRDefault="006A3CD0" w:rsidP="006A3CD0">
            <w:pPr>
              <w:pStyle w:val="TableSideHeading"/>
            </w:pPr>
            <w:r>
              <w:rPr>
                <w:sz w:val="26"/>
                <w:rtl/>
              </w:rPr>
              <w:t>פיצויי פינוי נוספים</w:t>
            </w:r>
          </w:p>
        </w:tc>
        <w:tc>
          <w:tcPr>
            <w:tcW w:w="624" w:type="dxa"/>
            <w:hideMark/>
          </w:tcPr>
          <w:p w14:paraId="5A573B56" w14:textId="77777777" w:rsidR="006A3CD0" w:rsidRDefault="006A3CD0" w:rsidP="006A3CD0">
            <w:pPr>
              <w:pStyle w:val="TableText"/>
            </w:pPr>
            <w:r>
              <w:rPr>
                <w:sz w:val="26"/>
                <w:rtl/>
              </w:rPr>
              <w:t>5.</w:t>
            </w:r>
          </w:p>
        </w:tc>
        <w:tc>
          <w:tcPr>
            <w:tcW w:w="7145" w:type="dxa"/>
            <w:gridSpan w:val="2"/>
            <w:hideMark/>
          </w:tcPr>
          <w:p w14:paraId="5F8C2EC7" w14:textId="77777777" w:rsidR="006A3CD0" w:rsidRDefault="006A3CD0" w:rsidP="006A3CD0">
            <w:pPr>
              <w:pStyle w:val="TableBlock"/>
              <w:rPr>
                <w:lang w:eastAsia="en-US"/>
              </w:rPr>
            </w:pPr>
            <w:r>
              <w:rPr>
                <w:sz w:val="26"/>
                <w:rtl/>
                <w:lang w:eastAsia="en-US"/>
              </w:rPr>
              <w:t xml:space="preserve">(א) </w:t>
            </w:r>
            <w:r>
              <w:rPr>
                <w:sz w:val="26"/>
                <w:rtl/>
                <w:lang w:eastAsia="en-US"/>
              </w:rPr>
              <w:tab/>
              <w:t xml:space="preserve">מפונה יהיה זכאי נוסף על פיצויי פינוי עבור מגורים כאמור בסעיף 4, לכל מרכיבי הפיצוי האחרים הקבועים במסמך הקריטריונים. </w:t>
            </w:r>
          </w:p>
        </w:tc>
      </w:tr>
      <w:tr w:rsidR="006A3CD0" w14:paraId="3C279927" w14:textId="77777777" w:rsidTr="00B43175">
        <w:tc>
          <w:tcPr>
            <w:tcW w:w="1871" w:type="dxa"/>
          </w:tcPr>
          <w:p w14:paraId="26008E6E" w14:textId="77777777" w:rsidR="006A3CD0" w:rsidRDefault="006A3CD0" w:rsidP="006A3CD0">
            <w:pPr>
              <w:pStyle w:val="TableSideHeading"/>
            </w:pPr>
          </w:p>
        </w:tc>
        <w:tc>
          <w:tcPr>
            <w:tcW w:w="624" w:type="dxa"/>
          </w:tcPr>
          <w:p w14:paraId="7E64C74E" w14:textId="77777777" w:rsidR="006A3CD0" w:rsidRDefault="006A3CD0" w:rsidP="006A3CD0">
            <w:pPr>
              <w:pStyle w:val="TableText"/>
            </w:pPr>
          </w:p>
        </w:tc>
        <w:tc>
          <w:tcPr>
            <w:tcW w:w="7145" w:type="dxa"/>
            <w:gridSpan w:val="2"/>
            <w:hideMark/>
          </w:tcPr>
          <w:p w14:paraId="7B3F081F" w14:textId="77777777" w:rsidR="006A3CD0" w:rsidRDefault="006A3CD0" w:rsidP="006A3CD0">
            <w:pPr>
              <w:pStyle w:val="TableBlock"/>
              <w:rPr>
                <w:lang w:eastAsia="en-US"/>
              </w:rPr>
            </w:pPr>
            <w:r>
              <w:rPr>
                <w:sz w:val="26"/>
                <w:rtl/>
                <w:lang w:eastAsia="en-US"/>
              </w:rPr>
              <w:t xml:space="preserve">(ב) </w:t>
            </w:r>
            <w:r>
              <w:rPr>
                <w:sz w:val="26"/>
                <w:rtl/>
                <w:lang w:eastAsia="en-US"/>
              </w:rPr>
              <w:tab/>
              <w:t>מפונה במסלול פינוי שוק חופשי יהיה זכאי לסיוע בתשלום שכר דירה לו זכאים מפונים במסלול בנה ביתך כאמור במסמך הקריטריונים.</w:t>
            </w:r>
          </w:p>
        </w:tc>
      </w:tr>
      <w:tr w:rsidR="006A3CD0" w14:paraId="46393B9E" w14:textId="77777777" w:rsidTr="00B43175">
        <w:tc>
          <w:tcPr>
            <w:tcW w:w="1871" w:type="dxa"/>
            <w:hideMark/>
          </w:tcPr>
          <w:p w14:paraId="562B4BCD" w14:textId="77777777" w:rsidR="006A3CD0" w:rsidRDefault="006A3CD0" w:rsidP="006A3CD0">
            <w:pPr>
              <w:pStyle w:val="TableSideHeading"/>
            </w:pPr>
            <w:r>
              <w:rPr>
                <w:sz w:val="26"/>
                <w:rtl/>
              </w:rPr>
              <w:t>פיצויים נוספים לתושב ותיק</w:t>
            </w:r>
          </w:p>
        </w:tc>
        <w:tc>
          <w:tcPr>
            <w:tcW w:w="624" w:type="dxa"/>
            <w:hideMark/>
          </w:tcPr>
          <w:p w14:paraId="5607E11F" w14:textId="77777777" w:rsidR="006A3CD0" w:rsidRDefault="006A3CD0" w:rsidP="006A3CD0">
            <w:pPr>
              <w:pStyle w:val="TableText"/>
            </w:pPr>
            <w:r>
              <w:rPr>
                <w:sz w:val="26"/>
                <w:rtl/>
              </w:rPr>
              <w:t>6.</w:t>
            </w:r>
          </w:p>
        </w:tc>
        <w:tc>
          <w:tcPr>
            <w:tcW w:w="7145" w:type="dxa"/>
            <w:gridSpan w:val="2"/>
            <w:hideMark/>
          </w:tcPr>
          <w:p w14:paraId="07544073" w14:textId="77777777" w:rsidR="006A3CD0" w:rsidRDefault="006A3CD0" w:rsidP="006A3CD0">
            <w:pPr>
              <w:pStyle w:val="TableBlock"/>
              <w:rPr>
                <w:lang w:eastAsia="en-US"/>
              </w:rPr>
            </w:pPr>
            <w:r>
              <w:rPr>
                <w:sz w:val="26"/>
                <w:rtl/>
                <w:lang w:eastAsia="en-US"/>
              </w:rPr>
              <w:t xml:space="preserve">(א) </w:t>
            </w:r>
            <w:r>
              <w:rPr>
                <w:sz w:val="26"/>
                <w:rtl/>
                <w:lang w:eastAsia="en-US"/>
              </w:rPr>
              <w:tab/>
              <w:t>מפונה שהוא תושב ותיק, יהיה זכאי, נוסף על הפיצויים הקבועים בסעיפים 4 ו-5, לפיצוי בשיעור 2% מסך הפיצויים להם הוא זכאי כאמור, עבור כל שנה שבה התגורר במתחם כפר שלם.</w:t>
            </w:r>
          </w:p>
        </w:tc>
      </w:tr>
      <w:tr w:rsidR="006A3CD0" w14:paraId="5D51D9A6" w14:textId="77777777" w:rsidTr="00B43175">
        <w:tc>
          <w:tcPr>
            <w:tcW w:w="1871" w:type="dxa"/>
          </w:tcPr>
          <w:p w14:paraId="1CB0ECF3" w14:textId="77777777" w:rsidR="006A3CD0" w:rsidRDefault="006A3CD0" w:rsidP="006A3CD0">
            <w:pPr>
              <w:pStyle w:val="TableSideHeading"/>
            </w:pPr>
          </w:p>
        </w:tc>
        <w:tc>
          <w:tcPr>
            <w:tcW w:w="624" w:type="dxa"/>
          </w:tcPr>
          <w:p w14:paraId="4A7EE3DE" w14:textId="77777777" w:rsidR="006A3CD0" w:rsidRDefault="006A3CD0" w:rsidP="006A3CD0">
            <w:pPr>
              <w:pStyle w:val="TableText"/>
            </w:pPr>
          </w:p>
        </w:tc>
        <w:tc>
          <w:tcPr>
            <w:tcW w:w="7145" w:type="dxa"/>
            <w:gridSpan w:val="2"/>
            <w:hideMark/>
          </w:tcPr>
          <w:p w14:paraId="00F8A155" w14:textId="77777777" w:rsidR="006A3CD0" w:rsidRDefault="006A3CD0" w:rsidP="006A3CD0">
            <w:pPr>
              <w:pStyle w:val="TableBlock"/>
              <w:rPr>
                <w:lang w:eastAsia="en-US"/>
              </w:rPr>
            </w:pPr>
            <w:r>
              <w:rPr>
                <w:sz w:val="26"/>
                <w:rtl/>
                <w:lang w:eastAsia="en-US"/>
              </w:rPr>
              <w:t>(ב)</w:t>
            </w:r>
            <w:r>
              <w:rPr>
                <w:sz w:val="26"/>
                <w:rtl/>
                <w:lang w:eastAsia="en-US"/>
              </w:rPr>
              <w:tab/>
              <w:t xml:space="preserve">על אף האמור בסעיף יג למסמך הקריטריונים, תושב ותיק רשאי </w:t>
            </w:r>
            <w:r>
              <w:rPr>
                <w:sz w:val="26"/>
                <w:rtl/>
                <w:lang w:eastAsia="en-US"/>
              </w:rPr>
              <w:lastRenderedPageBreak/>
              <w:t xml:space="preserve">לבחור בין פיצוי במסלול פינוי בנה ביתך לבין פיצוי במסלול פינוי שוק חופשי. </w:t>
            </w:r>
          </w:p>
        </w:tc>
      </w:tr>
      <w:tr w:rsidR="006A3CD0" w14:paraId="406EBA37" w14:textId="77777777" w:rsidTr="00B43175">
        <w:tc>
          <w:tcPr>
            <w:tcW w:w="1871" w:type="dxa"/>
            <w:hideMark/>
          </w:tcPr>
          <w:p w14:paraId="28178FBF" w14:textId="77777777" w:rsidR="006A3CD0" w:rsidRDefault="006A3CD0" w:rsidP="006A3CD0">
            <w:pPr>
              <w:pStyle w:val="TableSideHeading"/>
            </w:pPr>
            <w:r>
              <w:rPr>
                <w:sz w:val="26"/>
                <w:rtl/>
              </w:rPr>
              <w:lastRenderedPageBreak/>
              <w:t xml:space="preserve">זכויות נוספות לתושבים ותיקים וצאצאיהם </w:t>
            </w:r>
          </w:p>
        </w:tc>
        <w:tc>
          <w:tcPr>
            <w:tcW w:w="624" w:type="dxa"/>
            <w:hideMark/>
          </w:tcPr>
          <w:p w14:paraId="2AF25A8B" w14:textId="77777777" w:rsidR="006A3CD0" w:rsidRDefault="006A3CD0" w:rsidP="006A3CD0">
            <w:pPr>
              <w:pStyle w:val="TableText"/>
            </w:pPr>
            <w:r>
              <w:rPr>
                <w:sz w:val="26"/>
                <w:rtl/>
              </w:rPr>
              <w:t>7.</w:t>
            </w:r>
          </w:p>
        </w:tc>
        <w:tc>
          <w:tcPr>
            <w:tcW w:w="7145" w:type="dxa"/>
            <w:gridSpan w:val="2"/>
            <w:hideMark/>
          </w:tcPr>
          <w:p w14:paraId="2E885D44" w14:textId="77777777" w:rsidR="006A3CD0" w:rsidRDefault="006A3CD0" w:rsidP="006A3CD0">
            <w:pPr>
              <w:pStyle w:val="TableBlock"/>
              <w:rPr>
                <w:lang w:eastAsia="en-US"/>
              </w:rPr>
            </w:pPr>
            <w:r>
              <w:rPr>
                <w:sz w:val="26"/>
                <w:rtl/>
                <w:lang w:eastAsia="en-US"/>
              </w:rPr>
              <w:t>לא תוגש תביעה לסילוק יד או לדמי שימוש ראויים נגד זכאי שהוא תושב ותיק או זכאי שהוא צאצאו.</w:t>
            </w:r>
          </w:p>
        </w:tc>
      </w:tr>
      <w:tr w:rsidR="006A3CD0" w14:paraId="50727554" w14:textId="77777777" w:rsidTr="00B43175">
        <w:tc>
          <w:tcPr>
            <w:tcW w:w="1871" w:type="dxa"/>
            <w:hideMark/>
          </w:tcPr>
          <w:p w14:paraId="72EAB8E1" w14:textId="77777777" w:rsidR="006A3CD0" w:rsidRDefault="006A3CD0" w:rsidP="006A3CD0">
            <w:pPr>
              <w:pStyle w:val="TableSideHeading"/>
            </w:pPr>
            <w:r>
              <w:rPr>
                <w:sz w:val="26"/>
                <w:rtl/>
              </w:rPr>
              <w:t xml:space="preserve">מפונה יחיד המחזיק בשטח מעל 200 מטרים מרובעים </w:t>
            </w:r>
          </w:p>
        </w:tc>
        <w:tc>
          <w:tcPr>
            <w:tcW w:w="624" w:type="dxa"/>
            <w:hideMark/>
          </w:tcPr>
          <w:p w14:paraId="31C374F8" w14:textId="77777777" w:rsidR="006A3CD0" w:rsidRDefault="006A3CD0" w:rsidP="006A3CD0">
            <w:pPr>
              <w:pStyle w:val="TableText"/>
            </w:pPr>
            <w:r>
              <w:rPr>
                <w:sz w:val="26"/>
                <w:rtl/>
              </w:rPr>
              <w:t>8.</w:t>
            </w:r>
          </w:p>
        </w:tc>
        <w:tc>
          <w:tcPr>
            <w:tcW w:w="7145" w:type="dxa"/>
            <w:gridSpan w:val="2"/>
            <w:hideMark/>
          </w:tcPr>
          <w:p w14:paraId="326B10DB" w14:textId="77777777" w:rsidR="006A3CD0" w:rsidRDefault="006A3CD0" w:rsidP="006A3CD0">
            <w:pPr>
              <w:pStyle w:val="TableBlock"/>
              <w:rPr>
                <w:lang w:eastAsia="en-US"/>
              </w:rPr>
            </w:pPr>
            <w:r>
              <w:rPr>
                <w:sz w:val="26"/>
                <w:rtl/>
                <w:lang w:eastAsia="en-US"/>
              </w:rPr>
              <w:t>מפונה יחיד המחזיק שטח שגודלו לפחות 200 מטרים מרובעים זכאי לפיצוי עבור פינוי במסלול בנה ביתך.</w:t>
            </w:r>
          </w:p>
        </w:tc>
      </w:tr>
      <w:tr w:rsidR="006A3CD0" w14:paraId="744CF214" w14:textId="77777777" w:rsidTr="00B43175">
        <w:tc>
          <w:tcPr>
            <w:tcW w:w="1871" w:type="dxa"/>
            <w:hideMark/>
          </w:tcPr>
          <w:p w14:paraId="520BF433" w14:textId="77777777" w:rsidR="006A3CD0" w:rsidRDefault="006A3CD0" w:rsidP="006A3CD0">
            <w:pPr>
              <w:pStyle w:val="TableSideHeading"/>
            </w:pPr>
            <w:r>
              <w:rPr>
                <w:sz w:val="26"/>
                <w:rtl/>
              </w:rPr>
              <w:t>זכויות בן משפחה נלווה</w:t>
            </w:r>
          </w:p>
        </w:tc>
        <w:tc>
          <w:tcPr>
            <w:tcW w:w="624" w:type="dxa"/>
            <w:hideMark/>
          </w:tcPr>
          <w:p w14:paraId="2FA43CD1" w14:textId="77777777" w:rsidR="006A3CD0" w:rsidRDefault="006A3CD0" w:rsidP="006A3CD0">
            <w:pPr>
              <w:pStyle w:val="TableText"/>
            </w:pPr>
            <w:r>
              <w:rPr>
                <w:sz w:val="26"/>
                <w:rtl/>
              </w:rPr>
              <w:t>9.</w:t>
            </w:r>
          </w:p>
        </w:tc>
        <w:tc>
          <w:tcPr>
            <w:tcW w:w="7145" w:type="dxa"/>
            <w:gridSpan w:val="2"/>
            <w:hideMark/>
          </w:tcPr>
          <w:p w14:paraId="4ABDF42B" w14:textId="77777777" w:rsidR="006A3CD0" w:rsidRDefault="006A3CD0" w:rsidP="006A3CD0">
            <w:pPr>
              <w:pStyle w:val="TableBlock"/>
              <w:rPr>
                <w:lang w:eastAsia="en-US"/>
              </w:rPr>
            </w:pPr>
            <w:r>
              <w:rPr>
                <w:sz w:val="26"/>
                <w:rtl/>
                <w:lang w:eastAsia="en-US"/>
              </w:rPr>
              <w:t>מפונה שהוא בן משפחה נלווה זכאי לסכום הפיצויים הקבוע במסמך הקריטריונים לראש משפחה.</w:t>
            </w:r>
          </w:p>
        </w:tc>
      </w:tr>
      <w:tr w:rsidR="006A3CD0" w14:paraId="178023D8" w14:textId="77777777" w:rsidTr="00B43175">
        <w:tc>
          <w:tcPr>
            <w:tcW w:w="1871" w:type="dxa"/>
            <w:hideMark/>
          </w:tcPr>
          <w:p w14:paraId="46EFEF03" w14:textId="77777777" w:rsidR="006A3CD0" w:rsidRDefault="006A3CD0" w:rsidP="006A3CD0">
            <w:pPr>
              <w:pStyle w:val="TableSideHeading"/>
            </w:pPr>
            <w:r>
              <w:rPr>
                <w:sz w:val="26"/>
                <w:rtl/>
              </w:rPr>
              <w:t>עבירות זכויות זכאים</w:t>
            </w:r>
          </w:p>
        </w:tc>
        <w:tc>
          <w:tcPr>
            <w:tcW w:w="624" w:type="dxa"/>
            <w:hideMark/>
          </w:tcPr>
          <w:p w14:paraId="7DB128C4" w14:textId="77777777" w:rsidR="006A3CD0" w:rsidRDefault="006A3CD0" w:rsidP="006A3CD0">
            <w:pPr>
              <w:pStyle w:val="TableText"/>
            </w:pPr>
            <w:r>
              <w:rPr>
                <w:sz w:val="26"/>
                <w:rtl/>
              </w:rPr>
              <w:t>10.</w:t>
            </w:r>
          </w:p>
        </w:tc>
        <w:tc>
          <w:tcPr>
            <w:tcW w:w="7145" w:type="dxa"/>
            <w:gridSpan w:val="2"/>
            <w:hideMark/>
          </w:tcPr>
          <w:p w14:paraId="1075EFE0" w14:textId="77777777" w:rsidR="006A3CD0" w:rsidRDefault="006A3CD0" w:rsidP="006A3CD0">
            <w:pPr>
              <w:pStyle w:val="TableBlock"/>
              <w:rPr>
                <w:lang w:eastAsia="en-US"/>
              </w:rPr>
            </w:pPr>
            <w:r>
              <w:rPr>
                <w:sz w:val="26"/>
                <w:rtl/>
                <w:lang w:eastAsia="en-US"/>
              </w:rPr>
              <w:t>זכאי רשאי להוריש את זכויותיו לפיצויים לפי חוק זה וכן להעבירן בתמורה או שלא בתמורה.</w:t>
            </w:r>
          </w:p>
        </w:tc>
      </w:tr>
      <w:tr w:rsidR="006A3CD0" w14:paraId="564718B6" w14:textId="77777777" w:rsidTr="00B43175">
        <w:tc>
          <w:tcPr>
            <w:tcW w:w="1871" w:type="dxa"/>
            <w:hideMark/>
          </w:tcPr>
          <w:p w14:paraId="29EBC32D" w14:textId="77777777" w:rsidR="006A3CD0" w:rsidRDefault="006A3CD0" w:rsidP="006A3CD0">
            <w:pPr>
              <w:pStyle w:val="TableSideHeading"/>
            </w:pPr>
            <w:r>
              <w:rPr>
                <w:sz w:val="26"/>
                <w:rtl/>
              </w:rPr>
              <w:t>שמאות</w:t>
            </w:r>
          </w:p>
        </w:tc>
        <w:tc>
          <w:tcPr>
            <w:tcW w:w="624" w:type="dxa"/>
            <w:hideMark/>
          </w:tcPr>
          <w:p w14:paraId="54AB678B" w14:textId="77777777" w:rsidR="006A3CD0" w:rsidRDefault="006A3CD0" w:rsidP="006A3CD0">
            <w:pPr>
              <w:pStyle w:val="TableText"/>
            </w:pPr>
            <w:r>
              <w:rPr>
                <w:sz w:val="26"/>
                <w:rtl/>
              </w:rPr>
              <w:t>11.</w:t>
            </w:r>
          </w:p>
        </w:tc>
        <w:tc>
          <w:tcPr>
            <w:tcW w:w="7145" w:type="dxa"/>
            <w:gridSpan w:val="2"/>
            <w:hideMark/>
          </w:tcPr>
          <w:p w14:paraId="4EB0234D" w14:textId="77777777" w:rsidR="006A3CD0" w:rsidRDefault="006A3CD0" w:rsidP="006A3CD0">
            <w:pPr>
              <w:pStyle w:val="TableBlock"/>
              <w:rPr>
                <w:lang w:eastAsia="en-US"/>
              </w:rPr>
            </w:pPr>
            <w:r>
              <w:rPr>
                <w:sz w:val="26"/>
                <w:rtl/>
                <w:lang w:eastAsia="en-US"/>
              </w:rPr>
              <w:t xml:space="preserve">(א) </w:t>
            </w:r>
            <w:r>
              <w:rPr>
                <w:sz w:val="26"/>
                <w:rtl/>
                <w:lang w:eastAsia="en-US"/>
              </w:rPr>
              <w:tab/>
              <w:t xml:space="preserve">לצורך הערכת הסכומים כאמור בסעיפים 4 ו-5 ימנו הגורם המפנה והמפונה שמאי מקרקעין מוסכם. </w:t>
            </w:r>
          </w:p>
        </w:tc>
      </w:tr>
      <w:tr w:rsidR="006A3CD0" w14:paraId="34935FAE" w14:textId="77777777" w:rsidTr="00B43175">
        <w:tc>
          <w:tcPr>
            <w:tcW w:w="1871" w:type="dxa"/>
          </w:tcPr>
          <w:p w14:paraId="008BF2DC" w14:textId="77777777" w:rsidR="006A3CD0" w:rsidRDefault="006A3CD0" w:rsidP="006A3CD0">
            <w:pPr>
              <w:pStyle w:val="TableSideHeading"/>
            </w:pPr>
          </w:p>
        </w:tc>
        <w:tc>
          <w:tcPr>
            <w:tcW w:w="624" w:type="dxa"/>
          </w:tcPr>
          <w:p w14:paraId="13F09540" w14:textId="77777777" w:rsidR="006A3CD0" w:rsidRDefault="006A3CD0" w:rsidP="006A3CD0">
            <w:pPr>
              <w:pStyle w:val="TableText"/>
            </w:pPr>
          </w:p>
        </w:tc>
        <w:tc>
          <w:tcPr>
            <w:tcW w:w="7145" w:type="dxa"/>
            <w:gridSpan w:val="2"/>
            <w:hideMark/>
          </w:tcPr>
          <w:p w14:paraId="0F9A7BFD" w14:textId="77777777" w:rsidR="006A3CD0" w:rsidRDefault="006A3CD0" w:rsidP="006A3CD0">
            <w:pPr>
              <w:pStyle w:val="TableBlock"/>
              <w:rPr>
                <w:lang w:eastAsia="en-US"/>
              </w:rPr>
            </w:pPr>
            <w:r>
              <w:rPr>
                <w:sz w:val="26"/>
                <w:rtl/>
                <w:lang w:eastAsia="en-US"/>
              </w:rPr>
              <w:t xml:space="preserve">(ב) </w:t>
            </w:r>
            <w:r>
              <w:rPr>
                <w:sz w:val="26"/>
                <w:rtl/>
                <w:lang w:eastAsia="en-US"/>
              </w:rPr>
              <w:tab/>
              <w:t>בהיעדר הסכמה לגבי זהותו של שמאי המקרקעין או לגבי הסוגיות הדורשות את הכרעתו, רשאי כל צד, לאחר שהודיע על כוונתו לעשות כן בכתב לפחות 15 ימים מראש, לפנות ליושב ראש לשכת שמאי המקרקעין כדי שימנה שמאי מקרקעין ויקבע באילו נושאים תעסוק השומה.</w:t>
            </w:r>
          </w:p>
        </w:tc>
      </w:tr>
      <w:tr w:rsidR="006A3CD0" w14:paraId="00FA2201" w14:textId="77777777" w:rsidTr="00B43175">
        <w:tc>
          <w:tcPr>
            <w:tcW w:w="1871" w:type="dxa"/>
          </w:tcPr>
          <w:p w14:paraId="14CA7257" w14:textId="77777777" w:rsidR="006A3CD0" w:rsidRDefault="006A3CD0" w:rsidP="006A3CD0">
            <w:pPr>
              <w:pStyle w:val="TableSideHeading"/>
            </w:pPr>
          </w:p>
        </w:tc>
        <w:tc>
          <w:tcPr>
            <w:tcW w:w="624" w:type="dxa"/>
          </w:tcPr>
          <w:p w14:paraId="35912073" w14:textId="77777777" w:rsidR="006A3CD0" w:rsidRDefault="006A3CD0" w:rsidP="006A3CD0">
            <w:pPr>
              <w:pStyle w:val="TableText"/>
            </w:pPr>
          </w:p>
        </w:tc>
        <w:tc>
          <w:tcPr>
            <w:tcW w:w="7145" w:type="dxa"/>
            <w:gridSpan w:val="2"/>
            <w:hideMark/>
          </w:tcPr>
          <w:p w14:paraId="1B96BDC0" w14:textId="77777777" w:rsidR="006A3CD0" w:rsidRDefault="006A3CD0" w:rsidP="006A3CD0">
            <w:pPr>
              <w:pStyle w:val="TableBlock"/>
              <w:rPr>
                <w:lang w:eastAsia="en-US"/>
              </w:rPr>
            </w:pPr>
            <w:r>
              <w:rPr>
                <w:sz w:val="26"/>
                <w:rtl/>
                <w:lang w:eastAsia="en-US"/>
              </w:rPr>
              <w:t xml:space="preserve">(ג) </w:t>
            </w:r>
            <w:r>
              <w:rPr>
                <w:sz w:val="26"/>
                <w:rtl/>
                <w:lang w:eastAsia="en-US"/>
              </w:rPr>
              <w:tab/>
              <w:t xml:space="preserve"> הגורם המפנה יישא בעלויות השומה.</w:t>
            </w:r>
          </w:p>
        </w:tc>
      </w:tr>
      <w:tr w:rsidR="006A3CD0" w14:paraId="52664C17" w14:textId="77777777" w:rsidTr="00B43175">
        <w:tc>
          <w:tcPr>
            <w:tcW w:w="1871" w:type="dxa"/>
            <w:hideMark/>
          </w:tcPr>
          <w:p w14:paraId="16F73D22" w14:textId="77777777" w:rsidR="006A3CD0" w:rsidRDefault="006A3CD0" w:rsidP="006A3CD0">
            <w:pPr>
              <w:pStyle w:val="TableSideHeading"/>
            </w:pPr>
            <w:r>
              <w:rPr>
                <w:rtl/>
              </w:rPr>
              <w:t xml:space="preserve">עדכון סכומים </w:t>
            </w:r>
          </w:p>
        </w:tc>
        <w:tc>
          <w:tcPr>
            <w:tcW w:w="624" w:type="dxa"/>
            <w:hideMark/>
          </w:tcPr>
          <w:p w14:paraId="25F100BE" w14:textId="77777777" w:rsidR="006A3CD0" w:rsidRDefault="006A3CD0" w:rsidP="006A3CD0">
            <w:pPr>
              <w:pStyle w:val="TableText"/>
            </w:pPr>
            <w:r>
              <w:rPr>
                <w:sz w:val="26"/>
                <w:rtl/>
              </w:rPr>
              <w:t>12.</w:t>
            </w:r>
          </w:p>
        </w:tc>
        <w:tc>
          <w:tcPr>
            <w:tcW w:w="7145" w:type="dxa"/>
            <w:gridSpan w:val="2"/>
            <w:hideMark/>
          </w:tcPr>
          <w:p w14:paraId="29B651A1" w14:textId="77777777" w:rsidR="006A3CD0" w:rsidRDefault="006A3CD0" w:rsidP="006A3CD0">
            <w:pPr>
              <w:pStyle w:val="TableBlock"/>
              <w:rPr>
                <w:sz w:val="26"/>
                <w:lang w:eastAsia="en-US"/>
              </w:rPr>
            </w:pPr>
            <w:r>
              <w:rPr>
                <w:sz w:val="26"/>
                <w:rtl/>
                <w:lang w:eastAsia="en-US"/>
              </w:rPr>
              <w:t>(א)</w:t>
            </w:r>
            <w:r>
              <w:rPr>
                <w:sz w:val="26"/>
                <w:rtl/>
                <w:lang w:eastAsia="en-US"/>
              </w:rPr>
              <w:tab/>
              <w:t>הסכומים כאמור במסמך הקריטריונים, למעט הסכום כאמור בסעיף 4(א), יעודכנו בהתאם לשיעור השינוי במדד לעומת המדד הבסיסי.</w:t>
            </w:r>
          </w:p>
        </w:tc>
      </w:tr>
      <w:tr w:rsidR="006A3CD0" w14:paraId="5BC2DC97" w14:textId="77777777" w:rsidTr="00B43175">
        <w:tc>
          <w:tcPr>
            <w:tcW w:w="1871" w:type="dxa"/>
          </w:tcPr>
          <w:p w14:paraId="3981F233" w14:textId="77777777" w:rsidR="006A3CD0" w:rsidRDefault="006A3CD0" w:rsidP="006A3CD0">
            <w:pPr>
              <w:pStyle w:val="TableSideHeading"/>
              <w:rPr>
                <w:rtl/>
              </w:rPr>
            </w:pPr>
          </w:p>
        </w:tc>
        <w:tc>
          <w:tcPr>
            <w:tcW w:w="624" w:type="dxa"/>
          </w:tcPr>
          <w:p w14:paraId="4935569C" w14:textId="77777777" w:rsidR="006A3CD0" w:rsidRDefault="006A3CD0" w:rsidP="006A3CD0">
            <w:pPr>
              <w:pStyle w:val="TableText"/>
            </w:pPr>
          </w:p>
        </w:tc>
        <w:tc>
          <w:tcPr>
            <w:tcW w:w="7145" w:type="dxa"/>
            <w:gridSpan w:val="2"/>
            <w:hideMark/>
          </w:tcPr>
          <w:p w14:paraId="1E486E79" w14:textId="77777777" w:rsidR="006A3CD0" w:rsidRDefault="006A3CD0" w:rsidP="006A3CD0">
            <w:pPr>
              <w:pStyle w:val="TableBlock"/>
            </w:pPr>
            <w:r>
              <w:rPr>
                <w:sz w:val="26"/>
                <w:rtl/>
                <w:lang w:eastAsia="en-US"/>
              </w:rPr>
              <w:t>(ב)</w:t>
            </w:r>
            <w:r>
              <w:rPr>
                <w:sz w:val="26"/>
                <w:rtl/>
                <w:lang w:eastAsia="en-US"/>
              </w:rPr>
              <w:tab/>
              <w:t>בסעיף זה –</w:t>
            </w:r>
          </w:p>
        </w:tc>
      </w:tr>
      <w:tr w:rsidR="006A3CD0" w14:paraId="6576B4D1" w14:textId="77777777" w:rsidTr="00B43175">
        <w:tc>
          <w:tcPr>
            <w:tcW w:w="1871" w:type="dxa"/>
          </w:tcPr>
          <w:p w14:paraId="5D957561" w14:textId="77777777" w:rsidR="006A3CD0" w:rsidRDefault="006A3CD0" w:rsidP="006A3CD0">
            <w:pPr>
              <w:pStyle w:val="TableSideHeading"/>
            </w:pPr>
          </w:p>
        </w:tc>
        <w:tc>
          <w:tcPr>
            <w:tcW w:w="624" w:type="dxa"/>
          </w:tcPr>
          <w:p w14:paraId="49C4F2FD" w14:textId="77777777" w:rsidR="006A3CD0" w:rsidRDefault="006A3CD0" w:rsidP="006A3CD0">
            <w:pPr>
              <w:pStyle w:val="TableText"/>
            </w:pPr>
          </w:p>
        </w:tc>
        <w:tc>
          <w:tcPr>
            <w:tcW w:w="7145" w:type="dxa"/>
            <w:gridSpan w:val="2"/>
            <w:hideMark/>
          </w:tcPr>
          <w:p w14:paraId="23AAAB34" w14:textId="77777777" w:rsidR="006A3CD0" w:rsidRPr="00AF5C6D" w:rsidRDefault="006A3CD0" w:rsidP="006A3CD0">
            <w:pPr>
              <w:pStyle w:val="TableBlockOutdent"/>
            </w:pPr>
            <w:r w:rsidRPr="00AF5C6D">
              <w:rPr>
                <w:rtl/>
              </w:rPr>
              <w:t>"המדד" – מדד המחירים לצרכן שמפרסמת הלשכה המרכזית לסטטיסטיקה, הידוע במועד תשלום הפיצויים לפי חוק זה;</w:t>
            </w:r>
          </w:p>
        </w:tc>
      </w:tr>
      <w:tr w:rsidR="006A3CD0" w14:paraId="74E2ECEF" w14:textId="77777777" w:rsidTr="00B43175">
        <w:tc>
          <w:tcPr>
            <w:tcW w:w="1871" w:type="dxa"/>
          </w:tcPr>
          <w:p w14:paraId="1603A858" w14:textId="77777777" w:rsidR="006A3CD0" w:rsidRDefault="006A3CD0" w:rsidP="006A3CD0">
            <w:pPr>
              <w:pStyle w:val="TableSideHeading"/>
            </w:pPr>
          </w:p>
        </w:tc>
        <w:tc>
          <w:tcPr>
            <w:tcW w:w="624" w:type="dxa"/>
          </w:tcPr>
          <w:p w14:paraId="255DF975" w14:textId="77777777" w:rsidR="006A3CD0" w:rsidRDefault="006A3CD0" w:rsidP="006A3CD0">
            <w:pPr>
              <w:pStyle w:val="TableText"/>
            </w:pPr>
          </w:p>
        </w:tc>
        <w:tc>
          <w:tcPr>
            <w:tcW w:w="7145" w:type="dxa"/>
            <w:gridSpan w:val="2"/>
            <w:hideMark/>
          </w:tcPr>
          <w:p w14:paraId="2137CDE7" w14:textId="77777777" w:rsidR="006A3CD0" w:rsidRPr="00AF5C6D" w:rsidRDefault="006A3CD0" w:rsidP="006A3CD0">
            <w:pPr>
              <w:pStyle w:val="TableBlockOutdent"/>
            </w:pPr>
            <w:r w:rsidRPr="00AF5C6D">
              <w:rPr>
                <w:rtl/>
              </w:rPr>
              <w:t>"המדד הבסיסי" – המדד שהיה ידוע ביום י"ט בסיוון התשנ"ו (6 ביוני 1996).</w:t>
            </w:r>
          </w:p>
        </w:tc>
      </w:tr>
      <w:tr w:rsidR="006A3CD0" w14:paraId="21F46D28" w14:textId="77777777" w:rsidTr="00B43175">
        <w:tc>
          <w:tcPr>
            <w:tcW w:w="1871" w:type="dxa"/>
            <w:hideMark/>
          </w:tcPr>
          <w:p w14:paraId="40A87ABF" w14:textId="77777777" w:rsidR="006A3CD0" w:rsidRDefault="006A3CD0" w:rsidP="006A3CD0">
            <w:pPr>
              <w:pStyle w:val="TableSideHeading"/>
            </w:pPr>
            <w:r>
              <w:rPr>
                <w:sz w:val="26"/>
                <w:rtl/>
              </w:rPr>
              <w:t>תחולה</w:t>
            </w:r>
          </w:p>
        </w:tc>
        <w:tc>
          <w:tcPr>
            <w:tcW w:w="624" w:type="dxa"/>
            <w:hideMark/>
          </w:tcPr>
          <w:p w14:paraId="1A79B6D9" w14:textId="77777777" w:rsidR="006A3CD0" w:rsidRDefault="006A3CD0" w:rsidP="006A3CD0">
            <w:pPr>
              <w:pStyle w:val="TableText"/>
            </w:pPr>
            <w:r>
              <w:rPr>
                <w:sz w:val="26"/>
                <w:rtl/>
              </w:rPr>
              <w:t>13.</w:t>
            </w:r>
          </w:p>
        </w:tc>
        <w:tc>
          <w:tcPr>
            <w:tcW w:w="7145" w:type="dxa"/>
            <w:gridSpan w:val="2"/>
            <w:hideMark/>
          </w:tcPr>
          <w:p w14:paraId="4A6864EB" w14:textId="77777777" w:rsidR="006A3CD0" w:rsidRDefault="006A3CD0" w:rsidP="006A3CD0">
            <w:pPr>
              <w:pStyle w:val="TableBlock"/>
              <w:rPr>
                <w:sz w:val="26"/>
                <w:lang w:eastAsia="en-US"/>
              </w:rPr>
            </w:pPr>
            <w:r>
              <w:rPr>
                <w:sz w:val="26"/>
                <w:rtl/>
                <w:lang w:eastAsia="en-US"/>
              </w:rPr>
              <w:t>הוראות חוק זה יחולו גם על זכאי שהליך פינויו החל לפני תחילתו של חוק זה, ועניינו נדון בערכאות משפטיות.</w:t>
            </w:r>
          </w:p>
        </w:tc>
      </w:tr>
      <w:tr w:rsidR="006A3CD0" w14:paraId="3DECD6E6" w14:textId="77777777" w:rsidTr="00B43175">
        <w:tc>
          <w:tcPr>
            <w:tcW w:w="1871" w:type="dxa"/>
            <w:hideMark/>
          </w:tcPr>
          <w:p w14:paraId="390C4C95" w14:textId="77777777" w:rsidR="006A3CD0" w:rsidRDefault="006A3CD0" w:rsidP="006A3CD0">
            <w:pPr>
              <w:pStyle w:val="TableSideHeading"/>
              <w:rPr>
                <w:sz w:val="26"/>
              </w:rPr>
            </w:pPr>
            <w:r>
              <w:rPr>
                <w:sz w:val="26"/>
                <w:rtl/>
              </w:rPr>
              <w:t>ביצוע ותקנות</w:t>
            </w:r>
          </w:p>
        </w:tc>
        <w:tc>
          <w:tcPr>
            <w:tcW w:w="624" w:type="dxa"/>
            <w:hideMark/>
          </w:tcPr>
          <w:p w14:paraId="27E2BAAF" w14:textId="77777777" w:rsidR="006A3CD0" w:rsidRDefault="006A3CD0" w:rsidP="006A3CD0">
            <w:pPr>
              <w:pStyle w:val="TableText"/>
              <w:rPr>
                <w:rtl/>
              </w:rPr>
            </w:pPr>
            <w:r>
              <w:rPr>
                <w:rtl/>
              </w:rPr>
              <w:t>14.</w:t>
            </w:r>
          </w:p>
        </w:tc>
        <w:tc>
          <w:tcPr>
            <w:tcW w:w="7145" w:type="dxa"/>
            <w:gridSpan w:val="2"/>
            <w:hideMark/>
          </w:tcPr>
          <w:p w14:paraId="40209B26" w14:textId="77777777" w:rsidR="006A3CD0" w:rsidRDefault="006A3CD0" w:rsidP="006A3CD0">
            <w:pPr>
              <w:pStyle w:val="TableBlock"/>
              <w:rPr>
                <w:sz w:val="26"/>
                <w:rtl/>
                <w:lang w:eastAsia="en-US"/>
              </w:rPr>
            </w:pPr>
            <w:r>
              <w:rPr>
                <w:sz w:val="26"/>
                <w:rtl/>
                <w:lang w:eastAsia="en-US"/>
              </w:rPr>
              <w:t xml:space="preserve">שר הבינוי והשיכון ממונה על ביצוע חוק זה, והוא רשאי, להתקין תקנות לביצועו. </w:t>
            </w:r>
          </w:p>
        </w:tc>
      </w:tr>
      <w:tr w:rsidR="006A3CD0" w14:paraId="4E6121F4" w14:textId="77777777" w:rsidTr="00B43175">
        <w:tc>
          <w:tcPr>
            <w:tcW w:w="1871" w:type="dxa"/>
          </w:tcPr>
          <w:p w14:paraId="41FD0414" w14:textId="77777777" w:rsidR="006A3CD0" w:rsidRDefault="006A3CD0" w:rsidP="006A3CD0">
            <w:pPr>
              <w:pStyle w:val="TableSideHeading"/>
              <w:rPr>
                <w:sz w:val="26"/>
                <w:rtl/>
              </w:rPr>
            </w:pPr>
          </w:p>
        </w:tc>
        <w:tc>
          <w:tcPr>
            <w:tcW w:w="624" w:type="dxa"/>
          </w:tcPr>
          <w:p w14:paraId="22925AE5" w14:textId="77777777" w:rsidR="006A3CD0" w:rsidRDefault="006A3CD0" w:rsidP="006A3CD0">
            <w:pPr>
              <w:pStyle w:val="TableText"/>
              <w:rPr>
                <w:rtl/>
              </w:rPr>
            </w:pPr>
          </w:p>
        </w:tc>
        <w:tc>
          <w:tcPr>
            <w:tcW w:w="7145" w:type="dxa"/>
            <w:gridSpan w:val="2"/>
            <w:hideMark/>
          </w:tcPr>
          <w:p w14:paraId="63B5BEAF" w14:textId="77777777" w:rsidR="006A3CD0" w:rsidRDefault="006A3CD0" w:rsidP="006A3CD0">
            <w:pPr>
              <w:pStyle w:val="TableBlock"/>
              <w:jc w:val="center"/>
              <w:rPr>
                <w:b/>
                <w:bCs/>
                <w:sz w:val="26"/>
                <w:rtl/>
                <w:lang w:eastAsia="en-US"/>
              </w:rPr>
            </w:pPr>
            <w:r>
              <w:rPr>
                <w:b/>
                <w:bCs/>
                <w:rtl/>
              </w:rPr>
              <w:t>מתחם כפר שלם</w:t>
            </w:r>
            <w:r>
              <w:rPr>
                <w:b/>
                <w:bCs/>
                <w:rtl/>
              </w:rPr>
              <w:footnoteReference w:customMarkFollows="1" w:id="5"/>
              <w:t>*</w:t>
            </w:r>
          </w:p>
        </w:tc>
      </w:tr>
      <w:tr w:rsidR="006A3CD0" w14:paraId="74B67C2C" w14:textId="77777777" w:rsidTr="00B43175">
        <w:tc>
          <w:tcPr>
            <w:tcW w:w="1871" w:type="dxa"/>
          </w:tcPr>
          <w:p w14:paraId="7F607A6F" w14:textId="77777777" w:rsidR="006A3CD0" w:rsidRDefault="006A3CD0" w:rsidP="006A3CD0">
            <w:pPr>
              <w:pStyle w:val="TableSideHeading"/>
              <w:rPr>
                <w:sz w:val="26"/>
                <w:rtl/>
              </w:rPr>
            </w:pPr>
          </w:p>
        </w:tc>
        <w:tc>
          <w:tcPr>
            <w:tcW w:w="624" w:type="dxa"/>
          </w:tcPr>
          <w:p w14:paraId="3345EAA3" w14:textId="77777777" w:rsidR="006A3CD0" w:rsidRDefault="006A3CD0" w:rsidP="006A3CD0">
            <w:pPr>
              <w:pStyle w:val="TableText"/>
              <w:rPr>
                <w:rtl/>
              </w:rPr>
            </w:pPr>
          </w:p>
        </w:tc>
        <w:tc>
          <w:tcPr>
            <w:tcW w:w="7145" w:type="dxa"/>
            <w:gridSpan w:val="2"/>
            <w:hideMark/>
          </w:tcPr>
          <w:p w14:paraId="1C4741DD" w14:textId="77777777" w:rsidR="006A3CD0" w:rsidRDefault="006A3CD0" w:rsidP="006A3CD0">
            <w:pPr>
              <w:pStyle w:val="TableHead"/>
              <w:rPr>
                <w:rtl/>
              </w:rPr>
            </w:pPr>
            <w:r>
              <w:rPr>
                <w:rtl/>
              </w:rPr>
              <w:t xml:space="preserve">תוספת  </w:t>
            </w:r>
          </w:p>
        </w:tc>
      </w:tr>
      <w:tr w:rsidR="006A3CD0" w14:paraId="627231D6" w14:textId="77777777" w:rsidTr="00B43175">
        <w:tc>
          <w:tcPr>
            <w:tcW w:w="1871" w:type="dxa"/>
          </w:tcPr>
          <w:p w14:paraId="17C6895D" w14:textId="77777777" w:rsidR="006A3CD0" w:rsidRDefault="006A3CD0" w:rsidP="006A3CD0">
            <w:pPr>
              <w:pStyle w:val="TableSideHeading"/>
              <w:rPr>
                <w:sz w:val="26"/>
                <w:rtl/>
              </w:rPr>
            </w:pPr>
          </w:p>
        </w:tc>
        <w:tc>
          <w:tcPr>
            <w:tcW w:w="624" w:type="dxa"/>
          </w:tcPr>
          <w:p w14:paraId="3690857C" w14:textId="77777777" w:rsidR="006A3CD0" w:rsidRDefault="006A3CD0" w:rsidP="006A3CD0">
            <w:pPr>
              <w:pStyle w:val="TableText"/>
              <w:rPr>
                <w:rtl/>
              </w:rPr>
            </w:pPr>
          </w:p>
        </w:tc>
        <w:tc>
          <w:tcPr>
            <w:tcW w:w="7145" w:type="dxa"/>
            <w:gridSpan w:val="2"/>
            <w:hideMark/>
          </w:tcPr>
          <w:p w14:paraId="615DB193" w14:textId="77777777" w:rsidR="006A3CD0" w:rsidRDefault="006A3CD0" w:rsidP="006A3CD0">
            <w:pPr>
              <w:pStyle w:val="TableHead"/>
              <w:rPr>
                <w:b w:val="0"/>
                <w:bCs w:val="0"/>
                <w:rtl/>
              </w:rPr>
            </w:pPr>
            <w:r>
              <w:rPr>
                <w:b w:val="0"/>
                <w:bCs w:val="0"/>
                <w:rtl/>
              </w:rPr>
              <w:t xml:space="preserve">(סעיף 1) </w:t>
            </w:r>
          </w:p>
        </w:tc>
      </w:tr>
    </w:tbl>
    <w:p w14:paraId="7F6961CA" w14:textId="77777777" w:rsidR="002D1EE3" w:rsidRPr="00F52032" w:rsidRDefault="002D1EE3" w:rsidP="002D1EE3">
      <w:pPr>
        <w:pStyle w:val="HeadDivreiHesber"/>
        <w:rPr>
          <w:rFonts w:ascii="David" w:hAnsi="David"/>
          <w:rtl/>
        </w:rPr>
      </w:pPr>
      <w:r w:rsidRPr="00F52032">
        <w:rPr>
          <w:rFonts w:ascii="David" w:hAnsi="David"/>
          <w:rtl/>
        </w:rPr>
        <w:t>דברי הסבר</w:t>
      </w:r>
    </w:p>
    <w:p w14:paraId="0AF03463" w14:textId="77777777" w:rsidR="00BB6AA2" w:rsidRPr="001E594E" w:rsidRDefault="00BB6AA2" w:rsidP="00995A32">
      <w:pPr>
        <w:spacing w:before="0" w:line="240" w:lineRule="auto"/>
        <w:rPr>
          <w:rFonts w:ascii="David" w:eastAsia="Arial" w:hAnsi="David" w:cs="David"/>
          <w:sz w:val="26"/>
          <w:szCs w:val="26"/>
        </w:rPr>
      </w:pPr>
      <w:r w:rsidRPr="001E594E">
        <w:rPr>
          <w:rFonts w:ascii="David" w:eastAsia="Arial" w:hAnsi="David" w:cs="David"/>
          <w:sz w:val="26"/>
          <w:szCs w:val="26"/>
          <w:rtl/>
        </w:rPr>
        <w:t xml:space="preserve">במשך חמישה עשורים, מאז חקיקת חוק בינוי ופינוי אזורי שיקום, התשכ"ה–1965 (להלן – חוק בינוי ופינוי), נעשים ניסיונות של הרשויות הממשלתיות והעירוניות וכן של גורמים פרטיים, לפנות את מתחם כפר שלם מיושביו ולבנות במקום שכונת מגורים חדשה. רבים מתושבי כפר שלם המיועדים כיום לפינוי יושבים במקום עשרות שנים, והם או הוריהם הגיעו למקום בעידוד ממשלתי. משפחות אלה רואות בכפר שלם את ביתן והכו במקום שורשים. </w:t>
      </w:r>
    </w:p>
    <w:p w14:paraId="3C166859" w14:textId="5AAB3B09" w:rsidR="00BB6AA2" w:rsidRPr="001E594E" w:rsidRDefault="00BB6AA2" w:rsidP="008444AF">
      <w:pPr>
        <w:spacing w:before="0" w:line="240" w:lineRule="auto"/>
        <w:rPr>
          <w:rFonts w:ascii="David" w:eastAsia="Arial" w:hAnsi="David" w:cs="David"/>
          <w:sz w:val="26"/>
          <w:szCs w:val="26"/>
        </w:rPr>
      </w:pPr>
      <w:r w:rsidRPr="001E594E">
        <w:rPr>
          <w:rFonts w:ascii="David" w:eastAsia="Arial" w:hAnsi="David" w:cs="David"/>
          <w:sz w:val="26"/>
          <w:szCs w:val="26"/>
          <w:rtl/>
        </w:rPr>
        <w:t xml:space="preserve">לאחר מאות פינויים מוצלחים בשנות התשעים, הואט הליך הפינוי, בין </w:t>
      </w:r>
      <w:r w:rsidR="008444AF">
        <w:rPr>
          <w:rFonts w:ascii="David" w:eastAsia="Arial" w:hAnsi="David" w:cs="David" w:hint="cs"/>
          <w:sz w:val="26"/>
          <w:szCs w:val="26"/>
          <w:rtl/>
        </w:rPr>
        <w:t>השאר</w:t>
      </w:r>
      <w:r w:rsidRPr="001E594E">
        <w:rPr>
          <w:rFonts w:ascii="David" w:eastAsia="Arial" w:hAnsi="David" w:cs="David"/>
          <w:sz w:val="26"/>
          <w:szCs w:val="26"/>
          <w:rtl/>
        </w:rPr>
        <w:t>, משום שהגורמים האמונים על פינוי ושיקום השכונה הפסיקו להציע פיצויים ראויים לתושביה. בנוסף, לאחרונה היו מספר אירועים בהם בוצעו פינויים של תושבים מחלקים שונים של כפר שלם וזאת ללא שהובטחה זכותם של המפונים לפיצויים נאותים. מפונים אלה מצאו עצמם בן לילה ללא קורת גג.</w:t>
      </w:r>
    </w:p>
    <w:p w14:paraId="42ADE284" w14:textId="179CCA61" w:rsidR="00BB6AA2" w:rsidRPr="001E594E" w:rsidRDefault="00BB6AA2" w:rsidP="008444AF">
      <w:pPr>
        <w:spacing w:before="0" w:line="240" w:lineRule="auto"/>
        <w:rPr>
          <w:rFonts w:ascii="David" w:eastAsia="Arial" w:hAnsi="David" w:cs="David"/>
          <w:sz w:val="26"/>
          <w:szCs w:val="26"/>
        </w:rPr>
      </w:pPr>
      <w:r w:rsidRPr="001E594E">
        <w:rPr>
          <w:rFonts w:ascii="David" w:eastAsia="Arial" w:hAnsi="David" w:cs="David"/>
          <w:sz w:val="26"/>
          <w:szCs w:val="26"/>
          <w:rtl/>
        </w:rPr>
        <w:t xml:space="preserve">הצעת חוק זו נועדה להסדיר את זכויותיהם של תושבי כפר שלם לפיצויים תמורת פינוי הנכסים המוחזקים על ידם. לפיכך, עקרון היסוד של הצעת החוק הוא כי אין לפנות תושבים מהמתחם ללא הבטחת זכויותיהם (סעיף 3). הצעת החוק מציבה במרכזה את מסמך "ריכוז הקריטריונים לפינוי כפר שלם" של משרד הבינוי והשיכון משנת 1996 (להלן – מסמך הקריטריונים), שהוא גלגול של מסמך קודם משנת 1993, אשר שימש במשך מספר שנים כנוהל שאפשר פינוי של תושבי מתחם כפר שלם, תוך כדי הבטחת זכאותם לפיצוי נאות. בזכות מסמך זה, התבצעו במהלך שנות התשעים מספר פינויים מוצלחים מהשכונה. מסמך הקריטריונים מאפשר לתושבים לבחור בין שני מסלולי פיצוי: "מסלול בנה ביתך", שבו בסיס הפיצוי הוא הסכום הנדרש לבניית בית וכן זכויות בקרקע לשם כך; ו"מסלול פיצוי בשוק החופשי" שבו בסיס הפיצוי הוא סכום הנדרש לרכישת דירה בשוק החופשי. </w:t>
      </w:r>
    </w:p>
    <w:p w14:paraId="23D7C709" w14:textId="77777777" w:rsidR="00BB6AA2" w:rsidRPr="001E594E" w:rsidRDefault="00BB6AA2" w:rsidP="00995A32">
      <w:pPr>
        <w:spacing w:before="0" w:line="240" w:lineRule="auto"/>
        <w:rPr>
          <w:rFonts w:ascii="David" w:eastAsia="Arial" w:hAnsi="David" w:cs="David"/>
          <w:sz w:val="26"/>
          <w:szCs w:val="26"/>
        </w:rPr>
      </w:pPr>
      <w:r w:rsidRPr="001E594E">
        <w:rPr>
          <w:rFonts w:ascii="David" w:eastAsia="Arial" w:hAnsi="David" w:cs="David"/>
          <w:sz w:val="26"/>
          <w:szCs w:val="26"/>
          <w:rtl/>
        </w:rPr>
        <w:t xml:space="preserve">מוצע כי הבסיס לפיצוי מפונים יהיה האמור במסמך הקריטריונים, תוך הצמדת הערכים הנקובים בו למדד המחירים לצרכן. </w:t>
      </w:r>
    </w:p>
    <w:p w14:paraId="27FB5905" w14:textId="77777777" w:rsidR="00BB6AA2" w:rsidRPr="001E594E" w:rsidRDefault="00BB6AA2" w:rsidP="00995A32">
      <w:pPr>
        <w:spacing w:before="0" w:line="240" w:lineRule="auto"/>
        <w:rPr>
          <w:rFonts w:ascii="David" w:eastAsia="Arial" w:hAnsi="David" w:cs="David"/>
          <w:sz w:val="26"/>
          <w:szCs w:val="26"/>
        </w:rPr>
      </w:pPr>
      <w:r w:rsidRPr="001E594E">
        <w:rPr>
          <w:rFonts w:ascii="David" w:eastAsia="Arial" w:hAnsi="David" w:cs="David"/>
          <w:sz w:val="26"/>
          <w:szCs w:val="26"/>
          <w:rtl/>
        </w:rPr>
        <w:t xml:space="preserve">מפונה יהיה זכאי לשני סוגים של פיצויים: פיצוי בגין מגורים בהתאם למסלול הפיצוי (סעיף 4), ופיצויי פינוי נוספים (סעיף 5). </w:t>
      </w:r>
    </w:p>
    <w:p w14:paraId="7092E9DB" w14:textId="77777777" w:rsidR="00BB6AA2" w:rsidRPr="001E594E" w:rsidRDefault="00BB6AA2" w:rsidP="00995A32">
      <w:pPr>
        <w:spacing w:before="0" w:line="240" w:lineRule="auto"/>
        <w:rPr>
          <w:rFonts w:ascii="David" w:eastAsia="Arial" w:hAnsi="David" w:cs="David"/>
          <w:sz w:val="26"/>
          <w:szCs w:val="26"/>
        </w:rPr>
      </w:pPr>
      <w:r w:rsidRPr="001E594E">
        <w:rPr>
          <w:rFonts w:ascii="David" w:eastAsia="Arial" w:hAnsi="David" w:cs="David"/>
          <w:sz w:val="26"/>
          <w:szCs w:val="26"/>
          <w:rtl/>
        </w:rPr>
        <w:t>הצעת החוק מוסיפה סוג שלישי של פיצוי – פיצויי ותק בשיעור 2% מפיצויי המגורים והפיצויים הנוספים, עבור כל שנה של מגורים במתחם כפר שלם למפונים, שהתגוררו בכפר שלם טרם חקיקתו של חוק בינוי ופינוי (סעיף 6(א)).</w:t>
      </w:r>
    </w:p>
    <w:p w14:paraId="4F227CFB" w14:textId="77777777" w:rsidR="00BB6AA2" w:rsidRPr="001E594E" w:rsidRDefault="00BB6AA2" w:rsidP="00995A32">
      <w:pPr>
        <w:spacing w:before="0" w:line="240" w:lineRule="auto"/>
        <w:rPr>
          <w:rFonts w:ascii="David" w:eastAsia="Arial" w:hAnsi="David" w:cs="David"/>
          <w:sz w:val="26"/>
          <w:szCs w:val="26"/>
        </w:rPr>
      </w:pPr>
      <w:r w:rsidRPr="001E594E">
        <w:rPr>
          <w:rFonts w:ascii="David" w:eastAsia="Arial" w:hAnsi="David" w:cs="David"/>
          <w:sz w:val="26"/>
          <w:szCs w:val="26"/>
          <w:rtl/>
        </w:rPr>
        <w:t>בנוסף, מוצע לאפשר למי שזכאי לפיצוי במסלול "בנה ביתך" להמיר את זכאותו בפיצוי במסלול "שוק חופשי", ובמקרה כזה יהיה הפיצוי הגבוה מבין סכום הפיצוי הרגיל במסלול שוק חופשי ושווי דירה במסלול "בנה ביתך" (סעיף 4(ג)). עוד מוצע לאפשר למפונה יחיד המחזיק בשטח העולה על 200 מטרים רבועים, לבחור במסלול "בנה ביתך" (סעיף 8).</w:t>
      </w:r>
    </w:p>
    <w:p w14:paraId="79217DED" w14:textId="77777777" w:rsidR="00BB6AA2" w:rsidRPr="001E594E" w:rsidRDefault="00BB6AA2" w:rsidP="00995A32">
      <w:pPr>
        <w:spacing w:before="0" w:line="240" w:lineRule="auto"/>
        <w:rPr>
          <w:rFonts w:ascii="David" w:eastAsia="Arial" w:hAnsi="David" w:cs="David"/>
          <w:sz w:val="26"/>
          <w:szCs w:val="26"/>
        </w:rPr>
      </w:pPr>
      <w:r w:rsidRPr="001E594E">
        <w:rPr>
          <w:rFonts w:ascii="David" w:eastAsia="Arial" w:hAnsi="David" w:cs="David"/>
          <w:sz w:val="26"/>
          <w:szCs w:val="26"/>
          <w:rtl/>
        </w:rPr>
        <w:t>כמו כן, מוצע כי נגד תושבים ותיקים לא יוצאו בשום מקרה צווי סילוק יד, זאת בשל מעמדם המיוחד (סעיף 7). מוצע להשוות מעמדם של בני משפחה נלווים למעמדו של ראש משפחה, וזאת מהטעם שאין כל היגיון ביצירת שני מעמדות של מפונים (סעיף 9).</w:t>
      </w:r>
    </w:p>
    <w:p w14:paraId="14E8D7A6" w14:textId="77777777" w:rsidR="00BB6AA2" w:rsidRPr="001E594E" w:rsidRDefault="00BB6AA2" w:rsidP="00995A32">
      <w:pPr>
        <w:spacing w:before="0" w:line="240" w:lineRule="auto"/>
        <w:rPr>
          <w:rFonts w:ascii="David" w:eastAsia="Arial" w:hAnsi="David" w:cs="David"/>
          <w:sz w:val="26"/>
          <w:szCs w:val="26"/>
        </w:rPr>
      </w:pPr>
      <w:r w:rsidRPr="001E594E">
        <w:rPr>
          <w:rFonts w:ascii="David" w:eastAsia="Arial" w:hAnsi="David" w:cs="David"/>
          <w:sz w:val="26"/>
          <w:szCs w:val="26"/>
          <w:rtl/>
        </w:rPr>
        <w:t>הצעת החוק מאפשרת להוריש זכויות מכוח החוק, וכן להעבירן בתמורה או שלא בתמורה (סעיף 10). בהצעת החוק מנגנון לקביעת זהותו של שמאי המקרקעין ונושאי שמאות נוספים (סעיף 11). עם קבלת החוק המוצע יחולו החוק ומטרותיו על הליכי הפינוי התלויים ועומדים בבית המשפט (סעיף 13).</w:t>
      </w:r>
    </w:p>
    <w:p w14:paraId="43A5BA2B" w14:textId="77777777" w:rsidR="00BB6AA2" w:rsidRPr="001E594E" w:rsidRDefault="00BB6AA2" w:rsidP="00995A32">
      <w:pPr>
        <w:spacing w:before="0" w:line="240" w:lineRule="auto"/>
        <w:rPr>
          <w:rFonts w:ascii="David" w:eastAsia="Arial" w:hAnsi="David" w:cs="David"/>
          <w:sz w:val="26"/>
          <w:szCs w:val="26"/>
        </w:rPr>
      </w:pPr>
      <w:r w:rsidRPr="001E594E">
        <w:rPr>
          <w:rFonts w:ascii="David" w:eastAsia="Arial" w:hAnsi="David" w:cs="David"/>
          <w:sz w:val="26"/>
          <w:szCs w:val="26"/>
          <w:rtl/>
        </w:rPr>
        <w:t>הצעות חוק דומות בעיקרן הונחו על שולחן הכנסת השבע-עשרה על ידי חבר הכנסת גלעד ארדן וקבוצת חברי הכנסת (פ/3792/17) ועל שולחן הכנסת העשרים ושתיים על ידי חבר הכנסת אילן גילאון (פ/494/22).</w:t>
      </w:r>
    </w:p>
    <w:p w14:paraId="6EC12B1E" w14:textId="7E6CEEC2" w:rsidR="00BB6AA2" w:rsidRDefault="00BB6AA2" w:rsidP="00B71A10">
      <w:pPr>
        <w:spacing w:before="0" w:line="240" w:lineRule="auto"/>
        <w:rPr>
          <w:rFonts w:ascii="David" w:eastAsia="Arial" w:hAnsi="David" w:cs="David"/>
          <w:sz w:val="26"/>
          <w:szCs w:val="26"/>
          <w:rtl/>
        </w:rPr>
      </w:pPr>
      <w:r w:rsidRPr="001E594E">
        <w:rPr>
          <w:rFonts w:ascii="David" w:eastAsia="Arial" w:hAnsi="David" w:cs="David"/>
          <w:sz w:val="26"/>
          <w:szCs w:val="26"/>
          <w:rtl/>
        </w:rPr>
        <w:t xml:space="preserve">הצעות חוק זהות הונחו על שולחן הכנסת </w:t>
      </w:r>
      <w:r w:rsidR="00D54202" w:rsidRPr="001E594E">
        <w:rPr>
          <w:rFonts w:ascii="David" w:eastAsia="Arial" w:hAnsi="David" w:cs="David"/>
          <w:sz w:val="26"/>
          <w:szCs w:val="26"/>
          <w:rtl/>
        </w:rPr>
        <w:t xml:space="preserve">העשרים וארבע ועל שולחן הכנסת העשרים </w:t>
      </w:r>
      <w:r w:rsidRPr="001E594E">
        <w:rPr>
          <w:rFonts w:ascii="David" w:eastAsia="Arial" w:hAnsi="David" w:cs="David"/>
          <w:sz w:val="26"/>
          <w:szCs w:val="26"/>
          <w:rtl/>
        </w:rPr>
        <w:t>וחמש על ידי  חברת הכנסת קטי קטרין שטרית (פ/210</w:t>
      </w:r>
      <w:r w:rsidR="00D54202">
        <w:rPr>
          <w:rFonts w:ascii="David" w:eastAsia="Arial" w:hAnsi="David" w:cs="David"/>
          <w:sz w:val="26"/>
          <w:szCs w:val="26"/>
          <w:rtl/>
        </w:rPr>
        <w:t>3/24</w:t>
      </w:r>
      <w:r w:rsidR="00D54202">
        <w:rPr>
          <w:rFonts w:ascii="David" w:eastAsia="Arial" w:hAnsi="David" w:cs="David" w:hint="cs"/>
          <w:sz w:val="26"/>
          <w:szCs w:val="26"/>
          <w:rtl/>
        </w:rPr>
        <w:t xml:space="preserve">; </w:t>
      </w:r>
      <w:r w:rsidR="00D54202" w:rsidRPr="001E594E">
        <w:rPr>
          <w:rFonts w:ascii="David" w:eastAsia="Arial" w:hAnsi="David" w:cs="David"/>
          <w:sz w:val="26"/>
          <w:szCs w:val="26"/>
          <w:rtl/>
        </w:rPr>
        <w:t>פ/2933/25)</w:t>
      </w:r>
      <w:r w:rsidR="00B71A10">
        <w:rPr>
          <w:rFonts w:ascii="David" w:eastAsia="Arial" w:hAnsi="David" w:cs="David" w:hint="cs"/>
          <w:sz w:val="26"/>
          <w:szCs w:val="26"/>
          <w:rtl/>
        </w:rPr>
        <w:t>.</w:t>
      </w:r>
      <w:bookmarkStart w:id="8" w:name="_GoBack"/>
      <w:bookmarkEnd w:id="8"/>
    </w:p>
    <w:p w14:paraId="5D98998F" w14:textId="77777777" w:rsidR="00D54202" w:rsidRPr="001E594E" w:rsidRDefault="00D54202" w:rsidP="00995A32">
      <w:pPr>
        <w:spacing w:before="0" w:line="240" w:lineRule="auto"/>
        <w:rPr>
          <w:rFonts w:ascii="David" w:eastAsia="Arial" w:hAnsi="David" w:cs="David"/>
          <w:sz w:val="26"/>
          <w:szCs w:val="26"/>
          <w:rtl/>
        </w:rPr>
      </w:pPr>
    </w:p>
    <w:p w14:paraId="038ED8C0" w14:textId="77777777" w:rsidR="00C650EB" w:rsidRDefault="00D54202" w:rsidP="00995A32">
      <w:pPr>
        <w:spacing w:before="0" w:line="240" w:lineRule="auto"/>
        <w:jc w:val="left"/>
      </w:pPr>
      <w:bookmarkStart w:id="9" w:name="selectedDocDateB"/>
      <w:bookmarkEnd w:id="9"/>
      <w:r>
        <w:rPr>
          <w:rFonts w:ascii="David" w:eastAsia="David" w:hAnsi="David" w:cs="David" w:hint="cs"/>
          <w:sz w:val="26"/>
          <w:szCs w:val="26"/>
          <w:rtl/>
        </w:rPr>
        <w:t>--------------------------------</w:t>
      </w:r>
    </w:p>
    <w:p w14:paraId="1A1DEBD5" w14:textId="77777777" w:rsidR="00C650EB" w:rsidRDefault="00D54202" w:rsidP="00995A32">
      <w:pPr>
        <w:spacing w:before="0" w:line="240" w:lineRule="auto"/>
        <w:jc w:val="left"/>
      </w:pPr>
      <w:r>
        <w:rPr>
          <w:rFonts w:ascii="David" w:eastAsia="David" w:hAnsi="David" w:cs="David" w:hint="cs"/>
          <w:sz w:val="26"/>
          <w:szCs w:val="26"/>
          <w:rtl/>
        </w:rPr>
        <w:t>הוגשה ליו"ר הכנסת והסגנים</w:t>
      </w:r>
    </w:p>
    <w:p w14:paraId="08ED190F" w14:textId="77777777" w:rsidR="00C650EB" w:rsidRDefault="00D54202" w:rsidP="00995A32">
      <w:pPr>
        <w:spacing w:before="0" w:line="240" w:lineRule="auto"/>
        <w:jc w:val="left"/>
      </w:pPr>
      <w:r>
        <w:rPr>
          <w:rFonts w:ascii="David" w:eastAsia="David" w:hAnsi="David" w:cs="David" w:hint="cs"/>
          <w:sz w:val="26"/>
          <w:szCs w:val="26"/>
          <w:rtl/>
        </w:rPr>
        <w:t>והונחה על שולחן הכנסת ביום</w:t>
      </w:r>
    </w:p>
    <w:p w14:paraId="0AE6FD4A" w14:textId="77777777" w:rsidR="00C650EB" w:rsidRDefault="00D54202" w:rsidP="00995A32">
      <w:pPr>
        <w:spacing w:before="0" w:line="240" w:lineRule="auto"/>
        <w:jc w:val="left"/>
      </w:pPr>
      <w:r>
        <w:rPr>
          <w:rFonts w:ascii="David" w:eastAsia="David" w:hAnsi="David" w:cs="David" w:hint="cs"/>
          <w:sz w:val="26"/>
          <w:szCs w:val="26"/>
          <w:rtl/>
        </w:rPr>
        <w:t xml:space="preserve">י"ד בתמוז התשפ"ו (29.06.2026) </w:t>
      </w:r>
    </w:p>
    <w:p w14:paraId="146F0E93" w14:textId="77777777" w:rsidR="00C650EB" w:rsidRDefault="00C650EB">
      <w:pPr>
        <w:spacing w:before="0" w:line="276" w:lineRule="auto"/>
        <w:jc w:val="left"/>
      </w:pPr>
    </w:p>
    <w:sectPr w:rsidR="00C650EB" w:rsidSect="001207F8">
      <w:footerReference w:type="even" r:id="rId11"/>
      <w:footerReference w:type="default" r:id="rId12"/>
      <w:pgSz w:w="11907" w:h="16840" w:code="9"/>
      <w:pgMar w:top="1134" w:right="1134" w:bottom="1134" w:left="1134" w:header="680" w:footer="680" w:gutter="0"/>
      <w:cols w:space="720"/>
      <w:noEndnote/>
      <w:titlePg/>
      <w:bidi/>
      <w:rtlGutter/>
      <w:docGrid w:linePitch="23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0000012" w:usb3="00000000" w:csb0="0002009F" w:csb1="00000000"/>
  </w:font>
  <w:font w:name="Hadasa Roso SL">
    <w:altName w:val="Times New Roman"/>
    <w:charset w:val="00"/>
    <w:family w:val="roman"/>
    <w:pitch w:val="variable"/>
    <w:sig w:usb0="80001827" w:usb1="5000004A" w:usb2="00000020" w:usb3="00000000" w:csb0="0000002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avid">
    <w:altName w:val="Malgun Gothic Semiligh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end"/>
    </w:r>
  </w:p>
  <w:p w14:paraId="7F6961D6" w14:textId="77777777" w:rsidR="002C3041" w:rsidRDefault="002C3041">
    <w:pPr>
      <w:pStyle w:val="a9"/>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049D053F"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separate"/>
    </w:r>
    <w:r w:rsidR="00B71A10">
      <w:rPr>
        <w:rStyle w:val="ab"/>
        <w:noProof/>
        <w:rtl/>
      </w:rPr>
      <w:t>4</w:t>
    </w:r>
    <w:r>
      <w:rPr>
        <w:rStyle w:val="ab"/>
        <w:rtl/>
      </w:rPr>
      <w:fldChar w:fldCharType="end"/>
    </w:r>
  </w:p>
  <w:p w14:paraId="7F6961D8" w14:textId="77777777" w:rsidR="002C3041" w:rsidRDefault="002C3041">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51EECBFD" w14:textId="77777777" w:rsidR="00BC05A0" w:rsidRDefault="00BC05A0" w:rsidP="00BC05A0">
      <w:pPr>
        <w:pStyle w:val="a4"/>
      </w:pPr>
      <w:r>
        <w:rPr>
          <w:rStyle w:val="a6"/>
        </w:rPr>
        <w:footnoteRef/>
      </w:r>
      <w:r>
        <w:rPr>
          <w:rtl/>
        </w:rPr>
        <w:t xml:space="preserve"> </w:t>
      </w:r>
      <w:r>
        <w:rPr>
          <w:rFonts w:hint="cs"/>
          <w:rtl/>
        </w:rPr>
        <w:t>ס"ח התש"ך, עמ' 57.</w:t>
      </w:r>
    </w:p>
  </w:footnote>
  <w:footnote w:id="3">
    <w:p w14:paraId="51147C4E" w14:textId="77777777" w:rsidR="00BC05A0" w:rsidRDefault="00BC05A0" w:rsidP="00BC05A0">
      <w:pPr>
        <w:pStyle w:val="a4"/>
      </w:pPr>
      <w:r>
        <w:rPr>
          <w:rStyle w:val="a6"/>
        </w:rPr>
        <w:footnoteRef/>
      </w:r>
      <w:r>
        <w:rPr>
          <w:sz w:val="20"/>
          <w:rtl/>
        </w:rPr>
        <w:t xml:space="preserve"> ס"ח התשנ"ח, עמ' 278.</w:t>
      </w:r>
    </w:p>
  </w:footnote>
  <w:footnote w:id="4">
    <w:p w14:paraId="19F19C8C" w14:textId="77777777" w:rsidR="006A3CD0" w:rsidRDefault="006A3CD0" w:rsidP="00BC05A0">
      <w:pPr>
        <w:pStyle w:val="a4"/>
        <w:rPr>
          <w:rtl/>
        </w:rPr>
      </w:pPr>
      <w:r>
        <w:rPr>
          <w:rStyle w:val="a6"/>
        </w:rPr>
        <w:footnoteRef/>
      </w:r>
      <w:r>
        <w:rPr>
          <w:sz w:val="20"/>
          <w:rtl/>
        </w:rPr>
        <w:t xml:space="preserve"> ס"ח התשכ"ה, עמ' 279.</w:t>
      </w:r>
    </w:p>
  </w:footnote>
  <w:footnote w:id="5">
    <w:p w14:paraId="650F6306" w14:textId="77777777" w:rsidR="006A3CD0" w:rsidRDefault="006A3CD0" w:rsidP="00BC05A0">
      <w:pPr>
        <w:pStyle w:val="a4"/>
        <w:rPr>
          <w:rtl/>
        </w:rPr>
      </w:pPr>
      <w:r>
        <w:rPr>
          <w:rStyle w:val="a6"/>
          <w:sz w:val="20"/>
          <w:rtl/>
        </w:rPr>
        <w:t>*</w:t>
      </w:r>
      <w:r>
        <w:rPr>
          <w:sz w:val="20"/>
          <w:rtl/>
        </w:rPr>
        <w:t xml:space="preserve"> המפה תצורף בעת הכנת הצעת החוק לקריאה הראשונה.</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F6AAD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D5CAEA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E88A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DA1E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A3056D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222F1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06C9A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FE925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4246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4D088A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53C544D"/>
    <w:multiLevelType w:val="hybridMultilevel"/>
    <w:tmpl w:val="B170A16C"/>
    <w:lvl w:ilvl="0" w:tplc="746489A4">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activeWritingStyle w:appName="MSWord" w:lang="en-US" w:vendorID="64" w:dllVersion="131078" w:nlCheck="1" w:checkStyle="0"/>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542E"/>
    <w:rsid w:val="00102B6B"/>
    <w:rsid w:val="001052D4"/>
    <w:rsid w:val="0010644B"/>
    <w:rsid w:val="001207F8"/>
    <w:rsid w:val="00121924"/>
    <w:rsid w:val="001279A8"/>
    <w:rsid w:val="0014195F"/>
    <w:rsid w:val="00152609"/>
    <w:rsid w:val="00153E1B"/>
    <w:rsid w:val="001A0623"/>
    <w:rsid w:val="001C23B0"/>
    <w:rsid w:val="001D7AAF"/>
    <w:rsid w:val="001E594E"/>
    <w:rsid w:val="00203A7F"/>
    <w:rsid w:val="0021633A"/>
    <w:rsid w:val="002200A1"/>
    <w:rsid w:val="002362BF"/>
    <w:rsid w:val="00241B97"/>
    <w:rsid w:val="002425D1"/>
    <w:rsid w:val="00246756"/>
    <w:rsid w:val="00251E58"/>
    <w:rsid w:val="00254605"/>
    <w:rsid w:val="00266D86"/>
    <w:rsid w:val="002728B4"/>
    <w:rsid w:val="0027600C"/>
    <w:rsid w:val="00292712"/>
    <w:rsid w:val="002A487D"/>
    <w:rsid w:val="002C2E29"/>
    <w:rsid w:val="002C3041"/>
    <w:rsid w:val="002D1EE3"/>
    <w:rsid w:val="002F1D80"/>
    <w:rsid w:val="003232A2"/>
    <w:rsid w:val="00325C14"/>
    <w:rsid w:val="00335557"/>
    <w:rsid w:val="0036422C"/>
    <w:rsid w:val="003708F6"/>
    <w:rsid w:val="003710F6"/>
    <w:rsid w:val="00386E88"/>
    <w:rsid w:val="00396585"/>
    <w:rsid w:val="003D6E38"/>
    <w:rsid w:val="003D74A0"/>
    <w:rsid w:val="004033D8"/>
    <w:rsid w:val="004073F0"/>
    <w:rsid w:val="00412A7D"/>
    <w:rsid w:val="00416B4D"/>
    <w:rsid w:val="00417CFC"/>
    <w:rsid w:val="00466C4D"/>
    <w:rsid w:val="00470C67"/>
    <w:rsid w:val="004A06DC"/>
    <w:rsid w:val="004B24ED"/>
    <w:rsid w:val="004B6625"/>
    <w:rsid w:val="004D2D82"/>
    <w:rsid w:val="004D3876"/>
    <w:rsid w:val="004E4552"/>
    <w:rsid w:val="004E6CDF"/>
    <w:rsid w:val="00553C9D"/>
    <w:rsid w:val="00562A66"/>
    <w:rsid w:val="005B064E"/>
    <w:rsid w:val="005D51AE"/>
    <w:rsid w:val="0062674B"/>
    <w:rsid w:val="006363B2"/>
    <w:rsid w:val="00644940"/>
    <w:rsid w:val="006818A9"/>
    <w:rsid w:val="006A2D81"/>
    <w:rsid w:val="006A3CD0"/>
    <w:rsid w:val="006C1D0D"/>
    <w:rsid w:val="00701FBB"/>
    <w:rsid w:val="0070601E"/>
    <w:rsid w:val="00712C72"/>
    <w:rsid w:val="00735FE9"/>
    <w:rsid w:val="00763CAA"/>
    <w:rsid w:val="00765F66"/>
    <w:rsid w:val="0078664F"/>
    <w:rsid w:val="007A27CE"/>
    <w:rsid w:val="007C3FA6"/>
    <w:rsid w:val="007D585A"/>
    <w:rsid w:val="007D5A12"/>
    <w:rsid w:val="007E59F9"/>
    <w:rsid w:val="00810BCD"/>
    <w:rsid w:val="00812C98"/>
    <w:rsid w:val="00814D92"/>
    <w:rsid w:val="0083181D"/>
    <w:rsid w:val="00843EB2"/>
    <w:rsid w:val="008444AF"/>
    <w:rsid w:val="00865572"/>
    <w:rsid w:val="00874BBC"/>
    <w:rsid w:val="00892135"/>
    <w:rsid w:val="00895449"/>
    <w:rsid w:val="00897879"/>
    <w:rsid w:val="008A6870"/>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57589"/>
    <w:rsid w:val="00966D06"/>
    <w:rsid w:val="00982412"/>
    <w:rsid w:val="00983A8D"/>
    <w:rsid w:val="00995A32"/>
    <w:rsid w:val="009A0DB8"/>
    <w:rsid w:val="009A7257"/>
    <w:rsid w:val="009D6E0A"/>
    <w:rsid w:val="009E1E33"/>
    <w:rsid w:val="00A14672"/>
    <w:rsid w:val="00A26BD6"/>
    <w:rsid w:val="00A443CF"/>
    <w:rsid w:val="00A6611D"/>
    <w:rsid w:val="00A82CB7"/>
    <w:rsid w:val="00A942C1"/>
    <w:rsid w:val="00AA2F03"/>
    <w:rsid w:val="00AC36F7"/>
    <w:rsid w:val="00AC63A4"/>
    <w:rsid w:val="00AD239E"/>
    <w:rsid w:val="00B10265"/>
    <w:rsid w:val="00B16A99"/>
    <w:rsid w:val="00B21211"/>
    <w:rsid w:val="00B35784"/>
    <w:rsid w:val="00B43175"/>
    <w:rsid w:val="00B71A10"/>
    <w:rsid w:val="00B733A7"/>
    <w:rsid w:val="00B75C91"/>
    <w:rsid w:val="00B975AD"/>
    <w:rsid w:val="00BB6AA2"/>
    <w:rsid w:val="00BC05A0"/>
    <w:rsid w:val="00BC45FB"/>
    <w:rsid w:val="00BF148D"/>
    <w:rsid w:val="00C23B1A"/>
    <w:rsid w:val="00C310EB"/>
    <w:rsid w:val="00C650EB"/>
    <w:rsid w:val="00C9176A"/>
    <w:rsid w:val="00CC7C5F"/>
    <w:rsid w:val="00CF1AA2"/>
    <w:rsid w:val="00D142D3"/>
    <w:rsid w:val="00D17774"/>
    <w:rsid w:val="00D54202"/>
    <w:rsid w:val="00D63620"/>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3A3A"/>
    <w:rsid w:val="00F52032"/>
    <w:rsid w:val="00F628D6"/>
    <w:rsid w:val="00F67051"/>
    <w:rsid w:val="00F86A1E"/>
    <w:rsid w:val="00FA5E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19D1D161-F742-415F-89F0-327F45702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75AD"/>
    <w:pPr>
      <w:widowControl w:val="0"/>
      <w:autoSpaceDE w:val="0"/>
      <w:autoSpaceDN w:val="0"/>
      <w:bidi/>
      <w:adjustRightInd w:val="0"/>
      <w:spacing w:before="102" w:line="204" w:lineRule="atLeast"/>
      <w:ind w:firstLine="340"/>
      <w:jc w:val="both"/>
      <w:textAlignment w:val="center"/>
    </w:pPr>
    <w:rPr>
      <w:rFonts w:ascii="Hadasa Roso SL" w:hAnsi="Hadasa Roso SL" w:cs="Hadasa Roso SL"/>
      <w:color w:val="000000"/>
      <w:spacing w:val="1"/>
      <w:sz w:val="17"/>
      <w:szCs w:val="17"/>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B975AD"/>
    <w:pPr>
      <w:tabs>
        <w:tab w:val="left" w:pos="1191"/>
        <w:tab w:val="left" w:pos="1587"/>
      </w:tabs>
      <w:snapToGrid w:val="0"/>
      <w:spacing w:before="240" w:after="240" w:line="480" w:lineRule="auto"/>
      <w:ind w:firstLine="0"/>
      <w:jc w:val="center"/>
    </w:pPr>
    <w:rPr>
      <w:rFonts w:ascii="Arial" w:eastAsia="Arial Unicode MS" w:hAnsi="Arial" w:cs="David"/>
      <w:snapToGrid w:val="0"/>
      <w:spacing w:val="0"/>
      <w:sz w:val="20"/>
      <w:szCs w:val="26"/>
    </w:rPr>
  </w:style>
  <w:style w:type="paragraph" w:customStyle="1" w:styleId="Cover2-HatzaotHok">
    <w:name w:val="Cover 2-HatzaotHok"/>
    <w:basedOn w:val="Cover1-Reshumot"/>
    <w:rsid w:val="00B975AD"/>
    <w:rPr>
      <w:sz w:val="36"/>
      <w:szCs w:val="52"/>
    </w:rPr>
  </w:style>
  <w:style w:type="paragraph" w:customStyle="1" w:styleId="Cover3-Haknesset">
    <w:name w:val="Cover 3-Haknesset"/>
    <w:basedOn w:val="Cover1-Reshumot"/>
    <w:rsid w:val="00B975AD"/>
    <w:rPr>
      <w:b/>
      <w:bCs/>
      <w:spacing w:val="60"/>
    </w:rPr>
  </w:style>
  <w:style w:type="paragraph" w:customStyle="1" w:styleId="Cover4-Date">
    <w:name w:val="Cover 4-Date"/>
    <w:basedOn w:val="a"/>
    <w:rsid w:val="00B975AD"/>
    <w:pPr>
      <w:pBdr>
        <w:bottom w:val="single" w:sz="4" w:space="0" w:color="auto"/>
      </w:pBdr>
      <w:tabs>
        <w:tab w:val="center" w:pos="4820"/>
        <w:tab w:val="right" w:pos="9639"/>
      </w:tabs>
      <w:snapToGrid w:val="0"/>
      <w:spacing w:before="240" w:after="240" w:line="360" w:lineRule="auto"/>
      <w:ind w:firstLine="0"/>
      <w:jc w:val="left"/>
    </w:pPr>
    <w:rPr>
      <w:rFonts w:ascii="Arial" w:eastAsia="Arial Unicode MS" w:hAnsi="Arial" w:cs="David"/>
      <w:snapToGrid w:val="0"/>
      <w:spacing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B975AD"/>
    <w:pPr>
      <w:keepNext/>
      <w:keepLines/>
      <w:pageBreakBefore/>
      <w:snapToGrid w:val="0"/>
      <w:spacing w:before="480" w:line="360" w:lineRule="auto"/>
      <w:ind w:firstLine="0"/>
    </w:pPr>
    <w:rPr>
      <w:rFonts w:ascii="Arial" w:eastAsia="Arial Unicode MS" w:hAnsi="Arial" w:cs="David"/>
      <w:b/>
      <w:bCs/>
      <w:snapToGrid w:val="0"/>
      <w:spacing w:val="0"/>
      <w:sz w:val="20"/>
      <w:szCs w:val="26"/>
    </w:rPr>
  </w:style>
  <w:style w:type="paragraph" w:customStyle="1" w:styleId="HeadHatzaotHok">
    <w:name w:val="Head HatzaotHok"/>
    <w:basedOn w:val="a"/>
    <w:rsid w:val="00B975AD"/>
    <w:pPr>
      <w:keepNext/>
      <w:keepLines/>
      <w:snapToGrid w:val="0"/>
      <w:spacing w:before="240" w:line="360" w:lineRule="auto"/>
      <w:ind w:firstLine="0"/>
      <w:jc w:val="center"/>
    </w:pPr>
    <w:rPr>
      <w:rFonts w:ascii="Arial" w:eastAsia="Arial Unicode MS" w:hAnsi="Arial" w:cs="David"/>
      <w:b/>
      <w:bCs/>
      <w:snapToGrid w:val="0"/>
      <w:spacing w:val="0"/>
      <w:sz w:val="20"/>
      <w:szCs w:val="26"/>
    </w:rPr>
  </w:style>
  <w:style w:type="paragraph" w:customStyle="1" w:styleId="HeadHatzaotHok4Futer">
    <w:name w:val="Head HatzaotHok4Futer"/>
    <w:basedOn w:val="HeadHatzaotHok"/>
    <w:rsid w:val="00B975AD"/>
    <w:pPr>
      <w:spacing w:before="120" w:after="120"/>
    </w:pPr>
    <w:rPr>
      <w:color w:val="FF0000"/>
      <w:w w:val="80"/>
    </w:rPr>
  </w:style>
  <w:style w:type="paragraph" w:styleId="a3">
    <w:name w:val="endnote text"/>
    <w:basedOn w:val="a"/>
    <w:semiHidden/>
    <w:rsid w:val="00B975AD"/>
    <w:pPr>
      <w:ind w:left="227" w:hanging="227"/>
    </w:pPr>
    <w:rPr>
      <w:sz w:val="14"/>
      <w:szCs w:val="22"/>
    </w:rPr>
  </w:style>
  <w:style w:type="paragraph" w:customStyle="1" w:styleId="TableText">
    <w:name w:val="Table Text"/>
    <w:basedOn w:val="a"/>
    <w:rsid w:val="00B975AD"/>
    <w:pPr>
      <w:keepLines/>
      <w:tabs>
        <w:tab w:val="left" w:pos="624"/>
        <w:tab w:val="left" w:pos="1247"/>
      </w:tabs>
      <w:snapToGrid w:val="0"/>
      <w:spacing w:before="0" w:line="360" w:lineRule="auto"/>
      <w:ind w:right="57" w:firstLine="0"/>
      <w:jc w:val="left"/>
    </w:pPr>
    <w:rPr>
      <w:rFonts w:ascii="Arial" w:eastAsia="Arial Unicode MS" w:hAnsi="Arial" w:cs="David"/>
      <w:snapToGrid w:val="0"/>
      <w:spacing w:val="0"/>
      <w:sz w:val="20"/>
      <w:szCs w:val="26"/>
    </w:rPr>
  </w:style>
  <w:style w:type="paragraph" w:customStyle="1" w:styleId="TableSideHeading">
    <w:name w:val="Table SideHeading"/>
    <w:basedOn w:val="TableText"/>
    <w:rsid w:val="00B975AD"/>
  </w:style>
  <w:style w:type="paragraph" w:customStyle="1" w:styleId="TableBlock">
    <w:name w:val="Table Block"/>
    <w:basedOn w:val="TableText"/>
    <w:rsid w:val="00B975AD"/>
    <w:pPr>
      <w:ind w:right="0"/>
      <w:jc w:val="both"/>
    </w:pPr>
  </w:style>
  <w:style w:type="paragraph" w:customStyle="1" w:styleId="TableHead">
    <w:name w:val="Table Head"/>
    <w:basedOn w:val="TableText"/>
    <w:rsid w:val="00B975AD"/>
    <w:pPr>
      <w:ind w:right="0"/>
      <w:jc w:val="center"/>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B975AD"/>
  </w:style>
  <w:style w:type="paragraph" w:customStyle="1" w:styleId="Hesber">
    <w:name w:val="Hesber"/>
    <w:basedOn w:val="a"/>
    <w:rsid w:val="00B975AD"/>
    <w:pPr>
      <w:snapToGrid w:val="0"/>
      <w:spacing w:before="0" w:line="360" w:lineRule="auto"/>
    </w:pPr>
    <w:rPr>
      <w:rFonts w:ascii="Arial" w:eastAsia="Arial Unicode MS" w:hAnsi="Arial" w:cs="David"/>
      <w:snapToGrid w:val="0"/>
      <w:spacing w:val="0"/>
      <w:sz w:val="20"/>
      <w:szCs w:val="26"/>
    </w:rPr>
  </w:style>
  <w:style w:type="paragraph" w:styleId="a4">
    <w:name w:val="footnote text"/>
    <w:basedOn w:val="a"/>
    <w:link w:val="a5"/>
    <w:autoRedefine/>
    <w:semiHidden/>
    <w:rsid w:val="00B975AD"/>
    <w:pPr>
      <w:snapToGrid w:val="0"/>
      <w:spacing w:before="0" w:line="240" w:lineRule="auto"/>
      <w:ind w:left="227" w:hanging="227"/>
      <w:jc w:val="left"/>
    </w:pPr>
    <w:rPr>
      <w:rFonts w:ascii="Arial" w:eastAsia="Arial Unicode MS" w:hAnsi="Arial" w:cs="David"/>
      <w:snapToGrid w:val="0"/>
      <w:spacing w:val="0"/>
      <w:sz w:val="14"/>
      <w:szCs w:val="20"/>
    </w:rPr>
  </w:style>
  <w:style w:type="character" w:styleId="a6">
    <w:name w:val="footnote reference"/>
    <w:aliases w:val="Footnote Reference"/>
    <w:basedOn w:val="a0"/>
    <w:semiHidden/>
    <w:rsid w:val="00B975AD"/>
    <w:rPr>
      <w:vertAlign w:val="superscript"/>
    </w:rPr>
  </w:style>
  <w:style w:type="paragraph" w:customStyle="1" w:styleId="HesberHeading">
    <w:name w:val="Hesber Heading"/>
    <w:basedOn w:val="Hesber"/>
    <w:rsid w:val="00B975AD"/>
    <w:pPr>
      <w:tabs>
        <w:tab w:val="left" w:pos="624"/>
        <w:tab w:val="left" w:pos="1247"/>
      </w:tabs>
      <w:ind w:firstLine="0"/>
    </w:pPr>
    <w:rPr>
      <w:b/>
      <w:bCs/>
    </w:rPr>
  </w:style>
  <w:style w:type="paragraph" w:customStyle="1" w:styleId="HesberWriters">
    <w:name w:val="Hesber Writers"/>
    <w:basedOn w:val="Hesber"/>
    <w:rsid w:val="00B975AD"/>
    <w:pPr>
      <w:spacing w:before="120" w:after="6000"/>
      <w:ind w:left="1418" w:firstLine="0"/>
      <w:jc w:val="right"/>
    </w:pPr>
    <w:rPr>
      <w:b/>
      <w:bCs/>
    </w:rPr>
  </w:style>
  <w:style w:type="paragraph" w:customStyle="1" w:styleId="Hesber1st">
    <w:name w:val="Hesber 1st"/>
    <w:basedOn w:val="Hesber"/>
    <w:rsid w:val="00B975AD"/>
    <w:pPr>
      <w:tabs>
        <w:tab w:val="left" w:pos="680"/>
        <w:tab w:val="left" w:pos="1020"/>
      </w:tabs>
      <w:ind w:firstLine="0"/>
    </w:pPr>
  </w:style>
  <w:style w:type="character" w:styleId="a7">
    <w:name w:val="endnote reference"/>
    <w:basedOn w:val="a0"/>
    <w:semiHidden/>
    <w:rsid w:val="00B975AD"/>
    <w:rPr>
      <w:vertAlign w:val="superscript"/>
    </w:rPr>
  </w:style>
  <w:style w:type="paragraph" w:customStyle="1" w:styleId="TableBlockOutdent">
    <w:name w:val="Table BlockOutdent"/>
    <w:basedOn w:val="TableBlock"/>
    <w:rsid w:val="00B975AD"/>
    <w:pPr>
      <w:ind w:left="624" w:hanging="624"/>
    </w:pPr>
  </w:style>
  <w:style w:type="paragraph" w:styleId="a8">
    <w:name w:val="header"/>
    <w:basedOn w:val="a"/>
    <w:rsid w:val="00B975AD"/>
    <w:pPr>
      <w:tabs>
        <w:tab w:val="center" w:pos="4153"/>
        <w:tab w:val="right" w:pos="8306"/>
      </w:tabs>
    </w:pPr>
  </w:style>
  <w:style w:type="paragraph" w:styleId="a9">
    <w:name w:val="footer"/>
    <w:basedOn w:val="a"/>
    <w:rsid w:val="00B975AD"/>
    <w:pPr>
      <w:tabs>
        <w:tab w:val="center" w:pos="4153"/>
        <w:tab w:val="right" w:pos="8306"/>
      </w:tabs>
    </w:pPr>
  </w:style>
  <w:style w:type="paragraph" w:customStyle="1" w:styleId="HeadDivreiHesber">
    <w:name w:val="Head DivreiHesber"/>
    <w:basedOn w:val="a"/>
    <w:rsid w:val="00B975AD"/>
    <w:pPr>
      <w:snapToGrid w:val="0"/>
      <w:spacing w:before="360" w:after="120" w:line="360" w:lineRule="auto"/>
      <w:ind w:firstLine="0"/>
      <w:jc w:val="center"/>
    </w:pPr>
    <w:rPr>
      <w:rFonts w:ascii="Arial" w:eastAsia="Arial Unicode MS" w:hAnsi="Arial" w:cs="David"/>
      <w:b/>
      <w:snapToGrid w:val="0"/>
      <w:spacing w:val="40"/>
      <w:sz w:val="20"/>
      <w:szCs w:val="26"/>
    </w:rPr>
  </w:style>
  <w:style w:type="paragraph" w:customStyle="1" w:styleId="Ragil">
    <w:name w:val="Ragil"/>
    <w:basedOn w:val="a"/>
    <w:rsid w:val="00B975AD"/>
    <w:pPr>
      <w:snapToGrid w:val="0"/>
      <w:spacing w:before="0" w:line="360" w:lineRule="auto"/>
      <w:jc w:val="left"/>
    </w:pPr>
    <w:rPr>
      <w:rFonts w:ascii="Arial" w:eastAsia="Arial Unicode MS" w:hAnsi="Arial" w:cs="David"/>
      <w:snapToGrid w:val="0"/>
      <w:spacing w:val="0"/>
      <w:sz w:val="20"/>
      <w:szCs w:val="26"/>
    </w:rPr>
  </w:style>
  <w:style w:type="paragraph" w:styleId="aa">
    <w:name w:val="Title"/>
    <w:basedOn w:val="a"/>
    <w:qFormat/>
    <w:rsid w:val="00943386"/>
    <w:pPr>
      <w:jc w:val="center"/>
    </w:pPr>
    <w:rPr>
      <w:rFonts w:cs="David"/>
      <w:b/>
      <w:bCs/>
      <w:sz w:val="28"/>
      <w:szCs w:val="28"/>
      <w:u w:val="single"/>
    </w:rPr>
  </w:style>
  <w:style w:type="character" w:styleId="ab">
    <w:name w:val="page number"/>
    <w:basedOn w:val="a0"/>
    <w:rsid w:val="00B975AD"/>
  </w:style>
  <w:style w:type="paragraph" w:customStyle="1" w:styleId="David">
    <w:name w:val="רגיל + (עברית ושפות אחרות) David"/>
    <w:aliases w:val="‏13 נק',מודגש,אחרי:  6 נק'"/>
    <w:basedOn w:val="a"/>
    <w:rsid w:val="001207F8"/>
    <w:pPr>
      <w:ind w:firstLine="0"/>
      <w:jc w:val="left"/>
    </w:pPr>
    <w:rPr>
      <w:rFonts w:cs="David"/>
      <w:sz w:val="26"/>
      <w:szCs w:val="26"/>
    </w:rPr>
  </w:style>
  <w:style w:type="paragraph" w:styleId="ac">
    <w:name w:val="Balloon Text"/>
    <w:basedOn w:val="a"/>
    <w:link w:val="ad"/>
    <w:semiHidden/>
    <w:unhideWhenUsed/>
    <w:rsid w:val="00325C14"/>
    <w:pPr>
      <w:spacing w:before="0" w:line="240" w:lineRule="auto"/>
    </w:pPr>
    <w:rPr>
      <w:rFonts w:ascii="Tahoma" w:hAnsi="Tahoma" w:cs="Tahoma"/>
      <w:sz w:val="16"/>
      <w:szCs w:val="16"/>
    </w:rPr>
  </w:style>
  <w:style w:type="character" w:customStyle="1" w:styleId="ad">
    <w:name w:val="טקסט בלונים תו"/>
    <w:basedOn w:val="a0"/>
    <w:link w:val="ac"/>
    <w:semiHidden/>
    <w:rsid w:val="00325C14"/>
    <w:rPr>
      <w:rFonts w:ascii="Tahoma" w:hAnsi="Tahoma" w:cs="Tahoma"/>
      <w:color w:val="000000"/>
      <w:spacing w:val="1"/>
      <w:sz w:val="16"/>
      <w:szCs w:val="16"/>
      <w:lang w:eastAsia="ja-JP"/>
    </w:rPr>
  </w:style>
  <w:style w:type="character" w:customStyle="1" w:styleId="a5">
    <w:name w:val="טקסט הערת שוליים תו"/>
    <w:basedOn w:val="a0"/>
    <w:link w:val="a4"/>
    <w:semiHidden/>
    <w:rsid w:val="00BC05A0"/>
    <w:rPr>
      <w:rFonts w:ascii="Arial" w:eastAsia="Arial Unicode MS" w:hAnsi="Arial" w:cs="David"/>
      <w:snapToGrid w:val="0"/>
      <w:color w:val="000000"/>
      <w:sz w:val="1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22D2F-27BA-4A12-9961-F0B2E78104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F4AFE3-9455-419C-8851-785A55F44517}">
  <ds:schemaRefs>
    <ds:schemaRef ds:uri="http://www.w3.org/XML/1998/namespace"/>
    <ds:schemaRef ds:uri="http://purl.org/dc/elements/1.1/"/>
    <ds:schemaRef ds:uri="http://schemas.microsoft.com/office/2006/metadata/properties"/>
    <ds:schemaRef ds:uri="http://purl.org/dc/terms/"/>
    <ds:schemaRef ds:uri="290d5b49-c690-4c6f-bbb9-1e50dab33eee"/>
    <ds:schemaRef ds:uri="http://purl.org/dc/dcmitype/"/>
    <ds:schemaRef ds:uri="http://schemas.microsoft.com/office/2006/documentManagement/types"/>
    <ds:schemaRef ds:uri="http://schemas.microsoft.com/office/infopath/2007/PartnerControls"/>
    <ds:schemaRef ds:uri="http://schemas.openxmlformats.org/package/2006/metadata/core-properties"/>
  </ds:schemaRefs>
</ds:datastoreItem>
</file>

<file path=customXml/itemProps3.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4.xml><?xml version="1.0" encoding="utf-8"?>
<ds:datastoreItem xmlns:ds="http://schemas.openxmlformats.org/officeDocument/2006/customXml" ds:itemID="{0B8F7C0C-CD1A-4991-AD06-1BBF5DCCD7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4</Pages>
  <Words>1285</Words>
  <Characters>6426</Characters>
  <Application>Microsoft Office Word</Application>
  <DocSecurity>0</DocSecurity>
  <Lines>53</Lines>
  <Paragraphs>15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טליה ווייס עמר</cp:lastModifiedBy>
  <cp:revision>16</cp:revision>
  <cp:lastPrinted>2013-07-04T08:25:00Z</cp:lastPrinted>
  <dcterms:created xsi:type="dcterms:W3CDTF">2015-04-20T09:58:00Z</dcterms:created>
  <dcterms:modified xsi:type="dcterms:W3CDTF">2026-06-25T10:42:00Z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2244078</vt:r8>
  </property>
</Properties>
</file>