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635A2" w:rsidR="008432AA" w:rsidP="008432AA" w:rsidRDefault="008432AA" w14:paraId="3E8917BD" w14:textId="77777777">
      <w:pPr>
        <w:jc w:val="right"/>
        <w:rPr>
          <w:b/>
          <w:bCs/>
          <w:sz w:val="20"/>
          <w:szCs w:val="20"/>
        </w:rPr>
      </w:pPr>
      <w:r w:rsidRPr="00E635A2">
        <w:rPr>
          <w:rFonts w:hint="cs"/>
          <w:sz w:val="20"/>
          <w:szCs w:val="20"/>
          <w:rtl/>
        </w:rPr>
        <w:t xml:space="preserve">מספר פנימי: </w:t>
      </w:r>
      <w:bookmarkStart w:name="LGS_Internal_ID" w:id="0"/>
      <w:r>
        <w:rPr>
          <w:rFonts w:hint="cs"/>
          <w:sz w:val="20"/>
          <w:szCs w:val="20"/>
          <w:rtl/>
        </w:rPr>
        <w:t>2242065</w:t>
      </w:r>
      <w:bookmarkEnd w:id="0"/>
    </w:p>
    <w:p w:rsidRPr="00DB7060" w:rsidR="008432AA" w:rsidP="008432AA" w:rsidRDefault="008432AA" w14:paraId="2C608A33" w14:textId="77777777">
      <w:pPr>
        <w:pStyle w:val="HeadHatzaotHok"/>
        <w:rPr>
          <w:sz w:val="28"/>
          <w:szCs w:val="28"/>
          <w:rtl/>
        </w:rPr>
      </w:pPr>
      <w:r w:rsidRPr="00DB7060">
        <w:rPr>
          <w:rFonts w:hint="cs"/>
          <w:sz w:val="28"/>
          <w:szCs w:val="28"/>
          <w:rtl/>
        </w:rPr>
        <w:t xml:space="preserve">הכנסת </w:t>
      </w:r>
      <w:bookmarkStart w:name="LGS_Knesset_Num" w:id="1"/>
      <w:r>
        <w:rPr>
          <w:rFonts w:hint="cs"/>
          <w:sz w:val="28"/>
          <w:szCs w:val="28"/>
          <w:rtl/>
        </w:rPr>
        <w:t>העשרים וחמש</w:t>
      </w:r>
      <w:bookmarkEnd w:id="1"/>
    </w:p>
    <w:p w:rsidRPr="00F67051" w:rsidR="008432AA" w:rsidP="008432AA" w:rsidRDefault="008432AA" w14:paraId="0EA28685" w14:textId="77777777">
      <w:pPr>
        <w:rPr>
          <w:b/>
          <w:bCs/>
          <w:sz w:val="26"/>
          <w:szCs w:val="26"/>
          <w:rtl/>
        </w:rPr>
      </w:pPr>
    </w:p>
    <w:p w:rsidRPr="00CF1AA2" w:rsidR="008432AA" w:rsidP="00A76D1D" w:rsidRDefault="008432AA" w14:paraId="43272866" w14:textId="50E27024">
      <w:pPr>
        <w:pStyle w:val="David"/>
        <w:ind w:left="3544"/>
        <w:rPr>
          <w:b/>
          <w:bCs/>
          <w:sz w:val="16"/>
          <w:szCs w:val="16"/>
          <w:rtl/>
        </w:rPr>
      </w:pPr>
      <w:bookmarkStart w:name="LGS_Initiators_List" w:id="2"/>
      <w:r>
        <w:rPr>
          <w:b/>
          <w:bCs/>
          <w:rtl/>
        </w:rPr>
        <w:t>יוזם:</w:t>
      </w:r>
      <w:r>
        <w:tab/>
      </w:r>
      <w:r>
        <w:rPr>
          <w:b/>
          <w:bCs/>
          <w:rtl/>
        </w:rPr>
        <w:t xml:space="preserve">      חבר הכנסת</w:t>
      </w:r>
      <w:bookmarkEnd w:id="2"/>
      <w:r w:rsidRPr="00F67051">
        <w:rPr>
          <w:b/>
          <w:bCs/>
        </w:rPr>
        <w:tab/>
      </w:r>
      <w:bookmarkStart w:name="LGS_PM_Names" w:id="3"/>
      <w:r>
        <w:rPr>
          <w:rFonts w:hint="cs"/>
          <w:b/>
          <w:bCs/>
          <w:rtl/>
        </w:rPr>
        <w:t>משה אבוטבול</w:t>
      </w:r>
      <w:bookmarkStart w:name="LGS_Join_List" w:id="4"/>
      <w:bookmarkEnd w:id="3"/>
      <w:r>
        <w:rPr>
          <w:rtl/>
        </w:rPr>
        <w:t xml:space="preserve"> </w:t>
      </w:r>
      <w:bookmarkEnd w:id="4"/>
      <w:r w:rsidRPr="00CF1AA2">
        <w:rPr>
          <w:rFonts w:hint="cs"/>
          <w:rtl/>
        </w:rPr>
        <w:tab/>
      </w:r>
      <w:bookmarkStart w:name="LGS_PM_NamesJoin" w:id="5"/>
      <w:r>
        <w:rPr>
          <w:rFonts w:hint="cs"/>
          <w:rtl/>
        </w:rPr>
        <w:t xml:space="preserve"> </w:t>
      </w:r>
      <w:bookmarkEnd w:id="5"/>
    </w:p>
    <w:p w:rsidRPr="00904591" w:rsidR="008432AA" w:rsidP="008432AA" w:rsidRDefault="008432AA" w14:paraId="5045B77B" w14:textId="77777777">
      <w:pPr>
        <w:pStyle w:val="David"/>
        <w:ind w:left="3544"/>
        <w:rPr>
          <w:sz w:val="4"/>
          <w:szCs w:val="4"/>
          <w:rtl/>
        </w:rPr>
      </w:pPr>
      <w:r>
        <w:t>______________________________________________</w:t>
      </w:r>
      <w:r w:rsidRPr="00E06736">
        <w:tab/>
      </w:r>
      <w:r w:rsidRPr="00E06736">
        <w:rPr>
          <w:rFonts w:hint="cs"/>
          <w:rtl/>
        </w:rPr>
        <w:tab/>
      </w:r>
      <w:r w:rsidRPr="00E06736">
        <w:rPr>
          <w:rFonts w:hint="cs"/>
          <w:rtl/>
        </w:rPr>
        <w:tab/>
      </w:r>
      <w:r w:rsidRPr="00E06736">
        <w:rPr>
          <w:rFonts w:hint="cs"/>
          <w:rtl/>
        </w:rPr>
        <w:tab/>
      </w:r>
      <w:r>
        <w:t xml:space="preserve">           </w:t>
      </w:r>
    </w:p>
    <w:p w:rsidR="008432AA" w:rsidP="00A76D1D" w:rsidRDefault="00EB756C" w14:paraId="23C3494F" w14:textId="3B1A1547">
      <w:pPr>
        <w:pStyle w:val="David"/>
        <w:spacing w:line="240" w:lineRule="auto"/>
        <w:ind w:left="3544"/>
        <w:rPr>
          <w:rtl/>
        </w:rPr>
      </w:pPr>
      <w:r>
        <w:tab/>
      </w:r>
      <w:bookmarkStart w:name="Private_Number" w:id="6"/>
      <w:r w:rsidR="00A76D1D">
        <w:rPr>
          <w:rtl/>
        </w:rPr>
        <w:tab/>
      </w:r>
      <w:r w:rsidR="00A76D1D">
        <w:rPr>
          <w:rtl/>
        </w:rPr>
        <w:tab/>
      </w:r>
      <w:r w:rsidR="00A76D1D">
        <w:rPr>
          <w:rtl/>
        </w:rPr>
        <w:tab/>
      </w:r>
      <w:r w:rsidR="00A76D1D">
        <w:rPr>
          <w:rtl/>
        </w:rPr>
        <w:tab/>
      </w:r>
      <w:r w:rsidR="008432AA">
        <w:rPr>
          <w:rFonts w:hint="cs"/>
          <w:rtl/>
        </w:rPr>
        <w:t>פ/6783/25</w:t>
      </w:r>
      <w:bookmarkEnd w:id="6"/>
    </w:p>
    <w:p w:rsidRPr="00F67051" w:rsidR="008432AA" w:rsidP="008432AA" w:rsidRDefault="008432AA" w14:paraId="15E01C24" w14:textId="77777777">
      <w:pPr>
        <w:pStyle w:val="HeadHatzaotHok"/>
        <w:rPr>
          <w:rtl/>
        </w:rPr>
      </w:pPr>
      <w:bookmarkStart w:name="LGS_Subject" w:id="7"/>
      <w:r xmlns:w="http://schemas.openxmlformats.org/wordprocessingml/2006/main">
        <w:rPr xmlns:w="http://schemas.openxmlformats.org/wordprocessingml/2006/main">
          <w:rFonts w:hint="cs"/>
          <w:rtl/>
        </w:rPr>
        <w:t xml:space="preserve">הצעת חוק הגנת הצומח (תיקון – שקילת שיקולי שמירה על ביטחון המזון), התשפ"ו–2026</w:t>
      </w:r>
      <w:bookmarkEnd w:id="7"/>
    </w:p>
    <w:p w:rsidR="008432AA" w:rsidP="008432AA" w:rsidRDefault="008432AA" w14:paraId="51A44CA5" w14:textId="77777777">
      <w:pPr>
        <w:pStyle w:val="HeadDivreiHesber"/>
        <w:spacing w:before="0" w:after="0"/>
        <w:rPr>
          <w:rtl/>
        </w:rPr>
      </w:pPr>
    </w:p>
    <w:tbl>
      <w:tblPr>
        <w:bidiVisual/>
        <w:tblW w:w="9638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624"/>
        <w:gridCol w:w="7143"/>
      </w:tblGrid>
      <w:tr w:rsidR="008432AA" w:rsidTr="00251126" w14:paraId="53A0447A" w14:textId="77777777">
        <w:trPr>
          <w:cantSplit/>
        </w:trPr>
        <w:tc>
          <w:tcPr>
            <w:tcW w:w="1871" w:type="dxa"/>
          </w:tcPr>
          <w:p w:rsidR="008432AA" w:rsidP="00251126" w:rsidRDefault="008432AA" w14:paraId="271D3F4B" w14:textId="77777777">
            <w:pPr>
              <w:pStyle w:val="TableSideHeading"/>
              <w:keepLines w:val="0"/>
            </w:pPr>
            <w:r w:rsidRPr="006C0A2C">
              <w:rPr>
                <w:rFonts w:hint="cs"/>
                <w:rtl/>
              </w:rPr>
              <w:t xml:space="preserve">תיקון סעיף </w:t>
            </w:r>
            <w:r>
              <w:rPr>
                <w:rFonts w:hint="cs"/>
                <w:rtl/>
              </w:rPr>
              <w:t>2יז</w:t>
            </w:r>
          </w:p>
        </w:tc>
        <w:tc>
          <w:tcPr>
            <w:tcW w:w="624" w:type="dxa"/>
          </w:tcPr>
          <w:p w:rsidRPr="00C004AE" w:rsidR="008432AA" w:rsidP="00251126" w:rsidRDefault="008432AA" w14:paraId="2811E28F" w14:textId="77777777">
            <w:pPr>
              <w:pStyle w:val="TableBlock"/>
            </w:pPr>
            <w:r w:rsidRPr="00C004AE">
              <w:rPr>
                <w:rFonts w:hint="cs"/>
                <w:rtl/>
              </w:rPr>
              <w:t>1.</w:t>
            </w:r>
          </w:p>
        </w:tc>
        <w:tc>
          <w:tcPr>
            <w:tcW w:w="7143" w:type="dxa"/>
          </w:tcPr>
          <w:p w:rsidRPr="00C004AE" w:rsidR="008432AA" w:rsidP="00251126" w:rsidRDefault="008432AA" w14:paraId="512D5846" w14:textId="2A4A8962">
            <w:pPr>
              <w:pStyle w:val="TableBlock"/>
            </w:pPr>
            <w:r w:rsidRPr="00CB5E6A">
              <w:rPr>
                <w:rFonts w:hint="eastAsia"/>
                <w:rtl/>
              </w:rPr>
              <w:t>בחוק</w:t>
            </w:r>
            <w:r w:rsidRPr="00CB5E6A">
              <w:rPr>
                <w:rtl/>
              </w:rPr>
              <w:t xml:space="preserve"> הגנת הצומח, </w:t>
            </w:r>
            <w:r w:rsidRPr="00CB5E6A">
              <w:rPr>
                <w:rFonts w:hint="eastAsia"/>
                <w:rtl/>
              </w:rPr>
              <w:t>התשט</w:t>
            </w:r>
            <w:r w:rsidRPr="00CB5E6A">
              <w:rPr>
                <w:rtl/>
              </w:rPr>
              <w:t>"ז</w:t>
            </w:r>
            <w:r w:rsidRPr="00CB5E6A">
              <w:rPr>
                <w:rFonts w:hint="eastAsia"/>
                <w:rtl/>
              </w:rPr>
              <w:t>–</w:t>
            </w:r>
            <w:r w:rsidRPr="00CB5E6A">
              <w:rPr>
                <w:rtl/>
              </w:rPr>
              <w:t>1956</w:t>
            </w:r>
            <w:r w:rsidRPr="00CB5E6A">
              <w:rPr>
                <w:vertAlign w:val="superscript"/>
                <w:rtl/>
              </w:rPr>
              <w:footnoteReference w:id="2"/>
            </w:r>
            <w:r w:rsidRPr="00CB5E6A">
              <w:rPr>
                <w:rtl/>
              </w:rPr>
              <w:t xml:space="preserve">, </w:t>
            </w:r>
            <w:r w:rsidRPr="00CB5E6A">
              <w:rPr>
                <w:rFonts w:hint="eastAsia"/>
                <w:rtl/>
              </w:rPr>
              <w:t>בסעיף</w:t>
            </w:r>
            <w:r w:rsidRPr="00CB5E6A">
              <w:rPr>
                <w:rtl/>
              </w:rPr>
              <w:t xml:space="preserve"> 2יז(</w:t>
            </w:r>
            <w:r w:rsidRPr="00CB5E6A">
              <w:rPr>
                <w:rFonts w:hint="eastAsia"/>
                <w:rtl/>
              </w:rPr>
              <w:t>ב</w:t>
            </w:r>
            <w:r w:rsidRPr="00CB5E6A">
              <w:rPr>
                <w:rtl/>
              </w:rPr>
              <w:t>)(1)(ג),</w:t>
            </w:r>
            <w:r w:rsidRPr="00605C0F">
              <w:rPr>
                <w:rFonts w:hint="cs"/>
                <w:rtl/>
              </w:rPr>
              <w:t xml:space="preserve"> </w:t>
            </w:r>
            <w:r w:rsidRPr="00CB5E6A">
              <w:rPr>
                <w:rFonts w:hint="eastAsia"/>
                <w:rtl/>
              </w:rPr>
              <w:t>בסופו</w:t>
            </w:r>
            <w:r w:rsidRPr="00CB5E6A">
              <w:rPr>
                <w:rtl/>
              </w:rPr>
              <w:t xml:space="preserve"> </w:t>
            </w:r>
            <w:r w:rsidRPr="00CB5E6A">
              <w:rPr>
                <w:rFonts w:hint="eastAsia"/>
                <w:rtl/>
              </w:rPr>
              <w:t>יבוא</w:t>
            </w:r>
            <w:r>
              <w:rPr>
                <w:rFonts w:hint="cs"/>
                <w:rtl/>
              </w:rPr>
              <w:t xml:space="preserve"> "ואולם, </w:t>
            </w:r>
            <w:r w:rsidRPr="00C004AE">
              <w:rPr>
                <w:rFonts w:hint="cs"/>
                <w:rtl/>
              </w:rPr>
              <w:t>בטרם קבלת החלטה כאמור, רשאי בעל סמכות הרישוי לשקול גם שיקולי הגנה על תוצרת מקומית לשם שמיר</w:t>
            </w:r>
            <w:r w:rsidR="00EB756C">
              <w:rPr>
                <w:rFonts w:hint="cs"/>
                <w:rtl/>
              </w:rPr>
              <w:t>ה על ב</w:t>
            </w:r>
            <w:r w:rsidR="00A76D1D">
              <w:rPr>
                <w:rFonts w:hint="cs"/>
                <w:rtl/>
              </w:rPr>
              <w:t>י</w:t>
            </w:r>
            <w:r w:rsidR="00EB756C">
              <w:rPr>
                <w:rFonts w:hint="cs"/>
                <w:rtl/>
              </w:rPr>
              <w:t>טחון המזון של ישראל</w:t>
            </w:r>
            <w:r>
              <w:rPr>
                <w:rFonts w:hint="cs"/>
                <w:rtl/>
              </w:rPr>
              <w:t>"</w:t>
            </w:r>
            <w:r w:rsidR="00EB756C">
              <w:rPr>
                <w:rFonts w:hint="cs"/>
                <w:rtl/>
              </w:rPr>
              <w:t>.</w:t>
            </w:r>
          </w:p>
        </w:tc>
      </w:tr>
    </w:tbl>
    <w:p w:rsidR="008432AA" w:rsidP="008432AA" w:rsidRDefault="008432AA" w14:paraId="466FEE5C" w14:textId="77777777">
      <w:pPr>
        <w:pStyle w:val="HeadDivreiHesber"/>
        <w:rPr>
          <w:rtl/>
        </w:rPr>
      </w:pPr>
      <w:r w:rsidRPr="0027450A">
        <w:rPr>
          <w:rFonts w:hint="cs"/>
          <w:rtl/>
        </w:rPr>
        <w:t>דברי הסבר</w:t>
      </w:r>
    </w:p>
    <w:p w:rsidRPr="009D067F" w:rsidR="008432AA" w:rsidP="00954C50" w:rsidRDefault="008432AA" w14:paraId="4F182ACB" w14:textId="0C06528C">
      <w:pPr>
        <w:pStyle w:val="Hesber"/>
        <w:spacing w:line="240" w:lineRule="auto"/>
      </w:pPr>
      <w:r w:rsidRPr="009D067F">
        <w:rPr>
          <w:rtl/>
        </w:rPr>
        <w:t xml:space="preserve">סעיף </w:t>
      </w:r>
      <w:r w:rsidRPr="00C004AE">
        <w:rPr>
          <w:rtl/>
        </w:rPr>
        <w:t xml:space="preserve">2יז </w:t>
      </w:r>
      <w:r>
        <w:rPr>
          <w:rFonts w:hint="cs"/>
          <w:rtl/>
        </w:rPr>
        <w:t>ל</w:t>
      </w:r>
      <w:r w:rsidRPr="004315DB">
        <w:rPr>
          <w:rtl/>
        </w:rPr>
        <w:t xml:space="preserve">חוק הגנת </w:t>
      </w:r>
      <w:r w:rsidRPr="00435972">
        <w:rPr>
          <w:rtl/>
        </w:rPr>
        <w:t xml:space="preserve">הצומח, </w:t>
      </w:r>
      <w:r w:rsidRPr="00435972">
        <w:rPr>
          <w:rFonts w:hint="cs"/>
          <w:rtl/>
        </w:rPr>
        <w:t>ה</w:t>
      </w:r>
      <w:r w:rsidRPr="00435972">
        <w:rPr>
          <w:rtl/>
        </w:rPr>
        <w:t>תשט"ז</w:t>
      </w:r>
      <w:r w:rsidRPr="00435972">
        <w:rPr>
          <w:rFonts w:hint="cs"/>
          <w:rtl/>
        </w:rPr>
        <w:t>–</w:t>
      </w:r>
      <w:r w:rsidRPr="00435972">
        <w:rPr>
          <w:rtl/>
        </w:rPr>
        <w:t>1956 (להלן – החוק), מסדיר את הליכי הרישוי לייבוא פירות וירקות טריים</w:t>
      </w:r>
      <w:r w:rsidRPr="00435972">
        <w:rPr>
          <w:rFonts w:hint="cs"/>
          <w:rtl/>
        </w:rPr>
        <w:t xml:space="preserve">. </w:t>
      </w:r>
      <w:r w:rsidRPr="00435972">
        <w:rPr>
          <w:rtl/>
        </w:rPr>
        <w:t xml:space="preserve">סעיף 2יז(ב)(1)(ג) </w:t>
      </w:r>
      <w:r w:rsidRPr="00435972">
        <w:rPr>
          <w:rFonts w:hint="cs"/>
          <w:rtl/>
        </w:rPr>
        <w:t xml:space="preserve">לחוק </w:t>
      </w:r>
      <w:r w:rsidRPr="00435972">
        <w:rPr>
          <w:rtl/>
        </w:rPr>
        <w:t xml:space="preserve">קובע כי החלטות </w:t>
      </w:r>
      <w:r w:rsidRPr="00435972">
        <w:rPr>
          <w:rFonts w:hint="cs"/>
          <w:rtl/>
        </w:rPr>
        <w:t xml:space="preserve">של </w:t>
      </w:r>
      <w:r w:rsidRPr="00CB5E6A">
        <w:rPr>
          <w:rtl/>
        </w:rPr>
        <w:t xml:space="preserve">בעל הסמכות למתן רישיון </w:t>
      </w:r>
      <w:r w:rsidRPr="00435972">
        <w:rPr>
          <w:rFonts w:hint="cs"/>
          <w:rtl/>
        </w:rPr>
        <w:t xml:space="preserve">כאמור, </w:t>
      </w:r>
      <w:r w:rsidRPr="00435972">
        <w:rPr>
          <w:rtl/>
        </w:rPr>
        <w:t xml:space="preserve">לעניין </w:t>
      </w:r>
      <w:r w:rsidRPr="00435972">
        <w:rPr>
          <w:rFonts w:hint="cs"/>
          <w:rtl/>
        </w:rPr>
        <w:t xml:space="preserve">שינוי </w:t>
      </w:r>
      <w:r w:rsidRPr="00435972">
        <w:rPr>
          <w:rtl/>
        </w:rPr>
        <w:t xml:space="preserve">סיווג </w:t>
      </w:r>
      <w:r w:rsidRPr="00435972">
        <w:rPr>
          <w:rFonts w:hint="cs"/>
          <w:rtl/>
        </w:rPr>
        <w:t>של פרי או ירק כמוצר</w:t>
      </w:r>
      <w:r w:rsidRPr="00435972">
        <w:rPr>
          <w:rtl/>
        </w:rPr>
        <w:t xml:space="preserve"> בסיכון פיטוסניטרי גבוה</w:t>
      </w:r>
      <w:r w:rsidRPr="00435972">
        <w:rPr>
          <w:rFonts w:hint="cs"/>
          <w:rtl/>
        </w:rPr>
        <w:t xml:space="preserve"> שעלול להביא להתפשטות נגעים</w:t>
      </w:r>
      <w:r w:rsidRPr="004315DB">
        <w:rPr>
          <w:rFonts w:hint="cs"/>
          <w:rtl/>
        </w:rPr>
        <w:t xml:space="preserve">, </w:t>
      </w:r>
      <w:r w:rsidR="00A76D1D">
        <w:rPr>
          <w:rtl/>
        </w:rPr>
        <w:t xml:space="preserve">יתקבלו משיקולים של </w:t>
      </w:r>
      <w:r w:rsidRPr="004315DB">
        <w:rPr>
          <w:rtl/>
        </w:rPr>
        <w:t>הגנת הצומח בלבד</w:t>
      </w:r>
      <w:r w:rsidR="00A76D1D">
        <w:rPr>
          <w:rFonts w:hint="cs"/>
          <w:rtl/>
        </w:rPr>
        <w:t>.</w:t>
      </w:r>
    </w:p>
    <w:p w:rsidRPr="009D067F" w:rsidR="008432AA" w:rsidP="00954C50" w:rsidRDefault="008432AA" w14:paraId="6D2E92BF" w14:textId="29B0F856">
      <w:pPr>
        <w:pStyle w:val="Hesber"/>
        <w:spacing w:line="240" w:lineRule="auto"/>
      </w:pPr>
      <w:r>
        <w:rPr>
          <w:rFonts w:hint="cs"/>
          <w:b/>
          <w:bCs/>
          <w:rtl/>
        </w:rPr>
        <w:t xml:space="preserve"> </w:t>
      </w:r>
      <w:r w:rsidRPr="009D067F">
        <w:rPr>
          <w:rtl/>
        </w:rPr>
        <w:t xml:space="preserve"> לאור שינוי ייעודו ותפקידו של משרד החקלאות וביטחון המזון האמון על יישום החו</w:t>
      </w:r>
      <w:r>
        <w:rPr>
          <w:rFonts w:hint="cs"/>
          <w:rtl/>
        </w:rPr>
        <w:t>ק,</w:t>
      </w:r>
      <w:r w:rsidRPr="009D067F">
        <w:t xml:space="preserve"> </w:t>
      </w:r>
      <w:r w:rsidRPr="009D067F">
        <w:rPr>
          <w:rtl/>
        </w:rPr>
        <w:t xml:space="preserve">ומכוח החלטת </w:t>
      </w:r>
      <w:r w:rsidR="00705217">
        <w:rPr>
          <w:rFonts w:hint="cs"/>
          <w:rtl/>
        </w:rPr>
        <w:t>ה</w:t>
      </w:r>
      <w:r w:rsidRPr="009D067F">
        <w:rPr>
          <w:rtl/>
        </w:rPr>
        <w:t>ממשלה מס' 1937 מיום</w:t>
      </w:r>
      <w:r>
        <w:rPr>
          <w:rFonts w:hint="cs"/>
          <w:rtl/>
        </w:rPr>
        <w:t xml:space="preserve"> כ"ד בסיוון התשפ"ד</w:t>
      </w:r>
      <w:r w:rsidRPr="009D067F">
        <w:rPr>
          <w:rtl/>
        </w:rPr>
        <w:t xml:space="preserve"> </w:t>
      </w:r>
      <w:r>
        <w:rPr>
          <w:rFonts w:hint="cs"/>
          <w:rtl/>
        </w:rPr>
        <w:t>(</w:t>
      </w:r>
      <w:r w:rsidRPr="009D067F">
        <w:rPr>
          <w:rtl/>
        </w:rPr>
        <w:t>30</w:t>
      </w:r>
      <w:r w:rsidR="00705217">
        <w:rPr>
          <w:rFonts w:hint="cs"/>
          <w:rtl/>
        </w:rPr>
        <w:t xml:space="preserve"> ביוני </w:t>
      </w:r>
      <w:r w:rsidRPr="009D067F">
        <w:rPr>
          <w:rtl/>
        </w:rPr>
        <w:t>2024</w:t>
      </w:r>
      <w:r>
        <w:rPr>
          <w:rFonts w:hint="cs"/>
          <w:rtl/>
        </w:rPr>
        <w:t>)</w:t>
      </w:r>
      <w:r w:rsidRPr="009D067F">
        <w:rPr>
          <w:rtl/>
        </w:rPr>
        <w:t xml:space="preserve">, אשר עיגנה את תפקידו </w:t>
      </w:r>
      <w:r>
        <w:rPr>
          <w:rFonts w:hint="cs"/>
          <w:rtl/>
        </w:rPr>
        <w:t xml:space="preserve">של המשרד </w:t>
      </w:r>
      <w:r w:rsidRPr="009D067F">
        <w:rPr>
          <w:rtl/>
        </w:rPr>
        <w:t>כמוביל המדיניות הממשלתית בתחום ביטחון המזון, מוצע ל</w:t>
      </w:r>
      <w:r>
        <w:rPr>
          <w:rFonts w:hint="cs"/>
          <w:rtl/>
        </w:rPr>
        <w:t xml:space="preserve">קבוע כי טרם קבלת החלטה כאמור, יהיה </w:t>
      </w:r>
      <w:r w:rsidRPr="00C004AE">
        <w:rPr>
          <w:rFonts w:hint="cs"/>
          <w:rtl/>
        </w:rPr>
        <w:t xml:space="preserve">בעל </w:t>
      </w:r>
      <w:r>
        <w:rPr>
          <w:rFonts w:hint="cs"/>
          <w:rtl/>
        </w:rPr>
        <w:t>ה</w:t>
      </w:r>
      <w:r w:rsidRPr="00C004AE">
        <w:rPr>
          <w:rFonts w:hint="cs"/>
          <w:rtl/>
        </w:rPr>
        <w:t xml:space="preserve">סמכות </w:t>
      </w:r>
      <w:r>
        <w:rPr>
          <w:rFonts w:hint="cs"/>
          <w:rtl/>
        </w:rPr>
        <w:t>למתן רישיון</w:t>
      </w:r>
      <w:r w:rsidRPr="00C004AE">
        <w:rPr>
          <w:rFonts w:hint="cs"/>
          <w:rtl/>
        </w:rPr>
        <w:t xml:space="preserve"> </w:t>
      </w:r>
      <w:r w:rsidRPr="00C004AE" w:rsidR="00705217">
        <w:rPr>
          <w:rFonts w:hint="cs"/>
          <w:rtl/>
        </w:rPr>
        <w:t xml:space="preserve">רשאי </w:t>
      </w:r>
      <w:r w:rsidRPr="00C004AE">
        <w:rPr>
          <w:rFonts w:hint="cs"/>
          <w:rtl/>
        </w:rPr>
        <w:t>לשקול גם שיקולי הגנה על תוצרת מקומית לשם שמירה על ב</w:t>
      </w:r>
      <w:r w:rsidR="00705217">
        <w:rPr>
          <w:rFonts w:hint="cs"/>
          <w:rtl/>
        </w:rPr>
        <w:t>י</w:t>
      </w:r>
      <w:r w:rsidRPr="00C004AE">
        <w:rPr>
          <w:rFonts w:hint="cs"/>
          <w:rtl/>
        </w:rPr>
        <w:t>טחון המזון של ישראל</w:t>
      </w:r>
      <w:r>
        <w:rPr>
          <w:rFonts w:hint="cs"/>
          <w:rtl/>
        </w:rPr>
        <w:t>.</w:t>
      </w:r>
      <w:r w:rsidRPr="009D067F">
        <w:rPr>
          <w:rtl/>
        </w:rPr>
        <w:t xml:space="preserve"> </w:t>
      </w:r>
      <w:r>
        <w:rPr>
          <w:rFonts w:hint="cs"/>
          <w:rtl/>
        </w:rPr>
        <w:t>השינוי האמור</w:t>
      </w:r>
      <w:r w:rsidRPr="009D067F">
        <w:rPr>
          <w:rtl/>
        </w:rPr>
        <w:t xml:space="preserve"> נדרש </w:t>
      </w:r>
      <w:r>
        <w:rPr>
          <w:rFonts w:hint="cs"/>
          <w:rtl/>
        </w:rPr>
        <w:t>כדי</w:t>
      </w:r>
      <w:r w:rsidRPr="009D067F">
        <w:rPr>
          <w:rtl/>
        </w:rPr>
        <w:t xml:space="preserve"> ליישם את התפיסה הממשלתית העדכנית, שלפיה ביטחון המזון הוא נדבך מרכזי במדיניות החקלאית הלאומית</w:t>
      </w:r>
      <w:r w:rsidRPr="009D067F">
        <w:t>.</w:t>
      </w:r>
      <w:r w:rsidDel="004315DB">
        <w:rPr>
          <w:rtl/>
        </w:rPr>
        <w:t xml:space="preserve"> </w:t>
      </w:r>
    </w:p>
    <w:p w:rsidRPr="009D067F" w:rsidR="008432AA" w:rsidP="00954C50" w:rsidRDefault="008432AA" w14:paraId="2EC0A3E5" w14:textId="77777777">
      <w:pPr>
        <w:pStyle w:val="Hesber"/>
        <w:spacing w:line="240" w:lineRule="auto"/>
      </w:pPr>
      <w:r w:rsidRPr="009D067F">
        <w:rPr>
          <w:rtl/>
        </w:rPr>
        <w:t xml:space="preserve">ביטחון המזון, בהיבטיו הלאומיים והאסטרטגיים, כולל </w:t>
      </w:r>
      <w:r>
        <w:rPr>
          <w:rFonts w:hint="cs"/>
          <w:rtl/>
        </w:rPr>
        <w:t xml:space="preserve">את נושא </w:t>
      </w:r>
      <w:r w:rsidRPr="009D067F">
        <w:rPr>
          <w:rtl/>
        </w:rPr>
        <w:t>הבטחת ייצור מקומי ו</w:t>
      </w:r>
      <w:r>
        <w:rPr>
          <w:rFonts w:hint="cs"/>
          <w:rtl/>
        </w:rPr>
        <w:t xml:space="preserve">שמירה על </w:t>
      </w:r>
      <w:r w:rsidRPr="009D067F">
        <w:rPr>
          <w:rtl/>
        </w:rPr>
        <w:t xml:space="preserve">רציפות האספקה של מוצרים טריים לציבור, תוך קידום עמידות אל מול שיבושים בשרשראות האספקה העולמיות או אירועי חירום. אירועים </w:t>
      </w:r>
      <w:r>
        <w:rPr>
          <w:rFonts w:hint="cs"/>
          <w:rtl/>
        </w:rPr>
        <w:t>כאמור</w:t>
      </w:r>
      <w:r w:rsidRPr="009D067F">
        <w:rPr>
          <w:rtl/>
        </w:rPr>
        <w:t xml:space="preserve"> הדגישו את הצורך ב</w:t>
      </w:r>
      <w:r>
        <w:rPr>
          <w:rFonts w:hint="cs"/>
          <w:rtl/>
        </w:rPr>
        <w:t xml:space="preserve">מתן </w:t>
      </w:r>
      <w:r w:rsidRPr="009D067F">
        <w:rPr>
          <w:rtl/>
        </w:rPr>
        <w:t>סמכות ברורה לשר ה</w:t>
      </w:r>
      <w:r>
        <w:rPr>
          <w:rFonts w:hint="cs"/>
          <w:rtl/>
        </w:rPr>
        <w:t>חקלאות וביטחון המזון</w:t>
      </w:r>
      <w:r w:rsidRPr="009D067F">
        <w:rPr>
          <w:rtl/>
        </w:rPr>
        <w:t xml:space="preserve"> לקבוע מדיניות רחבה ומערכתית לשם שמירה על ביטחון המזון</w:t>
      </w:r>
      <w:r w:rsidRPr="009D067F">
        <w:t>.</w:t>
      </w:r>
    </w:p>
    <w:p w:rsidRPr="009D067F" w:rsidR="008432AA" w:rsidP="00954C50" w:rsidRDefault="008432AA" w14:paraId="2F5C616F" w14:textId="3ADFB4F0">
      <w:pPr>
        <w:pStyle w:val="Hesber"/>
        <w:spacing w:line="240" w:lineRule="auto"/>
      </w:pPr>
      <w:r>
        <w:rPr>
          <w:rFonts w:hint="cs"/>
          <w:rtl/>
        </w:rPr>
        <w:t xml:space="preserve">לסיכום, </w:t>
      </w:r>
      <w:r w:rsidRPr="009D067F">
        <w:rPr>
          <w:rtl/>
        </w:rPr>
        <w:t xml:space="preserve">הגבלת שיקול הדעת </w:t>
      </w:r>
      <w:r>
        <w:rPr>
          <w:rFonts w:hint="cs"/>
          <w:rtl/>
        </w:rPr>
        <w:t>כך ש</w:t>
      </w:r>
      <w:r w:rsidRPr="00C004AE">
        <w:rPr>
          <w:rtl/>
        </w:rPr>
        <w:t xml:space="preserve">החלטות </w:t>
      </w:r>
      <w:r>
        <w:rPr>
          <w:rFonts w:hint="cs"/>
          <w:rtl/>
        </w:rPr>
        <w:t xml:space="preserve">של </w:t>
      </w:r>
      <w:r w:rsidRPr="00251126">
        <w:rPr>
          <w:rtl/>
        </w:rPr>
        <w:t>בעל הסמכות למתן רישיון</w:t>
      </w:r>
      <w:r>
        <w:rPr>
          <w:rFonts w:hint="cs"/>
          <w:rtl/>
        </w:rPr>
        <w:t xml:space="preserve"> </w:t>
      </w:r>
      <w:r w:rsidRPr="004315DB">
        <w:rPr>
          <w:rtl/>
        </w:rPr>
        <w:t>לייבוא פירות וירקות טריים</w:t>
      </w:r>
      <w:r>
        <w:rPr>
          <w:rFonts w:hint="cs"/>
          <w:rtl/>
        </w:rPr>
        <w:t xml:space="preserve">, </w:t>
      </w:r>
      <w:r w:rsidRPr="004315DB">
        <w:rPr>
          <w:rtl/>
        </w:rPr>
        <w:t xml:space="preserve">לעניין </w:t>
      </w:r>
      <w:r>
        <w:rPr>
          <w:rFonts w:hint="cs"/>
          <w:rtl/>
        </w:rPr>
        <w:t xml:space="preserve">שינוי </w:t>
      </w:r>
      <w:r w:rsidRPr="004315DB">
        <w:rPr>
          <w:rtl/>
        </w:rPr>
        <w:t xml:space="preserve">סיווג </w:t>
      </w:r>
      <w:r>
        <w:rPr>
          <w:rFonts w:hint="cs"/>
          <w:rtl/>
        </w:rPr>
        <w:t>של פרי או ירק כמוצר</w:t>
      </w:r>
      <w:r w:rsidRPr="004315DB">
        <w:rPr>
          <w:rtl/>
        </w:rPr>
        <w:t xml:space="preserve"> בסיכון פיטוסניטרי גבוה</w:t>
      </w:r>
      <w:r w:rsidRPr="004315DB">
        <w:rPr>
          <w:rFonts w:hint="cs"/>
          <w:rtl/>
        </w:rPr>
        <w:t xml:space="preserve">, </w:t>
      </w:r>
      <w:r w:rsidR="00EB756C">
        <w:rPr>
          <w:rtl/>
        </w:rPr>
        <w:t xml:space="preserve">יתקבלו משיקולים של </w:t>
      </w:r>
      <w:r w:rsidRPr="004315DB">
        <w:rPr>
          <w:rtl/>
        </w:rPr>
        <w:t>הגנת הצומח בלבד</w:t>
      </w:r>
      <w:r>
        <w:rPr>
          <w:rFonts w:hint="cs"/>
          <w:rtl/>
        </w:rPr>
        <w:t xml:space="preserve">, </w:t>
      </w:r>
      <w:r w:rsidRPr="009D067F">
        <w:rPr>
          <w:rtl/>
        </w:rPr>
        <w:t xml:space="preserve">אינה מאפשרת לבעל </w:t>
      </w:r>
      <w:r w:rsidR="00523238">
        <w:rPr>
          <w:rFonts w:hint="cs"/>
          <w:rtl/>
        </w:rPr>
        <w:t>ה</w:t>
      </w:r>
      <w:r w:rsidRPr="009D067F">
        <w:rPr>
          <w:rtl/>
        </w:rPr>
        <w:t xml:space="preserve">סמכות </w:t>
      </w:r>
      <w:r w:rsidR="00523238">
        <w:rPr>
          <w:rFonts w:hint="cs"/>
          <w:rtl/>
        </w:rPr>
        <w:t>למתן רישיון</w:t>
      </w:r>
      <w:r w:rsidRPr="009D067F">
        <w:rPr>
          <w:rtl/>
        </w:rPr>
        <w:t xml:space="preserve"> לשקול את ההשפעות הרחבות של החלטותיו על זמינות המזון ועל ביטחון המזון של אזרחי ישראל. התיקון המוצע מבקש להרחיב את מנעד השיקולים כך שיכלול גם את ההיבט האסטרטגי של </w:t>
      </w:r>
      <w:r>
        <w:rPr>
          <w:rFonts w:hint="cs"/>
          <w:rtl/>
        </w:rPr>
        <w:t xml:space="preserve">הצורך בשמירה על </w:t>
      </w:r>
      <w:r w:rsidRPr="009D067F">
        <w:rPr>
          <w:rtl/>
        </w:rPr>
        <w:t>ביטחון המזון</w:t>
      </w:r>
      <w:r>
        <w:rPr>
          <w:rFonts w:hint="cs"/>
          <w:rtl/>
        </w:rPr>
        <w:t>.</w:t>
      </w:r>
    </w:p>
    <w:p w:rsidRPr="009D067F" w:rsidR="008432AA" w:rsidP="00954C50" w:rsidRDefault="008432AA" w14:paraId="06129F9E" w14:textId="5B7BB3F1">
      <w:pPr>
        <w:pStyle w:val="Hesber"/>
        <w:spacing w:line="240" w:lineRule="auto"/>
      </w:pPr>
      <w:r>
        <w:rPr>
          <w:rFonts w:hint="cs"/>
          <w:rtl/>
        </w:rPr>
        <w:t>השינוי המוצע</w:t>
      </w:r>
      <w:r w:rsidRPr="009D067F">
        <w:rPr>
          <w:rtl/>
        </w:rPr>
        <w:t xml:space="preserve"> יאפשר לממשלה לפעול מתוך ראייה כוללת של האינטרס הלאומי, תוך איזון ראוי בין הצורך המקצועי למנוע חדירת נגעים לבין החובה להבטיח אספקת מזון סדירה ובת-קיימא. הבהרה זו אינה גורעת מסמכויותיו המקצועיות של בעל </w:t>
      </w:r>
      <w:r w:rsidR="00954C50">
        <w:rPr>
          <w:rFonts w:hint="cs"/>
          <w:rtl/>
        </w:rPr>
        <w:t>ה</w:t>
      </w:r>
      <w:r w:rsidRPr="009D067F">
        <w:rPr>
          <w:rtl/>
        </w:rPr>
        <w:t xml:space="preserve">סמכות </w:t>
      </w:r>
      <w:r w:rsidR="00954C50">
        <w:rPr>
          <w:rFonts w:hint="cs"/>
          <w:rtl/>
        </w:rPr>
        <w:t>למתן רישיון</w:t>
      </w:r>
      <w:r w:rsidRPr="009D067F">
        <w:rPr>
          <w:rtl/>
        </w:rPr>
        <w:t>, אלא מוסיפה נדבך המאפשר פעולה מתוך אינטרס לאומי עליון</w:t>
      </w:r>
      <w:r>
        <w:rPr>
          <w:rFonts w:hint="cs"/>
          <w:rtl/>
        </w:rPr>
        <w:t>.</w:t>
      </w:r>
    </w:p>
    <w:p w:rsidR="00095147" w:rsidP="00954C50" w:rsidRDefault="00EB756C" w14:paraId="61E881A0" w14:textId="77777777">
      <w:pPr>
        <w:spacing w:line="240" w:lineRule="auto"/>
        <w:jc w:val="left"/>
      </w:pPr>
      <w:bookmarkStart w:name="selectedDocDateB" w:id="8"/>
      <w:bookmarkEnd w:id="8"/>
      <w:r>
        <w:rPr>
          <w:rFonts w:hint="cs" w:eastAsia="David"/>
          <w:sz w:val="26"/>
          <w:szCs w:val="26"/>
          <w:rtl/>
        </w:rPr>
        <w:t>--------------------------------</w:t>
      </w:r>
    </w:p>
    <w:p w:rsidR="00095147" w:rsidP="00954C50" w:rsidRDefault="00EB756C" w14:paraId="2FC1BB75" w14:textId="77777777">
      <w:pPr>
        <w:spacing w:line="240" w:lineRule="auto"/>
        <w:jc w:val="left"/>
      </w:pPr>
      <w:r>
        <w:rPr>
          <w:rFonts w:hint="cs" w:eastAsia="David"/>
          <w:sz w:val="26"/>
          <w:szCs w:val="26"/>
          <w:rtl/>
        </w:rPr>
        <w:t>הוגשה ליו"ר הכנסת והסגנים</w:t>
      </w:r>
    </w:p>
    <w:p w:rsidR="00095147" w:rsidP="00954C50" w:rsidRDefault="00EB756C" w14:paraId="3641334C" w14:textId="77777777">
      <w:pPr>
        <w:spacing w:line="240" w:lineRule="auto"/>
        <w:jc w:val="left"/>
      </w:pPr>
      <w:r>
        <w:rPr>
          <w:rFonts w:hint="cs" w:eastAsia="David"/>
          <w:sz w:val="26"/>
          <w:szCs w:val="26"/>
          <w:rtl/>
        </w:rPr>
        <w:t>והונחה על שול</w:t>
      </w:r>
      <w:bookmarkStart w:name="_GoBack" w:id="9"/>
      <w:bookmarkEnd w:id="9"/>
      <w:r>
        <w:rPr>
          <w:rFonts w:hint="cs" w:eastAsia="David"/>
          <w:sz w:val="26"/>
          <w:szCs w:val="26"/>
          <w:rtl/>
        </w:rPr>
        <w:t>חן הכנסת ביום</w:t>
      </w:r>
    </w:p>
    <w:p w:rsidR="00095147" w:rsidP="00954C50" w:rsidRDefault="00EB756C" w14:paraId="7E59C27F" w14:textId="77777777">
      <w:pPr>
        <w:spacing w:line="240" w:lineRule="auto"/>
        <w:jc w:val="left"/>
      </w:pPr>
      <w:r>
        <w:rPr>
          <w:rFonts w:hint="cs" w:eastAsia="David"/>
          <w:sz w:val="26"/>
          <w:szCs w:val="26"/>
          <w:rtl/>
        </w:rPr>
        <w:t xml:space="preserve">י"ד בתמוז התשפ"ו (29.06.2026) </w:t>
      </w:r>
    </w:p>
    <w:p w:rsidR="00095147" w:rsidRDefault="00095147" w14:paraId="468470CF" w14:textId="77777777">
      <w:pPr>
        <w:spacing w:line="276" w:lineRule="auto"/>
        <w:jc w:val="left"/>
      </w:pPr>
    </w:p>
    <w:sectPr w:rsidR="00095147" w:rsidSect="008432AA">
      <w:footerReference w:type="even" r:id="rId11"/>
      <w:footerReference w:type="default" r:id="rId12"/>
      <w:pgSz w:w="11907" w:h="16840" w:code="9"/>
      <w:pgMar w:top="1701" w:right="1134" w:bottom="1417" w:left="1134" w:header="680" w:footer="680" w:gutter="0"/>
      <w:cols w:space="720"/>
      <w:noEndnote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6B4C1" w14:textId="77777777" w:rsidR="00D142D3" w:rsidRDefault="00D142D3">
      <w:r>
        <w:separator/>
      </w:r>
    </w:p>
  </w:endnote>
  <w:endnote w:type="continuationSeparator" w:id="0">
    <w:p w14:paraId="0E546755" w14:textId="77777777" w:rsidR="00D142D3" w:rsidRDefault="00D142D3">
      <w:r>
        <w:continuationSeparator/>
      </w:r>
    </w:p>
  </w:endnote>
  <w:endnote w:type="continuationNotice" w:id="1">
    <w:p w14:paraId="24369900" w14:textId="77777777" w:rsidR="00D142D3" w:rsidRDefault="00D142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5" w14:textId="77777777" w:rsidR="002C3041" w:rsidRDefault="002C3041" w:rsidP="001207F8">
    <w:pPr>
      <w:pStyle w:val="a8"/>
      <w:framePr w:wrap="around" w:vAnchor="text" w:hAnchor="text" w:xAlign="center" w:y="1"/>
      <w:rPr>
        <w:rStyle w:val="aa"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14:paraId="7F6961D6" w14:textId="77777777" w:rsidR="002C3041" w:rsidRDefault="002C304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7" w14:textId="7D396A56" w:rsidR="002C3041" w:rsidRDefault="002C3041" w:rsidP="001207F8">
    <w:pPr>
      <w:pStyle w:val="a8"/>
      <w:framePr w:wrap="around" w:vAnchor="text" w:hAnchor="text" w:xAlign="center" w:y="1"/>
      <w:rPr>
        <w:rStyle w:val="aa"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separate"/>
    </w:r>
    <w:r w:rsidR="00954C50">
      <w:rPr>
        <w:rStyle w:val="aa"/>
        <w:noProof/>
        <w:rtl/>
      </w:rPr>
      <w:t>2</w:t>
    </w:r>
    <w:r>
      <w:rPr>
        <w:rStyle w:val="aa"/>
        <w:rtl/>
      </w:rPr>
      <w:fldChar w:fldCharType="end"/>
    </w:r>
  </w:p>
  <w:p w14:paraId="7F6961D8" w14:textId="77777777" w:rsidR="002C3041" w:rsidRDefault="002C30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674C0" w14:textId="77777777" w:rsidR="00D142D3" w:rsidRDefault="00D142D3" w:rsidP="008432AA">
      <w:pPr>
        <w:ind w:left="0"/>
      </w:pPr>
      <w:r>
        <w:separator/>
      </w:r>
    </w:p>
  </w:footnote>
  <w:footnote w:type="continuationSeparator" w:id="0">
    <w:p w14:paraId="401CF485" w14:textId="77777777" w:rsidR="00D142D3" w:rsidRDefault="00D142D3">
      <w:r>
        <w:continuationSeparator/>
      </w:r>
    </w:p>
  </w:footnote>
  <w:footnote w:type="continuationNotice" w:id="1">
    <w:p w14:paraId="173A6451" w14:textId="77777777" w:rsidR="00D142D3" w:rsidRDefault="00D142D3"/>
  </w:footnote>
  <w:footnote w:id="2">
    <w:p w14:paraId="01C6E423" w14:textId="77777777" w:rsidR="008432AA" w:rsidRDefault="008432AA" w:rsidP="008432AA">
      <w:pPr>
        <w:pStyle w:val="a4"/>
      </w:pPr>
      <w:r>
        <w:rPr>
          <w:rStyle w:val="a5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ס"ח התשט"ז, עמ' 79.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61458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9DA1B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9078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21283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CAEAC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60E7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9033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5460E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303D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35A7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972A86"/>
    <w:multiLevelType w:val="hybridMultilevel"/>
    <w:tmpl w:val="0D5028AE"/>
    <w:lvl w:ilvl="0" w:tplc="FB92B18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A2B35"/>
    <w:multiLevelType w:val="hybridMultilevel"/>
    <w:tmpl w:val="F61ADD04"/>
    <w:lvl w:ilvl="0" w:tplc="EFC26F30">
      <w:start w:val="1"/>
      <w:numFmt w:val="hebrew1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3C544D"/>
    <w:multiLevelType w:val="hybridMultilevel"/>
    <w:tmpl w:val="C7443990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1"/>
  </w:num>
  <w:num w:numId="14">
    <w:abstractNumId w:val="15"/>
  </w:num>
  <w:num w:numId="15">
    <w:abstractNumId w:val="13"/>
  </w:num>
  <w:num w:numId="16">
    <w:abstractNumId w:val="13"/>
    <w:lvlOverride w:ilvl="0">
      <w:startOverride w:val="1"/>
    </w:lvlOverride>
  </w:num>
  <w:num w:numId="17">
    <w:abstractNumId w:val="10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riginalName" w:val="tmp482240lsCopyOriginal.docx"/>
    <w:docVar w:name="StartMode" w:val="2"/>
  </w:docVars>
  <w:rsids>
    <w:rsidRoot w:val="00DB7060"/>
    <w:rsid w:val="0000131B"/>
    <w:rsid w:val="00015B27"/>
    <w:rsid w:val="00063A3E"/>
    <w:rsid w:val="00072CAC"/>
    <w:rsid w:val="0007681A"/>
    <w:rsid w:val="00095147"/>
    <w:rsid w:val="000A542E"/>
    <w:rsid w:val="00102B6B"/>
    <w:rsid w:val="001052D4"/>
    <w:rsid w:val="0010644B"/>
    <w:rsid w:val="001207F8"/>
    <w:rsid w:val="00121924"/>
    <w:rsid w:val="001279A8"/>
    <w:rsid w:val="00134F74"/>
    <w:rsid w:val="0014195F"/>
    <w:rsid w:val="00152609"/>
    <w:rsid w:val="00153E1B"/>
    <w:rsid w:val="001A0623"/>
    <w:rsid w:val="001C23B0"/>
    <w:rsid w:val="001D7AAF"/>
    <w:rsid w:val="00203A7F"/>
    <w:rsid w:val="0021633A"/>
    <w:rsid w:val="002200A1"/>
    <w:rsid w:val="002362BF"/>
    <w:rsid w:val="00241B97"/>
    <w:rsid w:val="002425D1"/>
    <w:rsid w:val="00246756"/>
    <w:rsid w:val="00251E58"/>
    <w:rsid w:val="00254605"/>
    <w:rsid w:val="00266D86"/>
    <w:rsid w:val="002728B4"/>
    <w:rsid w:val="0027600C"/>
    <w:rsid w:val="00292712"/>
    <w:rsid w:val="002A487D"/>
    <w:rsid w:val="002C2E29"/>
    <w:rsid w:val="002C3041"/>
    <w:rsid w:val="002D1EE3"/>
    <w:rsid w:val="002F1D80"/>
    <w:rsid w:val="003232A2"/>
    <w:rsid w:val="00325C14"/>
    <w:rsid w:val="0036422C"/>
    <w:rsid w:val="003710F6"/>
    <w:rsid w:val="00386E88"/>
    <w:rsid w:val="00396585"/>
    <w:rsid w:val="003B6219"/>
    <w:rsid w:val="003D6E38"/>
    <w:rsid w:val="003D74A0"/>
    <w:rsid w:val="004033D8"/>
    <w:rsid w:val="004073F0"/>
    <w:rsid w:val="00412A7D"/>
    <w:rsid w:val="00416B4D"/>
    <w:rsid w:val="00417CFC"/>
    <w:rsid w:val="004315DB"/>
    <w:rsid w:val="004A06DC"/>
    <w:rsid w:val="004B24ED"/>
    <w:rsid w:val="004B6625"/>
    <w:rsid w:val="004D2D82"/>
    <w:rsid w:val="004D3876"/>
    <w:rsid w:val="004E4552"/>
    <w:rsid w:val="004E6CDF"/>
    <w:rsid w:val="0050084C"/>
    <w:rsid w:val="00523238"/>
    <w:rsid w:val="00553C9D"/>
    <w:rsid w:val="00562A66"/>
    <w:rsid w:val="005B064E"/>
    <w:rsid w:val="005D51AE"/>
    <w:rsid w:val="0062674B"/>
    <w:rsid w:val="006363B2"/>
    <w:rsid w:val="00644940"/>
    <w:rsid w:val="006818A9"/>
    <w:rsid w:val="006A2D81"/>
    <w:rsid w:val="006C1D0D"/>
    <w:rsid w:val="00705217"/>
    <w:rsid w:val="0070601E"/>
    <w:rsid w:val="00712C72"/>
    <w:rsid w:val="00735FE9"/>
    <w:rsid w:val="00763CAA"/>
    <w:rsid w:val="00765F66"/>
    <w:rsid w:val="0078664F"/>
    <w:rsid w:val="007A27CE"/>
    <w:rsid w:val="007C3FA6"/>
    <w:rsid w:val="007D585A"/>
    <w:rsid w:val="007D5A12"/>
    <w:rsid w:val="007E59F9"/>
    <w:rsid w:val="00810BCD"/>
    <w:rsid w:val="00812C98"/>
    <w:rsid w:val="00814D92"/>
    <w:rsid w:val="0083181D"/>
    <w:rsid w:val="008432AA"/>
    <w:rsid w:val="00843EB2"/>
    <w:rsid w:val="00865572"/>
    <w:rsid w:val="00874BBC"/>
    <w:rsid w:val="00892135"/>
    <w:rsid w:val="00895449"/>
    <w:rsid w:val="00897879"/>
    <w:rsid w:val="008A6870"/>
    <w:rsid w:val="008C2DDC"/>
    <w:rsid w:val="008C7516"/>
    <w:rsid w:val="008E6EC7"/>
    <w:rsid w:val="008F0D63"/>
    <w:rsid w:val="008F1308"/>
    <w:rsid w:val="008F2C35"/>
    <w:rsid w:val="008F6665"/>
    <w:rsid w:val="00904591"/>
    <w:rsid w:val="00905E5F"/>
    <w:rsid w:val="0091204F"/>
    <w:rsid w:val="009203DB"/>
    <w:rsid w:val="00923CD4"/>
    <w:rsid w:val="00930EFE"/>
    <w:rsid w:val="00943386"/>
    <w:rsid w:val="009456B6"/>
    <w:rsid w:val="00954C50"/>
    <w:rsid w:val="00957589"/>
    <w:rsid w:val="00966D06"/>
    <w:rsid w:val="00982412"/>
    <w:rsid w:val="00983A8D"/>
    <w:rsid w:val="009A0DB8"/>
    <w:rsid w:val="009A7257"/>
    <w:rsid w:val="009D6E0A"/>
    <w:rsid w:val="009E1E33"/>
    <w:rsid w:val="00A14672"/>
    <w:rsid w:val="00A26BD6"/>
    <w:rsid w:val="00A443CF"/>
    <w:rsid w:val="00A6611D"/>
    <w:rsid w:val="00A76D1D"/>
    <w:rsid w:val="00A82CB7"/>
    <w:rsid w:val="00A942C1"/>
    <w:rsid w:val="00AA2F03"/>
    <w:rsid w:val="00AC36F7"/>
    <w:rsid w:val="00AC63A4"/>
    <w:rsid w:val="00AD239E"/>
    <w:rsid w:val="00B10265"/>
    <w:rsid w:val="00B16A99"/>
    <w:rsid w:val="00B21211"/>
    <w:rsid w:val="00B35784"/>
    <w:rsid w:val="00B733A7"/>
    <w:rsid w:val="00B75C91"/>
    <w:rsid w:val="00B975AD"/>
    <w:rsid w:val="00BC45FB"/>
    <w:rsid w:val="00BF148D"/>
    <w:rsid w:val="00C004AE"/>
    <w:rsid w:val="00C23B1A"/>
    <w:rsid w:val="00C310EB"/>
    <w:rsid w:val="00C9176A"/>
    <w:rsid w:val="00CF1AA2"/>
    <w:rsid w:val="00D142D3"/>
    <w:rsid w:val="00D17774"/>
    <w:rsid w:val="00D63620"/>
    <w:rsid w:val="00D8410D"/>
    <w:rsid w:val="00D867D7"/>
    <w:rsid w:val="00DB7060"/>
    <w:rsid w:val="00DC1AF5"/>
    <w:rsid w:val="00DE3153"/>
    <w:rsid w:val="00E06736"/>
    <w:rsid w:val="00E13C27"/>
    <w:rsid w:val="00E33BBD"/>
    <w:rsid w:val="00E374F2"/>
    <w:rsid w:val="00E45103"/>
    <w:rsid w:val="00E55A60"/>
    <w:rsid w:val="00E62778"/>
    <w:rsid w:val="00E635A2"/>
    <w:rsid w:val="00E63D38"/>
    <w:rsid w:val="00E665B9"/>
    <w:rsid w:val="00EA01E6"/>
    <w:rsid w:val="00EA3DE8"/>
    <w:rsid w:val="00EA758F"/>
    <w:rsid w:val="00EB756C"/>
    <w:rsid w:val="00ED4A6F"/>
    <w:rsid w:val="00EF3A3A"/>
    <w:rsid w:val="00F628D6"/>
    <w:rsid w:val="00F67051"/>
    <w:rsid w:val="00F86A1E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E2FD8684-A91D-4582-8813-C4C615DF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4AE"/>
    <w:pPr>
      <w:widowControl w:val="0"/>
      <w:bidi/>
      <w:spacing w:line="360" w:lineRule="auto"/>
      <w:ind w:left="340"/>
      <w:contextualSpacing/>
      <w:jc w:val="both"/>
    </w:pPr>
    <w:rPr>
      <w:rFonts w:ascii="David" w:eastAsiaTheme="minorHAnsi" w:hAnsi="David" w:cs="David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004AE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2">
    <w:name w:val="heading 2"/>
    <w:basedOn w:val="a"/>
    <w:next w:val="a"/>
    <w:link w:val="20"/>
    <w:unhideWhenUsed/>
    <w:qFormat/>
    <w:rsid w:val="00C004AE"/>
    <w:pPr>
      <w:ind w:left="0"/>
      <w:jc w:val="left"/>
      <w:outlineLvl w:val="1"/>
    </w:pPr>
    <w:rPr>
      <w:rFonts w:asciiTheme="majorHAnsi" w:eastAsiaTheme="majorEastAsia" w:hAnsiTheme="majorHAnsi"/>
      <w:bCs/>
      <w:sz w:val="26"/>
      <w:szCs w:val="36"/>
      <w:u w:val="single"/>
    </w:rPr>
  </w:style>
  <w:style w:type="paragraph" w:styleId="3">
    <w:name w:val="heading 3"/>
    <w:basedOn w:val="a"/>
    <w:next w:val="a"/>
    <w:link w:val="30"/>
    <w:unhideWhenUsed/>
    <w:qFormat/>
    <w:rsid w:val="00C004AE"/>
    <w:pPr>
      <w:spacing w:before="40"/>
      <w:ind w:left="0"/>
      <w:jc w:val="left"/>
      <w:outlineLvl w:val="2"/>
    </w:pPr>
    <w:rPr>
      <w:rFonts w:asciiTheme="majorHAnsi" w:eastAsiaTheme="majorEastAsia" w:hAnsiTheme="majorHAnsi"/>
      <w:szCs w:val="28"/>
      <w:u w:val="double"/>
    </w:rPr>
  </w:style>
  <w:style w:type="paragraph" w:styleId="4">
    <w:name w:val="heading 4"/>
    <w:basedOn w:val="a"/>
    <w:next w:val="a"/>
    <w:link w:val="40"/>
    <w:uiPriority w:val="9"/>
    <w:unhideWhenUsed/>
    <w:qFormat/>
    <w:rsid w:val="00C004AE"/>
    <w:pPr>
      <w:numPr>
        <w:numId w:val="18"/>
      </w:numPr>
      <w:spacing w:before="40" w:after="120"/>
      <w:outlineLvl w:val="3"/>
    </w:pPr>
    <w:rPr>
      <w:b/>
      <w:bCs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004AE"/>
    <w:pPr>
      <w:spacing w:line="259" w:lineRule="auto"/>
      <w:outlineLvl w:val="4"/>
    </w:pPr>
    <w:rPr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C004AE"/>
    <w:pPr>
      <w:tabs>
        <w:tab w:val="left" w:pos="1191"/>
        <w:tab w:val="left" w:pos="1587"/>
      </w:tabs>
      <w:snapToGrid w:val="0"/>
      <w:spacing w:before="240" w:after="240" w:line="480" w:lineRule="auto"/>
      <w:jc w:val="center"/>
    </w:pPr>
    <w:rPr>
      <w:rFonts w:ascii="Arial" w:eastAsia="Arial Unicode MS" w:hAnsi="Arial"/>
      <w:snapToGrid w:val="0"/>
      <w:sz w:val="20"/>
      <w:szCs w:val="26"/>
    </w:rPr>
  </w:style>
  <w:style w:type="paragraph" w:customStyle="1" w:styleId="Cover2-HatzaotHok">
    <w:name w:val="Cover 2-HatzaotHok"/>
    <w:basedOn w:val="Cover1-Reshumot"/>
    <w:rsid w:val="00C004AE"/>
    <w:rPr>
      <w:sz w:val="36"/>
      <w:szCs w:val="52"/>
    </w:rPr>
  </w:style>
  <w:style w:type="paragraph" w:customStyle="1" w:styleId="Cover3-Haknesset">
    <w:name w:val="Cover 3-Haknesset"/>
    <w:basedOn w:val="Cover1-Reshumot"/>
    <w:rsid w:val="00C004AE"/>
    <w:rPr>
      <w:b/>
      <w:bCs/>
      <w:spacing w:val="60"/>
    </w:rPr>
  </w:style>
  <w:style w:type="paragraph" w:customStyle="1" w:styleId="Cover4-Date">
    <w:name w:val="Cover 4-Date"/>
    <w:basedOn w:val="a"/>
    <w:rsid w:val="00C004AE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C004AE"/>
    <w:pPr>
      <w:keepNext/>
      <w:keepLines/>
      <w:pageBreakBefore/>
      <w:snapToGrid w:val="0"/>
      <w:spacing w:before="48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">
    <w:name w:val="Head HatzaotHok"/>
    <w:basedOn w:val="a"/>
    <w:rsid w:val="00C004AE"/>
    <w:pPr>
      <w:keepNext/>
      <w:keepLines/>
      <w:snapToGrid w:val="0"/>
      <w:spacing w:before="240"/>
      <w:jc w:val="center"/>
      <w:outlineLvl w:val="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4Futer">
    <w:name w:val="Head HatzaotHok4Futer"/>
    <w:basedOn w:val="HeadHatzaotHok"/>
    <w:rsid w:val="00C004AE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C004AE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rsid w:val="00C004AE"/>
    <w:pPr>
      <w:keepLines/>
      <w:tabs>
        <w:tab w:val="left" w:pos="624"/>
        <w:tab w:val="left" w:pos="1247"/>
      </w:tabs>
      <w:snapToGrid w:val="0"/>
      <w:ind w:left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ableSideHeading">
    <w:name w:val="Table SideHeading"/>
    <w:basedOn w:val="TableText"/>
    <w:rsid w:val="00C004AE"/>
    <w:pPr>
      <w:outlineLvl w:val="2"/>
    </w:pPr>
  </w:style>
  <w:style w:type="paragraph" w:customStyle="1" w:styleId="TableBlock">
    <w:name w:val="Table Block"/>
    <w:basedOn w:val="TableText"/>
    <w:rsid w:val="00C004AE"/>
    <w:pPr>
      <w:jc w:val="both"/>
    </w:pPr>
  </w:style>
  <w:style w:type="paragraph" w:customStyle="1" w:styleId="TableHead">
    <w:name w:val="Table Head"/>
    <w:basedOn w:val="TableText"/>
    <w:rsid w:val="00C004AE"/>
    <w:pPr>
      <w:jc w:val="center"/>
      <w:outlineLvl w:val="1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C004AE"/>
    <w:pPr>
      <w:outlineLvl w:val="9"/>
    </w:pPr>
  </w:style>
  <w:style w:type="paragraph" w:customStyle="1" w:styleId="Hesber">
    <w:name w:val="Hesber"/>
    <w:basedOn w:val="a"/>
    <w:rsid w:val="00C004AE"/>
    <w:pPr>
      <w:snapToGrid w:val="0"/>
      <w:ind w:left="0" w:firstLine="340"/>
    </w:pPr>
    <w:rPr>
      <w:rFonts w:ascii="Arial" w:eastAsia="Arial Unicode MS" w:hAnsi="Arial"/>
      <w:snapToGrid w:val="0"/>
      <w:sz w:val="20"/>
      <w:szCs w:val="26"/>
    </w:rPr>
  </w:style>
  <w:style w:type="paragraph" w:styleId="a4">
    <w:name w:val="footnote text"/>
    <w:basedOn w:val="a"/>
    <w:autoRedefine/>
    <w:semiHidden/>
    <w:rsid w:val="00C004AE"/>
    <w:pPr>
      <w:snapToGrid w:val="0"/>
      <w:spacing w:line="240" w:lineRule="auto"/>
      <w:ind w:left="0"/>
      <w:jc w:val="left"/>
    </w:pPr>
    <w:rPr>
      <w:rFonts w:ascii="Arial" w:eastAsia="Arial Unicode MS" w:hAnsi="Arial"/>
      <w:snapToGrid w:val="0"/>
      <w:sz w:val="14"/>
      <w:szCs w:val="20"/>
    </w:rPr>
  </w:style>
  <w:style w:type="character" w:styleId="a5">
    <w:name w:val="footnote reference"/>
    <w:aliases w:val="Footnote Reference"/>
    <w:basedOn w:val="a0"/>
    <w:semiHidden/>
    <w:rsid w:val="00C004AE"/>
    <w:rPr>
      <w:vertAlign w:val="superscript"/>
    </w:rPr>
  </w:style>
  <w:style w:type="paragraph" w:customStyle="1" w:styleId="HesberHeading">
    <w:name w:val="Hesber Heading"/>
    <w:basedOn w:val="Hesber"/>
    <w:rsid w:val="00C004AE"/>
    <w:pPr>
      <w:tabs>
        <w:tab w:val="left" w:pos="624"/>
        <w:tab w:val="left" w:pos="1247"/>
      </w:tabs>
    </w:pPr>
    <w:rPr>
      <w:b/>
      <w:bCs/>
    </w:rPr>
  </w:style>
  <w:style w:type="paragraph" w:customStyle="1" w:styleId="HesberWriters">
    <w:name w:val="Hesber Writers"/>
    <w:basedOn w:val="Hesber"/>
    <w:rsid w:val="00C004AE"/>
    <w:pPr>
      <w:spacing w:before="120" w:after="120"/>
      <w:ind w:left="1418"/>
      <w:jc w:val="right"/>
    </w:pPr>
    <w:rPr>
      <w:b/>
      <w:bCs/>
    </w:rPr>
  </w:style>
  <w:style w:type="paragraph" w:customStyle="1" w:styleId="Hesber1st">
    <w:name w:val="Hesber 1st"/>
    <w:basedOn w:val="Hesber"/>
    <w:rsid w:val="00C004AE"/>
    <w:pPr>
      <w:tabs>
        <w:tab w:val="left" w:pos="680"/>
        <w:tab w:val="left" w:pos="1020"/>
      </w:tabs>
      <w:ind w:firstLine="0"/>
    </w:pPr>
  </w:style>
  <w:style w:type="character" w:styleId="a6">
    <w:name w:val="endnote reference"/>
    <w:basedOn w:val="a0"/>
    <w:semiHidden/>
    <w:rsid w:val="00C004AE"/>
    <w:rPr>
      <w:vertAlign w:val="superscript"/>
    </w:rPr>
  </w:style>
  <w:style w:type="paragraph" w:customStyle="1" w:styleId="TableBlockOutdent">
    <w:name w:val="Table BlockOutdent"/>
    <w:basedOn w:val="TableBlock"/>
    <w:rsid w:val="00C004AE"/>
    <w:pPr>
      <w:ind w:left="624" w:hanging="624"/>
    </w:pPr>
  </w:style>
  <w:style w:type="paragraph" w:styleId="a7">
    <w:name w:val="header"/>
    <w:basedOn w:val="a"/>
    <w:rsid w:val="00C004AE"/>
    <w:pPr>
      <w:tabs>
        <w:tab w:val="center" w:pos="4153"/>
        <w:tab w:val="right" w:pos="8306"/>
      </w:tabs>
    </w:pPr>
  </w:style>
  <w:style w:type="paragraph" w:styleId="a8">
    <w:name w:val="footer"/>
    <w:basedOn w:val="a"/>
    <w:rsid w:val="00C004AE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C004AE"/>
    <w:pPr>
      <w:snapToGrid w:val="0"/>
      <w:spacing w:before="360" w:after="120"/>
      <w:jc w:val="center"/>
      <w:outlineLvl w:val="1"/>
    </w:pPr>
    <w:rPr>
      <w:rFonts w:ascii="Arial" w:eastAsia="Arial Unicode MS" w:hAnsi="Arial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C004AE"/>
    <w:pPr>
      <w:snapToGrid w:val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styleId="a9">
    <w:name w:val="Title"/>
    <w:basedOn w:val="a"/>
    <w:qFormat/>
    <w:rsid w:val="00943386"/>
    <w:pPr>
      <w:jc w:val="center"/>
    </w:pPr>
    <w:rPr>
      <w:b/>
      <w:bCs/>
      <w:sz w:val="28"/>
      <w:szCs w:val="28"/>
      <w:u w:val="single"/>
    </w:rPr>
  </w:style>
  <w:style w:type="character" w:styleId="aa">
    <w:name w:val="page number"/>
    <w:basedOn w:val="a0"/>
    <w:rsid w:val="00C004AE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jc w:val="left"/>
    </w:pPr>
    <w:rPr>
      <w:sz w:val="26"/>
      <w:szCs w:val="26"/>
    </w:rPr>
  </w:style>
  <w:style w:type="paragraph" w:styleId="ab">
    <w:name w:val="Balloon Text"/>
    <w:basedOn w:val="a"/>
    <w:link w:val="ac"/>
    <w:semiHidden/>
    <w:unhideWhenUsed/>
    <w:rsid w:val="00325C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basedOn w:val="a0"/>
    <w:link w:val="ab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  <w:style w:type="character" w:customStyle="1" w:styleId="citation-22">
    <w:name w:val="citation-22"/>
    <w:basedOn w:val="a0"/>
    <w:rsid w:val="0050084C"/>
  </w:style>
  <w:style w:type="character" w:customStyle="1" w:styleId="10">
    <w:name w:val="כותרת 1 תו"/>
    <w:basedOn w:val="a0"/>
    <w:link w:val="1"/>
    <w:uiPriority w:val="9"/>
    <w:rsid w:val="00C004AE"/>
    <w:rPr>
      <w:rFonts w:asciiTheme="majorHAnsi" w:eastAsiaTheme="majorEastAsia" w:hAnsiTheme="majorHAnsi" w:cs="David"/>
      <w:bCs/>
      <w:sz w:val="32"/>
      <w:szCs w:val="36"/>
    </w:rPr>
  </w:style>
  <w:style w:type="character" w:customStyle="1" w:styleId="20">
    <w:name w:val="כותרת 2 תו"/>
    <w:basedOn w:val="a0"/>
    <w:link w:val="2"/>
    <w:rsid w:val="00C004AE"/>
    <w:rPr>
      <w:rFonts w:asciiTheme="majorHAnsi" w:eastAsiaTheme="majorEastAsia" w:hAnsiTheme="majorHAnsi" w:cs="David"/>
      <w:bCs/>
      <w:sz w:val="26"/>
      <w:szCs w:val="36"/>
      <w:u w:val="single"/>
    </w:rPr>
  </w:style>
  <w:style w:type="character" w:customStyle="1" w:styleId="30">
    <w:name w:val="כותרת 3 תו"/>
    <w:basedOn w:val="a0"/>
    <w:link w:val="3"/>
    <w:rsid w:val="00C004AE"/>
    <w:rPr>
      <w:rFonts w:asciiTheme="majorHAnsi" w:eastAsiaTheme="majorEastAsia" w:hAnsiTheme="majorHAnsi" w:cs="David"/>
      <w:sz w:val="24"/>
      <w:szCs w:val="28"/>
      <w:u w:val="double"/>
    </w:rPr>
  </w:style>
  <w:style w:type="character" w:customStyle="1" w:styleId="40">
    <w:name w:val="כותרת 4 תו"/>
    <w:basedOn w:val="a0"/>
    <w:link w:val="4"/>
    <w:uiPriority w:val="9"/>
    <w:rsid w:val="00C004AE"/>
    <w:rPr>
      <w:rFonts w:ascii="David" w:eastAsiaTheme="minorHAnsi" w:hAnsi="David" w:cs="David"/>
      <w:b/>
      <w:bCs/>
      <w:color w:val="000000" w:themeColor="text1"/>
      <w:sz w:val="24"/>
      <w:szCs w:val="28"/>
    </w:rPr>
  </w:style>
  <w:style w:type="character" w:customStyle="1" w:styleId="50">
    <w:name w:val="כותרת 5 תו"/>
    <w:basedOn w:val="a0"/>
    <w:link w:val="5"/>
    <w:uiPriority w:val="9"/>
    <w:rsid w:val="00C004AE"/>
    <w:rPr>
      <w:rFonts w:ascii="David" w:eastAsiaTheme="minorHAnsi" w:hAnsi="David" w:cs="David"/>
      <w:color w:val="000000" w:themeColor="text1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C004AE"/>
    <w:pPr>
      <w:widowControl/>
      <w:spacing w:before="120" w:after="12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C004AE"/>
    <w:pPr>
      <w:tabs>
        <w:tab w:val="right" w:leader="dot" w:pos="9629"/>
      </w:tabs>
      <w:spacing w:after="100"/>
    </w:pPr>
    <w:rPr>
      <w:bCs/>
      <w:szCs w:val="22"/>
    </w:rPr>
  </w:style>
  <w:style w:type="paragraph" w:styleId="TOC2">
    <w:name w:val="toc 2"/>
    <w:basedOn w:val="a"/>
    <w:next w:val="a"/>
    <w:uiPriority w:val="39"/>
    <w:unhideWhenUsed/>
    <w:rsid w:val="00C004AE"/>
    <w:pPr>
      <w:tabs>
        <w:tab w:val="right" w:leader="dot" w:pos="9628"/>
      </w:tabs>
      <w:spacing w:after="100"/>
    </w:pPr>
    <w:rPr>
      <w:szCs w:val="22"/>
    </w:rPr>
  </w:style>
  <w:style w:type="character" w:styleId="Hyperlink">
    <w:name w:val="Hyperlink"/>
    <w:basedOn w:val="a0"/>
    <w:uiPriority w:val="99"/>
    <w:unhideWhenUsed/>
    <w:rsid w:val="00C004AE"/>
    <w:rPr>
      <w:color w:val="0000FF" w:themeColor="hyperlink"/>
      <w:u w:val="single"/>
    </w:rPr>
  </w:style>
  <w:style w:type="paragraph" w:styleId="TOC3">
    <w:name w:val="toc 3"/>
    <w:basedOn w:val="a"/>
    <w:next w:val="a"/>
    <w:uiPriority w:val="39"/>
    <w:unhideWhenUsed/>
    <w:rsid w:val="00C004AE"/>
    <w:pPr>
      <w:tabs>
        <w:tab w:val="right" w:leader="dot" w:pos="9629"/>
      </w:tabs>
      <w:spacing w:after="100"/>
      <w:ind w:left="567"/>
    </w:pPr>
    <w:rPr>
      <w:szCs w:val="22"/>
    </w:rPr>
  </w:style>
  <w:style w:type="paragraph" w:styleId="TOC4">
    <w:name w:val="toc 4"/>
    <w:basedOn w:val="a"/>
    <w:next w:val="a"/>
    <w:autoRedefine/>
    <w:unhideWhenUsed/>
    <w:qFormat/>
    <w:rsid w:val="00C004AE"/>
    <w:pPr>
      <w:tabs>
        <w:tab w:val="right" w:leader="dot" w:pos="9628"/>
      </w:tabs>
      <w:spacing w:after="100"/>
      <w:ind w:left="567"/>
    </w:pPr>
    <w:rPr>
      <w:rFonts w:asciiTheme="minorHAnsi" w:eastAsiaTheme="minorEastAsia" w:hAnsiTheme="minorHAnsi"/>
      <w:noProof/>
      <w:sz w:val="22"/>
      <w:szCs w:val="22"/>
    </w:rPr>
  </w:style>
  <w:style w:type="paragraph" w:styleId="TOC5">
    <w:name w:val="toc 5"/>
    <w:basedOn w:val="a"/>
    <w:next w:val="a"/>
    <w:semiHidden/>
    <w:unhideWhenUsed/>
    <w:rsid w:val="00C004AE"/>
    <w:pPr>
      <w:tabs>
        <w:tab w:val="right" w:leader="dot" w:pos="9628"/>
      </w:tabs>
      <w:spacing w:after="100"/>
      <w:ind w:left="567"/>
    </w:pPr>
    <w:rPr>
      <w:szCs w:val="22"/>
    </w:rPr>
  </w:style>
  <w:style w:type="paragraph" w:styleId="TOC6">
    <w:name w:val="toc 6"/>
    <w:basedOn w:val="a"/>
    <w:next w:val="a"/>
    <w:autoRedefine/>
    <w:semiHidden/>
    <w:unhideWhenUsed/>
    <w:rsid w:val="00C004AE"/>
    <w:pPr>
      <w:spacing w:after="100"/>
      <w:ind w:left="850"/>
    </w:pPr>
  </w:style>
  <w:style w:type="paragraph" w:styleId="TOC7">
    <w:name w:val="toc 7"/>
    <w:basedOn w:val="a"/>
    <w:next w:val="a"/>
    <w:autoRedefine/>
    <w:semiHidden/>
    <w:unhideWhenUsed/>
    <w:rsid w:val="00C004AE"/>
    <w:pPr>
      <w:spacing w:after="100"/>
      <w:ind w:left="1020"/>
    </w:pPr>
  </w:style>
  <w:style w:type="paragraph" w:styleId="TOC8">
    <w:name w:val="toc 8"/>
    <w:basedOn w:val="a"/>
    <w:next w:val="a"/>
    <w:autoRedefine/>
    <w:semiHidden/>
    <w:unhideWhenUsed/>
    <w:rsid w:val="00C004AE"/>
    <w:pPr>
      <w:spacing w:after="100"/>
      <w:ind w:left="1190"/>
    </w:pPr>
  </w:style>
  <w:style w:type="paragraph" w:styleId="TOC9">
    <w:name w:val="toc 9"/>
    <w:basedOn w:val="a"/>
    <w:next w:val="a"/>
    <w:autoRedefine/>
    <w:semiHidden/>
    <w:unhideWhenUsed/>
    <w:rsid w:val="00C004AE"/>
    <w:pPr>
      <w:spacing w:after="100"/>
      <w:ind w:left="1360"/>
    </w:pPr>
  </w:style>
  <w:style w:type="paragraph" w:customStyle="1" w:styleId="TableHead2">
    <w:name w:val="Table Head2"/>
    <w:basedOn w:val="TableHead"/>
    <w:qFormat/>
    <w:rsid w:val="00C004AE"/>
    <w:pPr>
      <w:outlineLvl w:val="9"/>
    </w:pPr>
  </w:style>
  <w:style w:type="paragraph" w:customStyle="1" w:styleId="TableSideHeading2">
    <w:name w:val="Table SideHeading2"/>
    <w:basedOn w:val="TableSideHeading"/>
    <w:autoRedefine/>
    <w:qFormat/>
    <w:rsid w:val="00C004AE"/>
    <w:pPr>
      <w:keepLines w:val="0"/>
      <w:outlineLvl w:val="9"/>
    </w:pPr>
  </w:style>
  <w:style w:type="paragraph" w:customStyle="1" w:styleId="0">
    <w:name w:val="סגנון שורה ראשונה:  0  ס''מ"/>
    <w:basedOn w:val="2"/>
    <w:rsid w:val="00C004AE"/>
    <w:rPr>
      <w:rFonts w:eastAsia="Times New Roman"/>
    </w:rPr>
  </w:style>
  <w:style w:type="paragraph" w:styleId="ae">
    <w:name w:val="List Paragraph"/>
    <w:basedOn w:val="a"/>
    <w:uiPriority w:val="34"/>
    <w:qFormat/>
    <w:rsid w:val="00C004AE"/>
    <w:pPr>
      <w:widowControl/>
      <w:spacing w:line="259" w:lineRule="auto"/>
    </w:pPr>
    <w:rPr>
      <w:rFonts w:asciiTheme="minorHAnsi" w:hAnsiTheme="minorHAnsi"/>
      <w:sz w:val="22"/>
    </w:rPr>
  </w:style>
  <w:style w:type="table" w:styleId="af">
    <w:name w:val="Table Grid"/>
    <w:basedOn w:val="a1"/>
    <w:rsid w:val="00C00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C004A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C004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0">
    <w:name w:val="טבלת חקיקה"/>
    <w:basedOn w:val="a1"/>
    <w:uiPriority w:val="99"/>
    <w:rsid w:val="00C004AE"/>
    <w:pPr>
      <w:jc w:val="center"/>
    </w:pPr>
    <w:rPr>
      <w:rFonts w:cstheme="minorBidi"/>
    </w:rPr>
    <w:tblPr/>
    <w:tcPr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cs="David"/>
        <w:bCs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0" w:color="auto" w:fill="auto"/>
      </w:tcPr>
    </w:tblStylePr>
    <w:tblStylePr w:type="firstCol">
      <w:tblPr/>
      <w:tcPr>
        <w:noWrap/>
      </w:tcPr>
    </w:tblStylePr>
    <w:tblStylePr w:type="lastCol">
      <w:pPr>
        <w:jc w:val="center"/>
      </w:pPr>
      <w:tblPr/>
      <w:tcPr>
        <w:noWrap/>
      </w:tcPr>
    </w:tblStylePr>
  </w:style>
  <w:style w:type="table" w:customStyle="1" w:styleId="13">
    <w:name w:val="סגנון1"/>
    <w:basedOn w:val="a1"/>
    <w:uiPriority w:val="99"/>
    <w:rsid w:val="00C004AE"/>
    <w:tblPr/>
    <w:tblStylePr w:type="firstCol">
      <w:pPr>
        <w:keepNext w:val="0"/>
        <w:keepLines/>
        <w:pageBreakBefore w:val="0"/>
        <w:widowControl w:val="0"/>
        <w:suppressLineNumbers w:val="0"/>
        <w:suppressAutoHyphens w:val="0"/>
        <w:wordWrap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4E21C28B32ECF49ADBB6A5BBBCCB3CD" ma:contentTypeVersion="" ma:contentTypeDescription="צור מסמך חדש." ma:contentTypeScope="" ma:versionID="f81d89568b860eeaa06327f0f2d2f14b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a6db6e33f8462d87724f237088727803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4AFE3-9455-419C-8851-785A55F44517}">
  <ds:schemaRefs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0E1D2D-C48F-43BF-BE1C-5638B53A4A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F80EC6-1D54-49A7-BB07-B9FC8C331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395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טליה ווייס עמר</cp:lastModifiedBy>
  <cp:revision>13</cp:revision>
  <cp:lastPrinted>2013-07-04T08:25:00Z</cp:lastPrinted>
  <dcterms:created xsi:type="dcterms:W3CDTF">2015-04-20T09:58:00Z</dcterms:created>
  <dcterms:modified xsi:type="dcterms:W3CDTF">2026-06-25T10:06:00Z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0x01010054E21C28B32ECF49ADBB6A5BBBCCB3CD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2242065</vt:r8>
  </property>
</Properties>
</file>