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2244563</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b/>
          <w:bCs/>
          <w:sz w:val="26"/>
          <w:szCs w:val="26"/>
          <w:rtl/>
        </w:rPr>
      </w:pPr>
    </w:p>
    <w:p w14:paraId="7F6961AA" w14:textId="13988622" w:rsidR="00E13C27" w:rsidRPr="00CF1AA2" w:rsidRDefault="008F6665" w:rsidP="00786014">
      <w:pPr>
        <w:pStyle w:val="David"/>
        <w:spacing w:before="102"/>
        <w:ind w:left="3544"/>
        <w:rPr>
          <w:b/>
          <w:bCs/>
          <w:sz w:val="16"/>
          <w:szCs w:val="16"/>
          <w:rtl/>
        </w:rPr>
      </w:pPr>
      <w:bookmarkStart w:id="2" w:name="LGS_Initiators_List"/>
      <w:r>
        <w:rPr>
          <w:b/>
          <w:bCs/>
          <w:rtl/>
        </w:rPr>
        <w:t>יוזמים:      חברי הכנסת</w:t>
      </w:r>
      <w:bookmarkEnd w:id="2"/>
      <w:r w:rsidR="00B35784" w:rsidRPr="00F67051">
        <w:rPr>
          <w:b/>
          <w:bCs/>
        </w:rPr>
        <w:tab/>
      </w:r>
      <w:bookmarkStart w:id="3" w:name="LGS_PM_Names"/>
      <w:r>
        <w:rPr>
          <w:rFonts w:hint="cs"/>
          <w:b/>
          <w:bCs/>
          <w:rtl/>
        </w:rPr>
        <w:t>מיכל מרים וולדיגר</w:t>
      </w:r>
      <w:r>
        <w:br/>
      </w:r>
      <w:r>
        <w:rPr>
          <w:rFonts w:hint="cs"/>
          <w:b/>
          <w:bCs/>
          <w:rtl/>
        </w:rPr>
        <w:t xml:space="preserve"> </w:t>
      </w:r>
      <w:r>
        <w:tab/>
      </w:r>
      <w:r>
        <w:tab/>
      </w:r>
      <w:r>
        <w:tab/>
      </w:r>
      <w:r>
        <w:tab/>
      </w:r>
      <w:r>
        <w:rPr>
          <w:rFonts w:hint="cs"/>
          <w:b/>
          <w:bCs/>
          <w:rtl/>
        </w:rPr>
        <w:t>צבי ידידיה סוכות</w:t>
      </w:r>
      <w:r>
        <w:br/>
      </w:r>
      <w:r>
        <w:rPr>
          <w:rFonts w:hint="cs"/>
          <w:b/>
          <w:bCs/>
          <w:rtl/>
        </w:rPr>
        <w:t xml:space="preserve"> </w:t>
      </w:r>
      <w:r>
        <w:tab/>
      </w:r>
      <w:r>
        <w:tab/>
      </w:r>
      <w:r>
        <w:tab/>
      </w:r>
      <w:r>
        <w:tab/>
      </w:r>
      <w:r>
        <w:rPr>
          <w:rFonts w:hint="cs"/>
          <w:b/>
          <w:bCs/>
          <w:rtl/>
        </w:rPr>
        <w:t>משה סולומון</w:t>
      </w:r>
      <w:r>
        <w:br/>
      </w:r>
      <w:r>
        <w:rPr>
          <w:rFonts w:hint="cs"/>
          <w:b/>
          <w:bCs/>
          <w:rtl/>
        </w:rPr>
        <w:t xml:space="preserve"> </w:t>
      </w:r>
      <w:r>
        <w:tab/>
      </w:r>
      <w:r>
        <w:tab/>
      </w:r>
      <w:r>
        <w:tab/>
      </w:r>
      <w:r>
        <w:tab/>
      </w:r>
      <w:r>
        <w:rPr>
          <w:rFonts w:hint="cs"/>
          <w:b/>
          <w:bCs/>
          <w:rtl/>
        </w:rPr>
        <w:t>אוהד טל</w:t>
      </w:r>
      <w:r>
        <w:br/>
      </w:r>
      <w:r>
        <w:rPr>
          <w:rFonts w:hint="cs"/>
          <w:b/>
          <w:bCs/>
          <w:rtl/>
        </w:rPr>
        <w:t xml:space="preserve"> </w:t>
      </w:r>
      <w:r>
        <w:tab/>
      </w:r>
      <w:r>
        <w:tab/>
      </w:r>
      <w:r>
        <w:tab/>
      </w:r>
      <w:r>
        <w:tab/>
      </w:r>
      <w:r>
        <w:rPr>
          <w:rFonts w:hint="cs"/>
          <w:b/>
          <w:bCs/>
          <w:rtl/>
        </w:rPr>
        <w:t>יונתן מישרקי</w:t>
      </w:r>
      <w:r>
        <w:br/>
      </w:r>
      <w:r>
        <w:rPr>
          <w:rFonts w:hint="cs"/>
          <w:b/>
          <w:bCs/>
          <w:rtl/>
        </w:rPr>
        <w:t xml:space="preserve"> </w:t>
      </w:r>
      <w:r>
        <w:tab/>
      </w:r>
      <w:r>
        <w:tab/>
      </w:r>
      <w:r>
        <w:tab/>
      </w:r>
      <w:r>
        <w:tab/>
      </w:r>
      <w:r>
        <w:rPr>
          <w:rFonts w:hint="cs"/>
          <w:b/>
          <w:bCs/>
          <w:rtl/>
        </w:rPr>
        <w:t>אריאל קלנר</w:t>
      </w:r>
      <w:r>
        <w:br/>
      </w:r>
      <w:r>
        <w:rPr>
          <w:rFonts w:hint="cs"/>
          <w:b/>
          <w:bCs/>
          <w:rtl/>
        </w:rPr>
        <w:t xml:space="preserve"> </w:t>
      </w:r>
      <w:r>
        <w:tab/>
      </w:r>
      <w:r>
        <w:tab/>
      </w:r>
      <w:r>
        <w:tab/>
      </w:r>
      <w:r>
        <w:tab/>
      </w:r>
      <w:r>
        <w:rPr>
          <w:rFonts w:hint="cs"/>
          <w:b/>
          <w:bCs/>
          <w:rtl/>
        </w:rPr>
        <w:t>חוה אתי עטייה</w:t>
      </w:r>
      <w:r>
        <w:br/>
      </w:r>
      <w:r>
        <w:rPr>
          <w:rFonts w:hint="cs"/>
          <w:b/>
          <w:bCs/>
          <w:rtl/>
        </w:rPr>
        <w:t xml:space="preserve"> </w:t>
      </w:r>
      <w:r>
        <w:tab/>
      </w:r>
      <w:r>
        <w:tab/>
      </w:r>
      <w:r>
        <w:tab/>
      </w:r>
      <w:r>
        <w:tab/>
      </w:r>
      <w:r>
        <w:rPr>
          <w:rFonts w:hint="cs"/>
          <w:b/>
          <w:bCs/>
          <w:rtl/>
        </w:rPr>
        <w:t>טלי גוטליב</w:t>
      </w:r>
      <w:r>
        <w:br/>
      </w:r>
      <w:r>
        <w:rPr>
          <w:rFonts w:hint="cs"/>
          <w:b/>
          <w:bCs/>
          <w:rtl/>
        </w:rPr>
        <w:t xml:space="preserve"> </w:t>
      </w:r>
      <w:r>
        <w:tab/>
      </w:r>
      <w:r>
        <w:tab/>
      </w:r>
      <w:r>
        <w:tab/>
      </w:r>
      <w:r>
        <w:tab/>
      </w:r>
      <w:r>
        <w:rPr>
          <w:rFonts w:hint="cs"/>
          <w:b/>
          <w:bCs/>
          <w:rtl/>
        </w:rPr>
        <w:t>צביקה פוגל</w:t>
      </w:r>
      <w:r>
        <w:br/>
      </w:r>
      <w:r>
        <w:rPr>
          <w:rFonts w:hint="cs"/>
          <w:b/>
          <w:bCs/>
          <w:rtl/>
        </w:rPr>
        <w:t xml:space="preserve"> </w:t>
      </w:r>
      <w:r>
        <w:tab/>
      </w:r>
      <w:r>
        <w:tab/>
      </w:r>
      <w:r>
        <w:tab/>
      </w:r>
      <w:r>
        <w:tab/>
      </w:r>
      <w:r>
        <w:rPr>
          <w:rFonts w:hint="cs"/>
          <w:b/>
          <w:bCs/>
          <w:rtl/>
        </w:rPr>
        <w:t>מיכאל מרדכי ביטון</w:t>
      </w:r>
      <w:r>
        <w:br/>
      </w:r>
      <w:r>
        <w:rPr>
          <w:rFonts w:hint="cs"/>
          <w:b/>
          <w:bCs/>
          <w:rtl/>
        </w:rPr>
        <w:t xml:space="preserve"> </w:t>
      </w:r>
      <w:r>
        <w:tab/>
      </w:r>
      <w:r>
        <w:tab/>
      </w:r>
      <w:r>
        <w:tab/>
      </w:r>
      <w:r>
        <w:tab/>
      </w:r>
      <w:r>
        <w:rPr>
          <w:rFonts w:hint="cs"/>
          <w:b/>
          <w:bCs/>
          <w:rtl/>
        </w:rPr>
        <w:t>עודד פורר</w:t>
      </w:r>
      <w:r>
        <w:br/>
      </w:r>
      <w:r>
        <w:rPr>
          <w:rFonts w:hint="cs"/>
          <w:b/>
          <w:bCs/>
          <w:rtl/>
        </w:rPr>
        <w:t xml:space="preserve"> </w:t>
      </w:r>
      <w:r>
        <w:tab/>
      </w:r>
      <w:r>
        <w:tab/>
      </w:r>
      <w:r>
        <w:tab/>
      </w:r>
      <w:r>
        <w:tab/>
      </w:r>
      <w:r>
        <w:rPr>
          <w:rFonts w:hint="cs"/>
          <w:b/>
          <w:bCs/>
          <w:rtl/>
        </w:rPr>
        <w:t>יוליה מלינובסקי</w:t>
      </w:r>
      <w:r>
        <w:br/>
      </w:r>
      <w:r>
        <w:rPr>
          <w:rFonts w:hint="cs"/>
          <w:b/>
          <w:bCs/>
          <w:rtl/>
        </w:rPr>
        <w:t xml:space="preserve"> </w:t>
      </w:r>
      <w:r>
        <w:tab/>
      </w:r>
      <w:r>
        <w:tab/>
      </w:r>
      <w:r>
        <w:tab/>
      </w:r>
      <w:r>
        <w:tab/>
      </w:r>
      <w:r>
        <w:rPr>
          <w:rFonts w:hint="cs"/>
          <w:b/>
          <w:bCs/>
          <w:rtl/>
        </w:rPr>
        <w:t>שרון ניר</w:t>
      </w:r>
      <w:r>
        <w:br/>
      </w:r>
      <w:r>
        <w:rPr>
          <w:rFonts w:hint="cs"/>
          <w:b/>
          <w:bCs/>
          <w:rtl/>
        </w:rPr>
        <w:t xml:space="preserve"> </w:t>
      </w:r>
      <w:r>
        <w:tab/>
      </w:r>
      <w:r>
        <w:tab/>
      </w:r>
      <w:r>
        <w:tab/>
      </w:r>
      <w:r>
        <w:tab/>
      </w:r>
      <w:r>
        <w:rPr>
          <w:rFonts w:hint="cs"/>
          <w:b/>
          <w:bCs/>
          <w:rtl/>
        </w:rPr>
        <w:t>אורית פרקש הכהן</w:t>
      </w:r>
      <w:r>
        <w:br/>
      </w:r>
      <w:r>
        <w:rPr>
          <w:rFonts w:hint="cs"/>
          <w:b/>
          <w:bCs/>
          <w:rtl/>
        </w:rPr>
        <w:t xml:space="preserve"> </w:t>
      </w:r>
      <w:r>
        <w:tab/>
      </w:r>
      <w:r>
        <w:tab/>
      </w:r>
      <w:r>
        <w:tab/>
      </w:r>
      <w:r>
        <w:tab/>
      </w:r>
      <w:r>
        <w:rPr>
          <w:rFonts w:hint="cs"/>
          <w:b/>
          <w:bCs/>
          <w:rtl/>
        </w:rPr>
        <w:t>לימור סון הר מלך</w:t>
      </w:r>
      <w:r>
        <w:br/>
      </w:r>
      <w:r>
        <w:rPr>
          <w:rFonts w:hint="cs"/>
          <w:b/>
          <w:bCs/>
          <w:rtl/>
        </w:rPr>
        <w:t xml:space="preserve"> </w:t>
      </w:r>
      <w:r>
        <w:tab/>
      </w:r>
      <w:r>
        <w:tab/>
      </w:r>
      <w:r>
        <w:tab/>
      </w:r>
      <w:r>
        <w:tab/>
      </w:r>
      <w:r>
        <w:rPr>
          <w:rFonts w:hint="cs"/>
          <w:b/>
          <w:bCs/>
          <w:rtl/>
        </w:rPr>
        <w:t>עמית הלוי</w:t>
      </w:r>
      <w:bookmarkStart w:id="4" w:name="LGS_Join_List"/>
      <w:bookmarkEnd w:id="3"/>
      <w:r w:rsidR="007D585A">
        <w:rPr>
          <w:rtl/>
        </w:rPr>
        <w:t xml:space="preserve"> </w:t>
      </w:r>
      <w:bookmarkEnd w:id="4"/>
      <w:r w:rsidR="002200A1" w:rsidRPr="00CF1AA2">
        <w:rPr>
          <w:rFonts w:hint="cs"/>
          <w:rtl/>
        </w:rPr>
        <w:tab/>
      </w:r>
      <w:bookmarkStart w:id="5" w:name="LGS_PM_NamesJoin"/>
      <w:r w:rsidR="007D585A">
        <w:rPr>
          <w:rFonts w:hint="cs"/>
          <w:rtl/>
        </w:rPr>
        <w:t xml:space="preserve"> </w:t>
      </w:r>
      <w:bookmarkEnd w:id="5"/>
    </w:p>
    <w:p w14:paraId="3BC00185" w14:textId="77777777" w:rsidR="00C276BF" w:rsidRDefault="00266D86" w:rsidP="00C276BF">
      <w:pPr>
        <w:pStyle w:val="David"/>
        <w:ind w:left="3600"/>
        <w:rPr>
          <w:rtl/>
        </w:rPr>
      </w:pPr>
      <w:r>
        <w:t>____</w:t>
      </w:r>
      <w:r w:rsidR="00E374F2">
        <w:t>__</w:t>
      </w:r>
      <w:r>
        <w:t>________________________________________</w:t>
      </w:r>
    </w:p>
    <w:p w14:paraId="34DB4103" w14:textId="7427F3C7" w:rsidR="00904591" w:rsidRPr="00904591" w:rsidRDefault="00786014" w:rsidP="00C276BF">
      <w:pPr>
        <w:pStyle w:val="David"/>
        <w:ind w:left="5760" w:firstLine="720"/>
        <w:rPr>
          <w:sz w:val="4"/>
          <w:szCs w:val="4"/>
          <w:rtl/>
        </w:rPr>
      </w:pPr>
      <w:r>
        <w:rPr>
          <w:rFonts w:hint="cs"/>
          <w:rtl/>
        </w:rPr>
        <w:t>פ/6787/25</w:t>
      </w:r>
      <w:r w:rsidR="00E13C27" w:rsidRPr="00E06736">
        <w:rPr>
          <w:rFonts w:hint="cs"/>
          <w:rtl/>
        </w:rPr>
        <w:tab/>
      </w:r>
      <w:r w:rsidR="00904591">
        <w:t xml:space="preserve">           </w:t>
      </w:r>
    </w:p>
    <w:p w14:paraId="0A5B5384" w14:textId="6DFE5CDB" w:rsidR="00224B16" w:rsidRDefault="00224B16" w:rsidP="00786014">
      <w:pPr>
        <w:pStyle w:val="HeadHatzaotHok"/>
        <w:keepNext w:val="0"/>
        <w:keepLines w:val="0"/>
        <w:spacing w:line="240" w:lineRule="auto"/>
        <w:rPr>
          <w:rtl/>
        </w:rPr>
      </w:pPr>
      <w:r>
        <w:rPr>
          <w:rtl/>
        </w:rPr>
        <w:t>הצעת חו</w:t>
      </w:r>
      <w:r>
        <w:rPr>
          <w:rFonts w:hint="cs"/>
          <w:rtl/>
        </w:rPr>
        <w:t>ק הביטוח הלאומי</w:t>
      </w:r>
      <w:r w:rsidRPr="00CF5BDF">
        <w:rPr>
          <w:rFonts w:hint="cs"/>
          <w:rtl/>
        </w:rPr>
        <w:t xml:space="preserve"> (תיקון </w:t>
      </w:r>
      <w:r>
        <w:rPr>
          <w:rFonts w:hint="cs"/>
          <w:rtl/>
        </w:rPr>
        <w:t xml:space="preserve"> </w:t>
      </w:r>
      <w:r>
        <w:rPr>
          <w:rFonts w:hint="eastAsia"/>
          <w:rtl/>
        </w:rPr>
        <w:t>–</w:t>
      </w:r>
      <w:r>
        <w:rPr>
          <w:rFonts w:hint="cs"/>
          <w:rtl/>
        </w:rPr>
        <w:t xml:space="preserve"> מניעת הטבות הנובעות מריבוי בני זוג</w:t>
      </w:r>
      <w:r w:rsidRPr="00CF5BDF">
        <w:rPr>
          <w:rFonts w:hint="cs"/>
          <w:rtl/>
        </w:rPr>
        <w:t>)</w:t>
      </w:r>
      <w:r>
        <w:rPr>
          <w:rFonts w:hint="cs"/>
          <w:rtl/>
        </w:rPr>
        <w:t>, התשפ"ו</w:t>
      </w:r>
      <w:r w:rsidR="00786014">
        <w:rPr>
          <w:rFonts w:hint="eastAsia"/>
          <w:rtl/>
        </w:rPr>
        <w:t>–</w:t>
      </w:r>
      <w:r>
        <w:rPr>
          <w:rFonts w:hint="cs"/>
          <w:rtl/>
        </w:rPr>
        <w:t>2026</w:t>
      </w:r>
    </w:p>
    <w:p w14:paraId="523D3E49" w14:textId="77777777" w:rsidR="00786014" w:rsidRDefault="00786014" w:rsidP="00786014">
      <w:pPr>
        <w:pStyle w:val="HeadHatzaotHok"/>
        <w:keepNext w:val="0"/>
        <w:keepLines w:val="0"/>
        <w:spacing w:line="240" w:lineRule="auto"/>
        <w:rPr>
          <w:rtl/>
        </w:rPr>
      </w:pPr>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624"/>
        <w:gridCol w:w="6519"/>
      </w:tblGrid>
      <w:tr w:rsidR="00D50D9E" w14:paraId="64A2F197" w14:textId="77777777" w:rsidTr="00786014">
        <w:trPr>
          <w:cantSplit/>
        </w:trPr>
        <w:tc>
          <w:tcPr>
            <w:tcW w:w="1871" w:type="dxa"/>
          </w:tcPr>
          <w:p w14:paraId="5C3A78A8" w14:textId="77777777" w:rsidR="00D50D9E" w:rsidRDefault="00D50D9E" w:rsidP="008672A0">
            <w:pPr>
              <w:pStyle w:val="TableSideHeading"/>
              <w:keepLines w:val="0"/>
            </w:pPr>
            <w:r>
              <w:rPr>
                <w:rFonts w:hint="cs"/>
                <w:rtl/>
              </w:rPr>
              <w:t>תיקון סעיף 44</w:t>
            </w:r>
          </w:p>
        </w:tc>
        <w:tc>
          <w:tcPr>
            <w:tcW w:w="624" w:type="dxa"/>
          </w:tcPr>
          <w:p w14:paraId="4A33A6AA" w14:textId="3E1F42E7" w:rsidR="00D50D9E" w:rsidRDefault="00786014" w:rsidP="00786014">
            <w:pPr>
              <w:pStyle w:val="TableText"/>
              <w:keepLines w:val="0"/>
              <w:tabs>
                <w:tab w:val="clear" w:pos="624"/>
              </w:tabs>
            </w:pPr>
            <w:r>
              <w:rPr>
                <w:rFonts w:hint="cs"/>
                <w:rtl/>
              </w:rPr>
              <w:t>1.</w:t>
            </w:r>
          </w:p>
        </w:tc>
        <w:tc>
          <w:tcPr>
            <w:tcW w:w="7143" w:type="dxa"/>
            <w:gridSpan w:val="2"/>
          </w:tcPr>
          <w:p w14:paraId="3A8D953C" w14:textId="77777777" w:rsidR="00D50D9E" w:rsidRPr="00C34DE2" w:rsidRDefault="00D50D9E" w:rsidP="00786014">
            <w:pPr>
              <w:pStyle w:val="TableBlock"/>
              <w:rPr>
                <w:rtl/>
              </w:rPr>
            </w:pPr>
            <w:r>
              <w:rPr>
                <w:rFonts w:hint="cs"/>
                <w:rtl/>
              </w:rPr>
              <w:t>בחוק הביטוח הלאומי [נוסח משולב], התשנ"ה</w:t>
            </w:r>
            <w:r>
              <w:rPr>
                <w:rFonts w:hint="eastAsia"/>
                <w:rtl/>
              </w:rPr>
              <w:t>–</w:t>
            </w:r>
            <w:r>
              <w:rPr>
                <w:rFonts w:hint="cs"/>
                <w:rtl/>
              </w:rPr>
              <w:t>1995</w:t>
            </w:r>
            <w:r w:rsidRPr="00786014">
              <w:rPr>
                <w:rStyle w:val="a6"/>
                <w:rFonts w:ascii="David" w:hAnsi="David"/>
                <w:sz w:val="26"/>
                <w:rtl/>
              </w:rPr>
              <w:footnoteReference w:id="2"/>
            </w:r>
            <w:r>
              <w:rPr>
                <w:rFonts w:hint="cs"/>
                <w:rtl/>
              </w:rPr>
              <w:t xml:space="preserve"> (להלן </w:t>
            </w:r>
            <w:r>
              <w:rPr>
                <w:rtl/>
              </w:rPr>
              <w:t>–</w:t>
            </w:r>
            <w:r>
              <w:rPr>
                <w:rFonts w:hint="cs"/>
                <w:rtl/>
              </w:rPr>
              <w:t xml:space="preserve"> החוק העיקרי), בסעיף 44(א), בהגדרה "משפחה", בסופה יבוא "ואולם אם לאחד מהורי הילד יש בן זוג נוסף כמשמעותו בסעיף 320(י)(3) </w:t>
            </w:r>
            <w:r>
              <w:rPr>
                <w:rtl/>
              </w:rPr>
              <w:t>–</w:t>
            </w:r>
            <w:r>
              <w:rPr>
                <w:rFonts w:hint="cs"/>
                <w:rtl/>
              </w:rPr>
              <w:t xml:space="preserve"> ההורה וכל בני הזוג כאמור".</w:t>
            </w:r>
          </w:p>
        </w:tc>
      </w:tr>
      <w:tr w:rsidR="00D50D9E" w14:paraId="1A3BCC17" w14:textId="77777777" w:rsidTr="00786014">
        <w:tc>
          <w:tcPr>
            <w:tcW w:w="1871" w:type="dxa"/>
          </w:tcPr>
          <w:p w14:paraId="5A1B230B" w14:textId="77777777" w:rsidR="00D50D9E" w:rsidRDefault="00D50D9E" w:rsidP="008672A0">
            <w:pPr>
              <w:pStyle w:val="TableSideHeading"/>
              <w:keepLines w:val="0"/>
              <w:rPr>
                <w:rtl/>
              </w:rPr>
            </w:pPr>
            <w:r>
              <w:rPr>
                <w:rFonts w:hint="cs"/>
                <w:rtl/>
              </w:rPr>
              <w:t>תיקון סעיף 320</w:t>
            </w:r>
          </w:p>
        </w:tc>
        <w:tc>
          <w:tcPr>
            <w:tcW w:w="624" w:type="dxa"/>
          </w:tcPr>
          <w:p w14:paraId="5E1C3A21" w14:textId="677252FE" w:rsidR="00D50D9E" w:rsidRDefault="00D50D9E" w:rsidP="008672A0">
            <w:pPr>
              <w:pStyle w:val="TableText"/>
              <w:rPr>
                <w:rtl/>
              </w:rPr>
            </w:pPr>
            <w:r>
              <w:t>2</w:t>
            </w:r>
            <w:r>
              <w:rPr>
                <w:rFonts w:hint="cs"/>
                <w:rtl/>
              </w:rPr>
              <w:t>.</w:t>
            </w:r>
          </w:p>
        </w:tc>
        <w:tc>
          <w:tcPr>
            <w:tcW w:w="7143" w:type="dxa"/>
            <w:gridSpan w:val="2"/>
          </w:tcPr>
          <w:p w14:paraId="7BEEFBB8" w14:textId="77777777" w:rsidR="00D50D9E" w:rsidRDefault="00D50D9E" w:rsidP="00786014">
            <w:pPr>
              <w:pStyle w:val="TableBlock"/>
              <w:rPr>
                <w:rtl/>
              </w:rPr>
            </w:pPr>
            <w:r>
              <w:rPr>
                <w:rFonts w:hint="cs"/>
                <w:rtl/>
              </w:rPr>
              <w:t>בסעיף 320 לחוק העיקרי, אחרי סעיף קטן (ט) יבוא:</w:t>
            </w:r>
          </w:p>
        </w:tc>
      </w:tr>
      <w:tr w:rsidR="00786014" w14:paraId="1D428F75" w14:textId="77777777" w:rsidTr="007735A6">
        <w:tc>
          <w:tcPr>
            <w:tcW w:w="1871" w:type="dxa"/>
          </w:tcPr>
          <w:p w14:paraId="031146C8" w14:textId="77777777" w:rsidR="00786014" w:rsidRDefault="00786014" w:rsidP="008672A0">
            <w:pPr>
              <w:pStyle w:val="TableSideHeading"/>
            </w:pPr>
          </w:p>
        </w:tc>
        <w:tc>
          <w:tcPr>
            <w:tcW w:w="624" w:type="dxa"/>
          </w:tcPr>
          <w:p w14:paraId="48D51184" w14:textId="77777777" w:rsidR="00786014" w:rsidRDefault="00786014" w:rsidP="008672A0">
            <w:pPr>
              <w:pStyle w:val="TableText"/>
            </w:pPr>
          </w:p>
        </w:tc>
        <w:tc>
          <w:tcPr>
            <w:tcW w:w="624" w:type="dxa"/>
          </w:tcPr>
          <w:p w14:paraId="310DCAE6" w14:textId="22115EF1" w:rsidR="00786014" w:rsidRDefault="00786014" w:rsidP="008672A0">
            <w:pPr>
              <w:pStyle w:val="TableText"/>
            </w:pPr>
            <w:r>
              <w:rPr>
                <w:rFonts w:hint="cs"/>
                <w:rtl/>
              </w:rPr>
              <w:t>"(י)</w:t>
            </w:r>
            <w:r>
              <w:rPr>
                <w:rtl/>
              </w:rPr>
              <w:tab/>
            </w:r>
          </w:p>
        </w:tc>
        <w:tc>
          <w:tcPr>
            <w:tcW w:w="6519" w:type="dxa"/>
          </w:tcPr>
          <w:p w14:paraId="68F1BF3E" w14:textId="1FD3908E" w:rsidR="00786014" w:rsidRPr="00EA70DD" w:rsidRDefault="00786014" w:rsidP="00786014">
            <w:pPr>
              <w:pStyle w:val="TableBlock"/>
            </w:pPr>
            <w:r>
              <w:rPr>
                <w:rFonts w:hint="cs"/>
                <w:rtl/>
              </w:rPr>
              <w:t>(1)</w:t>
            </w:r>
            <w:r>
              <w:rPr>
                <w:rtl/>
              </w:rPr>
              <w:tab/>
            </w:r>
            <w:r>
              <w:rPr>
                <w:rFonts w:hint="cs"/>
                <w:rtl/>
              </w:rPr>
              <w:t xml:space="preserve">לא יהיה אדם זכאי לגמלה המגיעה לו לפי חוק זה מכוח היותו בן זוג או אלמן או אלמנה של מבוטח, אם למבוטח יש בן זוג נוסף או שהיה לו בן זוג נוסף בעת פטירתו, או אם לאותו אדם יש או היה בן זוג </w:t>
            </w:r>
            <w:r>
              <w:rPr>
                <w:rFonts w:hint="cs"/>
                <w:rtl/>
              </w:rPr>
              <w:lastRenderedPageBreak/>
              <w:t>נוסף בעת שהיה בן זוגו של המבוטח.</w:t>
            </w:r>
          </w:p>
        </w:tc>
      </w:tr>
      <w:tr w:rsidR="00786014" w14:paraId="715FE102" w14:textId="77777777" w:rsidTr="007B0A39">
        <w:trPr>
          <w:cantSplit/>
        </w:trPr>
        <w:tc>
          <w:tcPr>
            <w:tcW w:w="1871" w:type="dxa"/>
          </w:tcPr>
          <w:p w14:paraId="1D863E7E" w14:textId="77777777" w:rsidR="00786014" w:rsidRDefault="00786014" w:rsidP="008672A0">
            <w:pPr>
              <w:pStyle w:val="TableSideHeading"/>
            </w:pPr>
          </w:p>
        </w:tc>
        <w:tc>
          <w:tcPr>
            <w:tcW w:w="624" w:type="dxa"/>
          </w:tcPr>
          <w:p w14:paraId="42182A16" w14:textId="77777777" w:rsidR="00786014" w:rsidRDefault="00786014" w:rsidP="008672A0">
            <w:pPr>
              <w:pStyle w:val="TableText"/>
            </w:pPr>
          </w:p>
        </w:tc>
        <w:tc>
          <w:tcPr>
            <w:tcW w:w="624" w:type="dxa"/>
          </w:tcPr>
          <w:p w14:paraId="34135E51" w14:textId="77777777" w:rsidR="00786014" w:rsidRDefault="00786014" w:rsidP="008672A0">
            <w:pPr>
              <w:pStyle w:val="TableText"/>
            </w:pPr>
          </w:p>
        </w:tc>
        <w:tc>
          <w:tcPr>
            <w:tcW w:w="6519" w:type="dxa"/>
          </w:tcPr>
          <w:p w14:paraId="78B5CBFF" w14:textId="77777777" w:rsidR="00786014" w:rsidRPr="00EA70DD" w:rsidRDefault="00786014" w:rsidP="00786014">
            <w:pPr>
              <w:pStyle w:val="TableBlock"/>
            </w:pPr>
            <w:r>
              <w:rPr>
                <w:rFonts w:hint="cs"/>
                <w:rtl/>
              </w:rPr>
              <w:t>(2)</w:t>
            </w:r>
            <w:r>
              <w:rPr>
                <w:rtl/>
              </w:rPr>
              <w:tab/>
            </w:r>
            <w:r>
              <w:rPr>
                <w:rFonts w:hint="cs"/>
                <w:rtl/>
              </w:rPr>
              <w:t>לא יהיה מבוטח זכאי לתוספת לגמלה בעד בן זוג אם יש לו או לבן זוגו, בן זוג נוסף.</w:t>
            </w:r>
          </w:p>
        </w:tc>
      </w:tr>
      <w:tr w:rsidR="00786014" w14:paraId="69222993" w14:textId="77777777" w:rsidTr="007D2DB4">
        <w:trPr>
          <w:cantSplit/>
        </w:trPr>
        <w:tc>
          <w:tcPr>
            <w:tcW w:w="1871" w:type="dxa"/>
          </w:tcPr>
          <w:p w14:paraId="0647EECF" w14:textId="77777777" w:rsidR="00786014" w:rsidRDefault="00786014" w:rsidP="008672A0">
            <w:pPr>
              <w:pStyle w:val="TableSideHeading"/>
            </w:pPr>
          </w:p>
        </w:tc>
        <w:tc>
          <w:tcPr>
            <w:tcW w:w="624" w:type="dxa"/>
          </w:tcPr>
          <w:p w14:paraId="10A13007" w14:textId="77777777" w:rsidR="00786014" w:rsidRDefault="00786014" w:rsidP="008672A0">
            <w:pPr>
              <w:pStyle w:val="TableText"/>
            </w:pPr>
          </w:p>
        </w:tc>
        <w:tc>
          <w:tcPr>
            <w:tcW w:w="624" w:type="dxa"/>
          </w:tcPr>
          <w:p w14:paraId="12BC3232" w14:textId="77777777" w:rsidR="00786014" w:rsidRDefault="00786014" w:rsidP="008672A0">
            <w:pPr>
              <w:pStyle w:val="TableText"/>
            </w:pPr>
          </w:p>
        </w:tc>
        <w:tc>
          <w:tcPr>
            <w:tcW w:w="6519" w:type="dxa"/>
          </w:tcPr>
          <w:p w14:paraId="65BEF0A0" w14:textId="77777777" w:rsidR="00786014" w:rsidRPr="00EA70DD" w:rsidRDefault="00786014" w:rsidP="00786014">
            <w:pPr>
              <w:pStyle w:val="TableBlock"/>
            </w:pPr>
            <w:r>
              <w:rPr>
                <w:rFonts w:hint="cs"/>
                <w:rtl/>
              </w:rPr>
              <w:t>(3)</w:t>
            </w:r>
            <w:r>
              <w:rPr>
                <w:rtl/>
              </w:rPr>
              <w:tab/>
            </w:r>
            <w:r>
              <w:rPr>
                <w:rFonts w:hint="cs"/>
                <w:rtl/>
              </w:rPr>
              <w:t xml:space="preserve">לעניין סעיף קטן זה, "בן זוג נוסף" </w:t>
            </w:r>
            <w:r>
              <w:rPr>
                <w:rtl/>
              </w:rPr>
              <w:t>–</w:t>
            </w:r>
            <w:r>
              <w:rPr>
                <w:rFonts w:hint="cs"/>
                <w:rtl/>
              </w:rPr>
              <w:t xml:space="preserve"> למעט בנסיבות כאמור בסעיף 179 ו-180 לחוק העונשין שבהן לא היה אדם מורשע בעבירה לפי סעיף 176 לחוק האמור."</w:t>
            </w:r>
          </w:p>
        </w:tc>
      </w:tr>
    </w:tbl>
    <w:p w14:paraId="04D3A9ED" w14:textId="77777777" w:rsidR="00D50D9E" w:rsidRDefault="00D50D9E" w:rsidP="00D50D9E">
      <w:pPr>
        <w:pStyle w:val="HeadDivreiHesber"/>
        <w:rPr>
          <w:rtl/>
        </w:rPr>
      </w:pPr>
      <w:r>
        <w:rPr>
          <w:rFonts w:hint="cs"/>
          <w:rtl/>
        </w:rPr>
        <w:t>דברי הסבר</w:t>
      </w:r>
    </w:p>
    <w:p w14:paraId="472A8D37" w14:textId="1B225AF5" w:rsidR="00D50D9E" w:rsidRPr="00786014" w:rsidRDefault="00D50D9E" w:rsidP="00622B0B">
      <w:pPr>
        <w:pStyle w:val="Hesber"/>
        <w:rPr>
          <w:rtl/>
        </w:rPr>
      </w:pPr>
      <w:r w:rsidRPr="00786014">
        <w:rPr>
          <w:rtl/>
        </w:rPr>
        <w:t xml:space="preserve">הצעת חוק זו נועדה </w:t>
      </w:r>
      <w:r w:rsidRPr="00786014">
        <w:rPr>
          <w:rFonts w:hint="cs"/>
          <w:rtl/>
        </w:rPr>
        <w:t>למנוע קבלת הטבו</w:t>
      </w:r>
      <w:r w:rsidR="00622B0B">
        <w:rPr>
          <w:rFonts w:hint="cs"/>
          <w:rtl/>
        </w:rPr>
        <w:t>ת הנובעות ממצב של ריבוי נישואין</w:t>
      </w:r>
      <w:r w:rsidRPr="00786014">
        <w:rPr>
          <w:rFonts w:hint="cs"/>
          <w:rtl/>
        </w:rPr>
        <w:t xml:space="preserve"> כחלק</w:t>
      </w:r>
      <w:r w:rsidRPr="00786014">
        <w:rPr>
          <w:rtl/>
        </w:rPr>
        <w:t xml:space="preserve"> </w:t>
      </w:r>
      <w:r w:rsidRPr="00786014">
        <w:rPr>
          <w:rFonts w:hint="cs"/>
          <w:rtl/>
        </w:rPr>
        <w:t>מה</w:t>
      </w:r>
      <w:r w:rsidRPr="00786014">
        <w:rPr>
          <w:rtl/>
        </w:rPr>
        <w:t>מאבק נגד תופעת הפוליגמיה בישראל</w:t>
      </w:r>
      <w:r w:rsidRPr="00786014">
        <w:rPr>
          <w:rFonts w:hint="cs"/>
          <w:rtl/>
        </w:rPr>
        <w:t>. ריבוי נישואין הוא עבירה לפי סעיף 176 לחוק העונשין, התשל"ז</w:t>
      </w:r>
      <w:r w:rsidRPr="00786014">
        <w:rPr>
          <w:rFonts w:hint="eastAsia"/>
          <w:rtl/>
        </w:rPr>
        <w:t>–</w:t>
      </w:r>
      <w:r w:rsidRPr="00786014">
        <w:rPr>
          <w:rFonts w:hint="cs"/>
          <w:rtl/>
        </w:rPr>
        <w:t xml:space="preserve">1977 (להלן </w:t>
      </w:r>
      <w:r w:rsidRPr="00786014">
        <w:rPr>
          <w:rtl/>
        </w:rPr>
        <w:t>–</w:t>
      </w:r>
      <w:r w:rsidR="00622B0B">
        <w:rPr>
          <w:rFonts w:hint="cs"/>
          <w:rtl/>
        </w:rPr>
        <w:t xml:space="preserve"> חוק העונשין), </w:t>
      </w:r>
      <w:r w:rsidRPr="00786014">
        <w:rPr>
          <w:rFonts w:hint="cs"/>
          <w:rtl/>
        </w:rPr>
        <w:t>אולם על אף האיסור, המוסד לביטוח לאומי משלם לפי חוק הביטוח הלאומי [נוסח משולב], התשנ"ה</w:t>
      </w:r>
      <w:r w:rsidRPr="00786014">
        <w:rPr>
          <w:rFonts w:hint="eastAsia"/>
          <w:rtl/>
        </w:rPr>
        <w:t>–</w:t>
      </w:r>
      <w:r w:rsidRPr="00786014">
        <w:rPr>
          <w:rFonts w:hint="cs"/>
          <w:rtl/>
        </w:rPr>
        <w:t xml:space="preserve">1995 (להלן </w:t>
      </w:r>
      <w:r w:rsidRPr="00786014">
        <w:rPr>
          <w:rtl/>
        </w:rPr>
        <w:t>–</w:t>
      </w:r>
      <w:r w:rsidRPr="00786014">
        <w:rPr>
          <w:rFonts w:hint="cs"/>
          <w:rtl/>
        </w:rPr>
        <w:t xml:space="preserve"> חוק הביטוח הלאומי)</w:t>
      </w:r>
      <w:r w:rsidR="00622B0B">
        <w:rPr>
          <w:rFonts w:hint="cs"/>
          <w:rtl/>
        </w:rPr>
        <w:t>,</w:t>
      </w:r>
      <w:r w:rsidRPr="00786014">
        <w:rPr>
          <w:rFonts w:hint="cs"/>
          <w:rtl/>
        </w:rPr>
        <w:t xml:space="preserve"> קצבאות המגיעות לבני זוג </w:t>
      </w:r>
      <w:r w:rsidR="00622B0B" w:rsidRPr="00786014">
        <w:rPr>
          <w:rFonts w:hint="eastAsia"/>
          <w:rtl/>
        </w:rPr>
        <w:t>–</w:t>
      </w:r>
      <w:r w:rsidRPr="00786014">
        <w:rPr>
          <w:rFonts w:hint="cs"/>
          <w:rtl/>
        </w:rPr>
        <w:t xml:space="preserve"> לכמה בני זוג במשפחות פוליגמיות. כך למשל, ניתנת למבוטח הזכאי לקצבת נכות או קצבת אזרח ותיק תוספת עבור בן הזוג שתלוי בו </w:t>
      </w:r>
      <w:r w:rsidRPr="00786014">
        <w:rPr>
          <w:rtl/>
        </w:rPr>
        <w:t>–</w:t>
      </w:r>
      <w:r w:rsidRPr="00786014">
        <w:rPr>
          <w:rFonts w:hint="cs"/>
          <w:rtl/>
        </w:rPr>
        <w:t xml:space="preserve"> וכך במשפחה במבנה פוליגמי ייתכן שתשלום התוספת לקצבה ישולם למבוטח בעד מספר בני זוג התלויים בו, וכן יש גמלאות שניתנות לבן זוג של נכה </w:t>
      </w:r>
      <w:r w:rsidRPr="00786014">
        <w:rPr>
          <w:rtl/>
        </w:rPr>
        <w:t>–</w:t>
      </w:r>
      <w:r w:rsidRPr="00786014">
        <w:rPr>
          <w:rFonts w:hint="cs"/>
          <w:rtl/>
        </w:rPr>
        <w:t xml:space="preserve"> שיכולות להינתן למספר בני זוג. גם קצבת תלויים בנפגע עבודה, קצבת שאירים ומענק במקרה פטירה, המשולמים לבן זוג במקרה של פטירת המבוטח, עלולים להיות משולמים למספר בני זוג בשל מבוטח אחד שמצוי במסגרת משפחה במבנה פוליגמי.</w:t>
      </w:r>
    </w:p>
    <w:p w14:paraId="46783F96" w14:textId="6DAE1F23" w:rsidR="00D50D9E" w:rsidRPr="00786014" w:rsidRDefault="00D50D9E" w:rsidP="001D3AD7">
      <w:pPr>
        <w:pStyle w:val="Hesber"/>
        <w:rPr>
          <w:rtl/>
        </w:rPr>
      </w:pPr>
      <w:r w:rsidRPr="00786014">
        <w:rPr>
          <w:rFonts w:hint="cs"/>
          <w:rtl/>
        </w:rPr>
        <w:t>לפיכך מוצע לקבוע בסעיף 3</w:t>
      </w:r>
      <w:r w:rsidR="00FB4377">
        <w:rPr>
          <w:rFonts w:hint="cs"/>
          <w:rtl/>
        </w:rPr>
        <w:t xml:space="preserve">20 לחוק הביטוח הלאומי, שעניינו </w:t>
      </w:r>
      <w:r w:rsidRPr="00786014">
        <w:rPr>
          <w:rFonts w:hint="cs"/>
          <w:rtl/>
        </w:rPr>
        <w:t>מניעת גמלאות כפל, כי לא תהיה זכאות</w:t>
      </w:r>
      <w:r w:rsidR="001D3AD7">
        <w:rPr>
          <w:rFonts w:hint="cs"/>
          <w:rtl/>
        </w:rPr>
        <w:t xml:space="preserve"> לגמלה המגיעה לבן זוג או לאלמן</w:t>
      </w:r>
      <w:r w:rsidRPr="00786014">
        <w:rPr>
          <w:rFonts w:hint="cs"/>
          <w:rtl/>
        </w:rPr>
        <w:t xml:space="preserve"> של מבוטח </w:t>
      </w:r>
      <w:r w:rsidRPr="00786014">
        <w:rPr>
          <w:rtl/>
        </w:rPr>
        <w:t>אם למבוטח יש בן זוג נוסף</w:t>
      </w:r>
      <w:r w:rsidRPr="00786014">
        <w:rPr>
          <w:rFonts w:hint="cs"/>
          <w:rtl/>
        </w:rPr>
        <w:t xml:space="preserve"> במערכת פוליגמית שאסורה לפי חוק העונשין</w:t>
      </w:r>
      <w:r w:rsidR="00FB4377">
        <w:rPr>
          <w:rFonts w:hint="cs"/>
          <w:rtl/>
        </w:rPr>
        <w:t>,</w:t>
      </w:r>
      <w:r w:rsidRPr="00786014">
        <w:rPr>
          <w:rFonts w:hint="cs"/>
          <w:rtl/>
        </w:rPr>
        <w:t xml:space="preserve"> </w:t>
      </w:r>
      <w:r w:rsidR="00FB4377">
        <w:rPr>
          <w:rFonts w:hint="cs"/>
          <w:rtl/>
        </w:rPr>
        <w:t>אם</w:t>
      </w:r>
      <w:r w:rsidRPr="00786014">
        <w:rPr>
          <w:rtl/>
        </w:rPr>
        <w:t xml:space="preserve"> </w:t>
      </w:r>
      <w:r w:rsidR="00FB4377">
        <w:rPr>
          <w:rtl/>
        </w:rPr>
        <w:t xml:space="preserve">היה לו בן זוג נוסף </w:t>
      </w:r>
      <w:r w:rsidR="001D3AD7">
        <w:rPr>
          <w:rFonts w:hint="cs"/>
          <w:rtl/>
        </w:rPr>
        <w:t xml:space="preserve">כאמור </w:t>
      </w:r>
      <w:r w:rsidR="00FB4377">
        <w:rPr>
          <w:rtl/>
        </w:rPr>
        <w:t>בעת פטירתו</w:t>
      </w:r>
      <w:r w:rsidRPr="00786014">
        <w:rPr>
          <w:rtl/>
        </w:rPr>
        <w:t xml:space="preserve"> או אם לאותו אדם יש או היה בן זוג נוסף</w:t>
      </w:r>
      <w:r w:rsidRPr="00786014">
        <w:rPr>
          <w:rFonts w:hint="cs"/>
          <w:rtl/>
        </w:rPr>
        <w:t xml:space="preserve"> כאמור</w:t>
      </w:r>
      <w:r w:rsidRPr="00786014">
        <w:rPr>
          <w:rtl/>
        </w:rPr>
        <w:t xml:space="preserve"> בע</w:t>
      </w:r>
      <w:r w:rsidRPr="00786014">
        <w:rPr>
          <w:rFonts w:hint="cs"/>
          <w:rtl/>
        </w:rPr>
        <w:t>ת</w:t>
      </w:r>
      <w:r w:rsidRPr="00786014">
        <w:rPr>
          <w:rtl/>
        </w:rPr>
        <w:t xml:space="preserve"> שהיה בן זוגו של המבוטח.</w:t>
      </w:r>
      <w:r w:rsidRPr="00786014">
        <w:rPr>
          <w:rFonts w:hint="cs"/>
          <w:rtl/>
        </w:rPr>
        <w:t xml:space="preserve"> כמו כן מוצע לקבוע כי המבוטח לא יהיה </w:t>
      </w:r>
      <w:r w:rsidRPr="00786014">
        <w:rPr>
          <w:rtl/>
        </w:rPr>
        <w:t>זכאי לתוספת לגמלה בעד בן זוג אם יש לו או לבן זוגו, בן זוג נוסף</w:t>
      </w:r>
      <w:r w:rsidRPr="00786014">
        <w:rPr>
          <w:rFonts w:hint="cs"/>
          <w:rtl/>
        </w:rPr>
        <w:t xml:space="preserve"> כאמור</w:t>
      </w:r>
      <w:r w:rsidRPr="00786014">
        <w:rPr>
          <w:rtl/>
        </w:rPr>
        <w:t>.</w:t>
      </w:r>
      <w:r w:rsidR="00FB4377">
        <w:rPr>
          <w:rFonts w:hint="cs"/>
          <w:rtl/>
        </w:rPr>
        <w:t xml:space="preserve"> </w:t>
      </w:r>
      <w:r w:rsidR="001D3AD7">
        <w:rPr>
          <w:rFonts w:hint="cs"/>
          <w:rtl/>
        </w:rPr>
        <w:t>הדבר</w:t>
      </w:r>
      <w:r w:rsidRPr="00786014">
        <w:t xml:space="preserve"> </w:t>
      </w:r>
      <w:r w:rsidRPr="00786014">
        <w:rPr>
          <w:rFonts w:hint="cs"/>
          <w:rtl/>
        </w:rPr>
        <w:t xml:space="preserve">נועד למנוע זכאויות למתן קצבאות עבור בן זוג שנמצא במערכת פוליגמית, </w:t>
      </w:r>
      <w:r w:rsidR="001D3AD7">
        <w:rPr>
          <w:rFonts w:hint="cs"/>
          <w:rtl/>
        </w:rPr>
        <w:t>לעניין</w:t>
      </w:r>
      <w:r w:rsidRPr="00786014">
        <w:rPr>
          <w:rFonts w:hint="cs"/>
          <w:rtl/>
        </w:rPr>
        <w:t xml:space="preserve"> קצבת שאירים או קצבה לתלוי בנפגע עבודה, תוספת לקצבת נכות, או תוספת לקצבת אזרח ותיק. </w:t>
      </w:r>
      <w:bookmarkStart w:id="6" w:name="_GoBack"/>
      <w:bookmarkEnd w:id="6"/>
    </w:p>
    <w:p w14:paraId="0E2C37B6" w14:textId="77777777" w:rsidR="00D50D9E" w:rsidRPr="00786014" w:rsidRDefault="00D50D9E" w:rsidP="00786014">
      <w:pPr>
        <w:pStyle w:val="Hesber"/>
        <w:rPr>
          <w:rtl/>
        </w:rPr>
      </w:pPr>
      <w:r w:rsidRPr="00786014">
        <w:rPr>
          <w:rFonts w:hint="cs"/>
          <w:rtl/>
        </w:rPr>
        <w:t xml:space="preserve">נוסף על כך, סעיף 44 לחוק הביטוח הלאומי קובע כי לגבי הילד הראשון במשפחה יינתן למבוטחת מענק לידה בשיעור מוגדל משמעותית ולעניין זה מוגדרת משפחה לגבי בני זוג שהם הוריו של הילד </w:t>
      </w:r>
      <w:r w:rsidRPr="00786014">
        <w:rPr>
          <w:rtl/>
        </w:rPr>
        <w:t>–</w:t>
      </w:r>
      <w:r w:rsidRPr="00786014">
        <w:rPr>
          <w:rFonts w:hint="cs"/>
          <w:rtl/>
        </w:rPr>
        <w:t xml:space="preserve"> כך שבמשפחה במבנה פוליגמי יכול שיותר מילד ראשון אחד יקבל את המענק המוגדל. מוצע לקבוע כי אם המשפחה היא במבנה פוליגמי, קביעת הילד כילד ראשון תיעשה לגבי כל הילדים בתא המשפחתי.</w:t>
      </w:r>
    </w:p>
    <w:p w14:paraId="5161E8E7" w14:textId="77777777" w:rsidR="00D50D9E" w:rsidRPr="00786014" w:rsidRDefault="00D50D9E" w:rsidP="00786014">
      <w:pPr>
        <w:pStyle w:val="Hesber"/>
        <w:rPr>
          <w:rtl/>
        </w:rPr>
      </w:pPr>
      <w:r w:rsidRPr="00786014">
        <w:rPr>
          <w:rtl/>
        </w:rPr>
        <w:t>צעד</w:t>
      </w:r>
      <w:r w:rsidRPr="00786014">
        <w:rPr>
          <w:rFonts w:hint="cs"/>
          <w:rtl/>
        </w:rPr>
        <w:t>ים אלה ימנעו קבלת הטבות כתוצאה ממבנה משפחתי שמנוגד</w:t>
      </w:r>
      <w:r w:rsidRPr="00786014">
        <w:rPr>
          <w:rtl/>
        </w:rPr>
        <w:t xml:space="preserve"> לחוק ולתקנת הציבור בישראל</w:t>
      </w:r>
      <w:r w:rsidRPr="00786014">
        <w:rPr>
          <w:rFonts w:hint="cs"/>
          <w:rtl/>
        </w:rPr>
        <w:t>.</w:t>
      </w:r>
    </w:p>
    <w:p w14:paraId="7A311D7B" w14:textId="77777777" w:rsidR="00C63D03" w:rsidRDefault="00786014" w:rsidP="00786014">
      <w:pPr>
        <w:spacing w:line="240" w:lineRule="auto"/>
        <w:jc w:val="left"/>
      </w:pPr>
      <w:bookmarkStart w:id="7" w:name="selectedDocDateB"/>
      <w:bookmarkEnd w:id="7"/>
      <w:r>
        <w:rPr>
          <w:rFonts w:eastAsia="David" w:hint="cs"/>
          <w:sz w:val="26"/>
          <w:szCs w:val="26"/>
          <w:rtl/>
        </w:rPr>
        <w:t>--------------------------------</w:t>
      </w:r>
    </w:p>
    <w:p w14:paraId="4944F650" w14:textId="77777777" w:rsidR="00C63D03" w:rsidRDefault="00786014" w:rsidP="00786014">
      <w:pPr>
        <w:spacing w:line="240" w:lineRule="auto"/>
        <w:jc w:val="left"/>
      </w:pPr>
      <w:r>
        <w:rPr>
          <w:rFonts w:eastAsia="David" w:hint="cs"/>
          <w:sz w:val="26"/>
          <w:szCs w:val="26"/>
          <w:rtl/>
        </w:rPr>
        <w:t>הוגשה ליו"ר הכנסת והסגנים</w:t>
      </w:r>
    </w:p>
    <w:p w14:paraId="75AA3400" w14:textId="77777777" w:rsidR="00C63D03" w:rsidRDefault="00786014" w:rsidP="00786014">
      <w:pPr>
        <w:spacing w:line="240" w:lineRule="auto"/>
        <w:jc w:val="left"/>
      </w:pPr>
      <w:r>
        <w:rPr>
          <w:rFonts w:eastAsia="David" w:hint="cs"/>
          <w:sz w:val="26"/>
          <w:szCs w:val="26"/>
          <w:rtl/>
        </w:rPr>
        <w:t>והונחה על שולחן הכנסת ביום</w:t>
      </w:r>
    </w:p>
    <w:p w14:paraId="1D99D525" w14:textId="77777777" w:rsidR="00C63D03" w:rsidRDefault="00786014" w:rsidP="00786014">
      <w:pPr>
        <w:spacing w:line="240" w:lineRule="auto"/>
        <w:jc w:val="left"/>
      </w:pPr>
      <w:r>
        <w:rPr>
          <w:rFonts w:eastAsia="David" w:hint="cs"/>
          <w:sz w:val="26"/>
          <w:szCs w:val="26"/>
          <w:rtl/>
        </w:rPr>
        <w:t xml:space="preserve">ז' בתמוז התשפ"ו (22.06.2026) </w:t>
      </w:r>
    </w:p>
    <w:p w14:paraId="658A000F" w14:textId="77777777" w:rsidR="00C63D03" w:rsidRDefault="00C63D03">
      <w:pPr>
        <w:spacing w:line="276" w:lineRule="auto"/>
        <w:jc w:val="left"/>
      </w:pPr>
    </w:p>
    <w:sectPr w:rsidR="00C63D03" w:rsidSect="00786014">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64B1E32D"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1D3AD7">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786014">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4FD14946" w14:textId="77777777" w:rsidR="00D50D9E" w:rsidRDefault="00D50D9E" w:rsidP="00D50D9E">
      <w:pPr>
        <w:pStyle w:val="a4"/>
        <w:rPr>
          <w:rtl/>
        </w:rPr>
      </w:pPr>
      <w:r>
        <w:rPr>
          <w:rStyle w:val="a6"/>
        </w:rPr>
        <w:footnoteRef/>
      </w:r>
      <w:r>
        <w:rPr>
          <w:rtl/>
        </w:rPr>
        <w:t xml:space="preserve"> </w:t>
      </w:r>
      <w:r>
        <w:rPr>
          <w:rFonts w:hint="cs"/>
          <w:rtl/>
        </w:rPr>
        <w:t>ס"ח התשנ"ה, עמ' 210.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3AD7"/>
    <w:rsid w:val="001D7AAF"/>
    <w:rsid w:val="00203A7F"/>
    <w:rsid w:val="0021633A"/>
    <w:rsid w:val="002200A1"/>
    <w:rsid w:val="00224B16"/>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2B0B"/>
    <w:rsid w:val="0062674B"/>
    <w:rsid w:val="006363B2"/>
    <w:rsid w:val="00644940"/>
    <w:rsid w:val="006818A9"/>
    <w:rsid w:val="006A2D81"/>
    <w:rsid w:val="006C1D0D"/>
    <w:rsid w:val="0070601E"/>
    <w:rsid w:val="00712C72"/>
    <w:rsid w:val="00735FE9"/>
    <w:rsid w:val="00763CAA"/>
    <w:rsid w:val="00765F66"/>
    <w:rsid w:val="00786014"/>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276BF"/>
    <w:rsid w:val="00C310EB"/>
    <w:rsid w:val="00C63D03"/>
    <w:rsid w:val="00C9176A"/>
    <w:rsid w:val="00CF1AA2"/>
    <w:rsid w:val="00D142D3"/>
    <w:rsid w:val="00D17774"/>
    <w:rsid w:val="00D50D9E"/>
    <w:rsid w:val="00D63620"/>
    <w:rsid w:val="00D8410D"/>
    <w:rsid w:val="00D867D7"/>
    <w:rsid w:val="00DB7060"/>
    <w:rsid w:val="00DE24DB"/>
    <w:rsid w:val="00DE3153"/>
    <w:rsid w:val="00E06736"/>
    <w:rsid w:val="00E13C27"/>
    <w:rsid w:val="00E31EAF"/>
    <w:rsid w:val="00E33BBD"/>
    <w:rsid w:val="00E374F2"/>
    <w:rsid w:val="00E45103"/>
    <w:rsid w:val="00E55A60"/>
    <w:rsid w:val="00E62778"/>
    <w:rsid w:val="00E635A2"/>
    <w:rsid w:val="00E63D38"/>
    <w:rsid w:val="00E665B9"/>
    <w:rsid w:val="00EA01E6"/>
    <w:rsid w:val="00EA3DE8"/>
    <w:rsid w:val="00EA758F"/>
    <w:rsid w:val="00ED4A6F"/>
    <w:rsid w:val="00EF3A3A"/>
    <w:rsid w:val="00F2732B"/>
    <w:rsid w:val="00F628D6"/>
    <w:rsid w:val="00F67051"/>
    <w:rsid w:val="00F86A1E"/>
    <w:rsid w:val="00FA5E88"/>
    <w:rsid w:val="00FB43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69043AAA-ED00-441D-A8A5-3E10C328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6014"/>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786014"/>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786014"/>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786014"/>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786014"/>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786014"/>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786014"/>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786014"/>
    <w:rPr>
      <w:sz w:val="36"/>
      <w:szCs w:val="52"/>
    </w:rPr>
  </w:style>
  <w:style w:type="paragraph" w:customStyle="1" w:styleId="Cover3-Haknesset">
    <w:name w:val="Cover 3-Haknesset"/>
    <w:basedOn w:val="Cover1-Reshumot"/>
    <w:rsid w:val="00786014"/>
    <w:rPr>
      <w:b/>
      <w:bCs/>
      <w:spacing w:val="60"/>
    </w:rPr>
  </w:style>
  <w:style w:type="paragraph" w:customStyle="1" w:styleId="Cover4-Date">
    <w:name w:val="Cover 4-Date"/>
    <w:basedOn w:val="a"/>
    <w:rsid w:val="00786014"/>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786014"/>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786014"/>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786014"/>
    <w:pPr>
      <w:spacing w:before="120" w:after="120"/>
    </w:pPr>
    <w:rPr>
      <w:color w:val="FF0000"/>
      <w:w w:val="80"/>
    </w:rPr>
  </w:style>
  <w:style w:type="paragraph" w:styleId="a3">
    <w:name w:val="endnote text"/>
    <w:basedOn w:val="a"/>
    <w:semiHidden/>
    <w:rsid w:val="00786014"/>
    <w:pPr>
      <w:ind w:left="227" w:hanging="227"/>
    </w:pPr>
    <w:rPr>
      <w:sz w:val="14"/>
      <w:szCs w:val="22"/>
    </w:rPr>
  </w:style>
  <w:style w:type="paragraph" w:customStyle="1" w:styleId="TableText">
    <w:name w:val="Table Text"/>
    <w:basedOn w:val="a"/>
    <w:rsid w:val="00786014"/>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786014"/>
    <w:pPr>
      <w:outlineLvl w:val="2"/>
    </w:pPr>
  </w:style>
  <w:style w:type="paragraph" w:customStyle="1" w:styleId="TableBlock">
    <w:name w:val="Table Block"/>
    <w:basedOn w:val="TableText"/>
    <w:rsid w:val="00786014"/>
    <w:pPr>
      <w:jc w:val="both"/>
    </w:pPr>
  </w:style>
  <w:style w:type="paragraph" w:customStyle="1" w:styleId="TableHead">
    <w:name w:val="Table Head"/>
    <w:basedOn w:val="TableText"/>
    <w:rsid w:val="00786014"/>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786014"/>
    <w:pPr>
      <w:outlineLvl w:val="9"/>
    </w:pPr>
  </w:style>
  <w:style w:type="paragraph" w:customStyle="1" w:styleId="Hesber">
    <w:name w:val="Hesber"/>
    <w:basedOn w:val="a"/>
    <w:rsid w:val="00786014"/>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786014"/>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786014"/>
    <w:rPr>
      <w:vertAlign w:val="superscript"/>
    </w:rPr>
  </w:style>
  <w:style w:type="paragraph" w:customStyle="1" w:styleId="HesberHeading">
    <w:name w:val="Hesber Heading"/>
    <w:basedOn w:val="Hesber"/>
    <w:rsid w:val="00786014"/>
    <w:pPr>
      <w:tabs>
        <w:tab w:val="left" w:pos="624"/>
        <w:tab w:val="left" w:pos="1247"/>
      </w:tabs>
    </w:pPr>
    <w:rPr>
      <w:b/>
      <w:bCs/>
    </w:rPr>
  </w:style>
  <w:style w:type="paragraph" w:customStyle="1" w:styleId="HesberWriters">
    <w:name w:val="Hesber Writers"/>
    <w:basedOn w:val="Hesber"/>
    <w:rsid w:val="00786014"/>
    <w:pPr>
      <w:spacing w:before="120" w:after="120"/>
      <w:ind w:left="1418"/>
      <w:jc w:val="right"/>
    </w:pPr>
    <w:rPr>
      <w:b/>
      <w:bCs/>
    </w:rPr>
  </w:style>
  <w:style w:type="paragraph" w:customStyle="1" w:styleId="Hesber1st">
    <w:name w:val="Hesber 1st"/>
    <w:basedOn w:val="Hesber"/>
    <w:rsid w:val="00786014"/>
    <w:pPr>
      <w:tabs>
        <w:tab w:val="left" w:pos="680"/>
        <w:tab w:val="left" w:pos="1020"/>
      </w:tabs>
      <w:ind w:firstLine="0"/>
    </w:pPr>
  </w:style>
  <w:style w:type="character" w:styleId="a7">
    <w:name w:val="endnote reference"/>
    <w:basedOn w:val="a0"/>
    <w:semiHidden/>
    <w:rsid w:val="00786014"/>
    <w:rPr>
      <w:vertAlign w:val="superscript"/>
    </w:rPr>
  </w:style>
  <w:style w:type="paragraph" w:customStyle="1" w:styleId="TableBlockOutdent">
    <w:name w:val="Table BlockOutdent"/>
    <w:basedOn w:val="TableBlock"/>
    <w:rsid w:val="00786014"/>
    <w:pPr>
      <w:ind w:left="624" w:hanging="624"/>
    </w:pPr>
  </w:style>
  <w:style w:type="paragraph" w:styleId="a8">
    <w:name w:val="header"/>
    <w:basedOn w:val="a"/>
    <w:rsid w:val="00786014"/>
    <w:pPr>
      <w:tabs>
        <w:tab w:val="center" w:pos="4153"/>
        <w:tab w:val="right" w:pos="8306"/>
      </w:tabs>
    </w:pPr>
  </w:style>
  <w:style w:type="paragraph" w:styleId="a9">
    <w:name w:val="footer"/>
    <w:basedOn w:val="a"/>
    <w:rsid w:val="00786014"/>
    <w:pPr>
      <w:tabs>
        <w:tab w:val="center" w:pos="4153"/>
        <w:tab w:val="right" w:pos="8306"/>
      </w:tabs>
    </w:pPr>
  </w:style>
  <w:style w:type="paragraph" w:customStyle="1" w:styleId="HeadDivreiHesber">
    <w:name w:val="Head DivreiHesber"/>
    <w:basedOn w:val="a"/>
    <w:rsid w:val="00786014"/>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786014"/>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786014"/>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E31EAF"/>
    <w:rPr>
      <w:rFonts w:ascii="Arial" w:eastAsia="Arial Unicode MS" w:hAnsi="Arial" w:cs="David"/>
      <w:snapToGrid w:val="0"/>
      <w:sz w:val="14"/>
    </w:rPr>
  </w:style>
  <w:style w:type="character" w:customStyle="1" w:styleId="10">
    <w:name w:val="כותרת 1 תו"/>
    <w:basedOn w:val="a0"/>
    <w:link w:val="1"/>
    <w:uiPriority w:val="9"/>
    <w:rsid w:val="00786014"/>
    <w:rPr>
      <w:rFonts w:asciiTheme="majorHAnsi" w:eastAsiaTheme="majorEastAsia" w:hAnsiTheme="majorHAnsi" w:cs="David"/>
      <w:bCs/>
      <w:sz w:val="32"/>
      <w:szCs w:val="36"/>
    </w:rPr>
  </w:style>
  <w:style w:type="character" w:customStyle="1" w:styleId="20">
    <w:name w:val="כותרת 2 תו"/>
    <w:basedOn w:val="a0"/>
    <w:link w:val="2"/>
    <w:rsid w:val="00786014"/>
    <w:rPr>
      <w:rFonts w:asciiTheme="majorHAnsi" w:eastAsiaTheme="majorEastAsia" w:hAnsiTheme="majorHAnsi" w:cs="David"/>
      <w:bCs/>
      <w:sz w:val="26"/>
      <w:szCs w:val="36"/>
      <w:u w:val="single"/>
    </w:rPr>
  </w:style>
  <w:style w:type="character" w:customStyle="1" w:styleId="30">
    <w:name w:val="כותרת 3 תו"/>
    <w:basedOn w:val="a0"/>
    <w:link w:val="3"/>
    <w:rsid w:val="00786014"/>
    <w:rPr>
      <w:rFonts w:asciiTheme="majorHAnsi" w:eastAsiaTheme="majorEastAsia" w:hAnsiTheme="majorHAnsi" w:cs="David"/>
      <w:sz w:val="24"/>
      <w:szCs w:val="28"/>
      <w:u w:val="double"/>
    </w:rPr>
  </w:style>
  <w:style w:type="character" w:customStyle="1" w:styleId="40">
    <w:name w:val="כותרת 4 תו"/>
    <w:basedOn w:val="a0"/>
    <w:link w:val="4"/>
    <w:uiPriority w:val="9"/>
    <w:rsid w:val="00786014"/>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786014"/>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786014"/>
    <w:pPr>
      <w:widowControl/>
      <w:spacing w:before="120" w:after="120"/>
      <w:outlineLvl w:val="9"/>
    </w:pPr>
    <w:rPr>
      <w:rtl/>
      <w:cs/>
    </w:rPr>
  </w:style>
  <w:style w:type="paragraph" w:styleId="TOC1">
    <w:name w:val="toc 1"/>
    <w:basedOn w:val="a"/>
    <w:next w:val="a"/>
    <w:autoRedefine/>
    <w:uiPriority w:val="39"/>
    <w:unhideWhenUsed/>
    <w:rsid w:val="00786014"/>
    <w:pPr>
      <w:tabs>
        <w:tab w:val="right" w:leader="dot" w:pos="9629"/>
      </w:tabs>
      <w:spacing w:after="100"/>
    </w:pPr>
    <w:rPr>
      <w:bCs/>
      <w:szCs w:val="22"/>
    </w:rPr>
  </w:style>
  <w:style w:type="paragraph" w:styleId="TOC2">
    <w:name w:val="toc 2"/>
    <w:basedOn w:val="a"/>
    <w:next w:val="a"/>
    <w:uiPriority w:val="39"/>
    <w:unhideWhenUsed/>
    <w:rsid w:val="00786014"/>
    <w:pPr>
      <w:tabs>
        <w:tab w:val="right" w:leader="dot" w:pos="9628"/>
      </w:tabs>
      <w:spacing w:after="100"/>
    </w:pPr>
    <w:rPr>
      <w:szCs w:val="22"/>
    </w:rPr>
  </w:style>
  <w:style w:type="character" w:styleId="Hyperlink">
    <w:name w:val="Hyperlink"/>
    <w:basedOn w:val="a0"/>
    <w:uiPriority w:val="99"/>
    <w:unhideWhenUsed/>
    <w:rsid w:val="00786014"/>
    <w:rPr>
      <w:color w:val="0000FF" w:themeColor="hyperlink"/>
      <w:u w:val="single"/>
    </w:rPr>
  </w:style>
  <w:style w:type="paragraph" w:styleId="TOC3">
    <w:name w:val="toc 3"/>
    <w:basedOn w:val="a"/>
    <w:next w:val="a"/>
    <w:uiPriority w:val="39"/>
    <w:unhideWhenUsed/>
    <w:rsid w:val="00786014"/>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786014"/>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786014"/>
    <w:pPr>
      <w:tabs>
        <w:tab w:val="right" w:leader="dot" w:pos="9628"/>
      </w:tabs>
      <w:spacing w:after="100"/>
      <w:ind w:left="567"/>
    </w:pPr>
    <w:rPr>
      <w:szCs w:val="22"/>
    </w:rPr>
  </w:style>
  <w:style w:type="paragraph" w:styleId="TOC6">
    <w:name w:val="toc 6"/>
    <w:basedOn w:val="a"/>
    <w:next w:val="a"/>
    <w:autoRedefine/>
    <w:semiHidden/>
    <w:unhideWhenUsed/>
    <w:rsid w:val="00786014"/>
    <w:pPr>
      <w:spacing w:after="100"/>
      <w:ind w:left="850"/>
    </w:pPr>
  </w:style>
  <w:style w:type="paragraph" w:styleId="TOC7">
    <w:name w:val="toc 7"/>
    <w:basedOn w:val="a"/>
    <w:next w:val="a"/>
    <w:autoRedefine/>
    <w:semiHidden/>
    <w:unhideWhenUsed/>
    <w:rsid w:val="00786014"/>
    <w:pPr>
      <w:spacing w:after="100"/>
      <w:ind w:left="1020"/>
    </w:pPr>
  </w:style>
  <w:style w:type="paragraph" w:styleId="TOC8">
    <w:name w:val="toc 8"/>
    <w:basedOn w:val="a"/>
    <w:next w:val="a"/>
    <w:autoRedefine/>
    <w:semiHidden/>
    <w:unhideWhenUsed/>
    <w:rsid w:val="00786014"/>
    <w:pPr>
      <w:spacing w:after="100"/>
      <w:ind w:left="1190"/>
    </w:pPr>
  </w:style>
  <w:style w:type="paragraph" w:styleId="TOC9">
    <w:name w:val="toc 9"/>
    <w:basedOn w:val="a"/>
    <w:next w:val="a"/>
    <w:autoRedefine/>
    <w:semiHidden/>
    <w:unhideWhenUsed/>
    <w:rsid w:val="00786014"/>
    <w:pPr>
      <w:spacing w:after="100"/>
      <w:ind w:left="1360"/>
    </w:pPr>
  </w:style>
  <w:style w:type="paragraph" w:customStyle="1" w:styleId="TableHead2">
    <w:name w:val="Table Head2"/>
    <w:basedOn w:val="TableHead"/>
    <w:qFormat/>
    <w:rsid w:val="00786014"/>
    <w:pPr>
      <w:outlineLvl w:val="9"/>
    </w:pPr>
  </w:style>
  <w:style w:type="paragraph" w:customStyle="1" w:styleId="TableSideHeading2">
    <w:name w:val="Table SideHeading2"/>
    <w:basedOn w:val="TableSideHeading"/>
    <w:autoRedefine/>
    <w:qFormat/>
    <w:rsid w:val="00786014"/>
    <w:pPr>
      <w:keepLines w:val="0"/>
      <w:outlineLvl w:val="9"/>
    </w:pPr>
  </w:style>
  <w:style w:type="paragraph" w:customStyle="1" w:styleId="0">
    <w:name w:val="סגנון שורה ראשונה:  0  ס''מ"/>
    <w:basedOn w:val="2"/>
    <w:rsid w:val="00786014"/>
    <w:rPr>
      <w:rFonts w:eastAsia="Times New Roman"/>
    </w:rPr>
  </w:style>
  <w:style w:type="paragraph" w:styleId="af">
    <w:name w:val="List Paragraph"/>
    <w:basedOn w:val="a"/>
    <w:uiPriority w:val="34"/>
    <w:qFormat/>
    <w:rsid w:val="00786014"/>
    <w:pPr>
      <w:widowControl/>
      <w:spacing w:line="259" w:lineRule="auto"/>
    </w:pPr>
    <w:rPr>
      <w:rFonts w:asciiTheme="minorHAnsi" w:hAnsiTheme="minorHAnsi"/>
      <w:sz w:val="22"/>
    </w:rPr>
  </w:style>
  <w:style w:type="table" w:styleId="af0">
    <w:name w:val="Table Grid"/>
    <w:basedOn w:val="a1"/>
    <w:rsid w:val="007860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78601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78601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786014"/>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786014"/>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96C418DE-E4E7-4EDA-AC95-698AEF09D4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F4AFE3-9455-419C-8851-785A55F44517}">
  <ds:schemaRefs>
    <ds:schemaRef ds:uri="http://schemas.microsoft.com/office/2006/documentManagement/types"/>
    <ds:schemaRef ds:uri="http://purl.org/dc/dcmitype/"/>
    <ds:schemaRef ds:uri="http://schemas.openxmlformats.org/package/2006/metadata/core-properties"/>
    <ds:schemaRef ds:uri="http://schemas.microsoft.com/office/2006/metadata/properties"/>
    <ds:schemaRef ds:uri="http://purl.org/dc/terms/"/>
    <ds:schemaRef ds:uri="http://purl.org/dc/elements/1.1/"/>
    <ds:schemaRef ds:uri="http://schemas.microsoft.com/office/infopath/2007/PartnerControls"/>
    <ds:schemaRef ds:uri="290d5b49-c690-4c6f-bbb9-1e50dab33eee"/>
    <ds:schemaRef ds:uri="http://www.w3.org/XML/1998/namespace"/>
  </ds:schemaRefs>
</ds:datastoreItem>
</file>

<file path=customXml/itemProps4.xml><?xml version="1.0" encoding="utf-8"?>
<ds:datastoreItem xmlns:ds="http://schemas.openxmlformats.org/officeDocument/2006/customXml" ds:itemID="{6F40E8E9-83C3-4C90-AB74-007D831E6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529</Words>
  <Characters>2648</Characters>
  <Application>Microsoft Office Word</Application>
  <DocSecurity>0</DocSecurity>
  <Lines>22</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13</cp:revision>
  <cp:lastPrinted>2026-06-28T07:40:00Z</cp:lastPrinted>
  <dcterms:created xsi:type="dcterms:W3CDTF">2015-04-20T09:58:00Z</dcterms:created>
  <dcterms:modified xsi:type="dcterms:W3CDTF">2026-06-28T07:42:00Z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2244563</vt:r8>
  </property>
</Properties>
</file>