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C19459" w14:textId="77777777" w:rsidR="00082DBE" w:rsidRPr="00E635A2" w:rsidRDefault="00082DBE" w:rsidP="00082DBE">
      <w:pPr>
        <w:jc w:val="right"/>
        <w:rPr>
          <w:b/>
          <w:bCs/>
          <w:sz w:val="20"/>
          <w:szCs w:val="20"/>
        </w:rPr>
      </w:pPr>
      <w:r w:rsidRPr="00E635A2">
        <w:rPr>
          <w:rFonts w:hint="cs"/>
          <w:sz w:val="20"/>
          <w:szCs w:val="20"/>
          <w:rtl/>
        </w:rPr>
        <w:t xml:space="preserve">מספר פנימי: </w:t>
      </w:r>
      <w:r>
        <w:rPr>
          <w:rFonts w:hint="cs"/>
          <w:sz w:val="20"/>
          <w:szCs w:val="20"/>
          <w:rtl/>
        </w:rPr>
        <w:t>2241135</w:t>
      </w:r>
    </w:p>
    <w:p w14:paraId="2564E7CF" w14:textId="77777777" w:rsidR="00082DBE" w:rsidRPr="00DB7060" w:rsidRDefault="00082DBE" w:rsidP="00082DBE">
      <w:pPr>
        <w:pStyle w:val="HeadHatzaotHok"/>
        <w:rPr>
          <w:sz w:val="28"/>
          <w:szCs w:val="28"/>
          <w:rtl/>
        </w:rPr>
      </w:pPr>
      <w:r w:rsidRPr="00DB7060">
        <w:rPr>
          <w:rFonts w:hint="cs"/>
          <w:sz w:val="28"/>
          <w:szCs w:val="28"/>
          <w:rtl/>
        </w:rPr>
        <w:t xml:space="preserve">הכנסת </w:t>
      </w:r>
      <w:r>
        <w:rPr>
          <w:rFonts w:hint="cs"/>
          <w:sz w:val="28"/>
          <w:szCs w:val="28"/>
          <w:rtl/>
        </w:rPr>
        <w:t>העשרים וחמש</w:t>
      </w:r>
    </w:p>
    <w:p w14:paraId="2B1DC2FF" w14:textId="77777777" w:rsidR="00082DBE" w:rsidRPr="00F67051" w:rsidRDefault="00082DBE" w:rsidP="00082DBE">
      <w:pPr>
        <w:rPr>
          <w:b/>
          <w:bCs/>
          <w:sz w:val="26"/>
          <w:szCs w:val="26"/>
          <w:rtl/>
        </w:rPr>
      </w:pPr>
    </w:p>
    <w:p w14:paraId="2FCE7F76" w14:textId="2A6690EA" w:rsidR="00082DBE" w:rsidRPr="00CF1AA2" w:rsidRDefault="00082DBE" w:rsidP="001653F3">
      <w:pPr>
        <w:pStyle w:val="David"/>
        <w:ind w:left="3544"/>
        <w:rPr>
          <w:b/>
          <w:bCs/>
          <w:sz w:val="16"/>
          <w:szCs w:val="16"/>
          <w:rtl/>
        </w:rPr>
      </w:pPr>
      <w:r>
        <w:rPr>
          <w:b/>
          <w:bCs/>
          <w:rtl/>
        </w:rPr>
        <w:t>יוזמת:</w:t>
      </w:r>
      <w:r>
        <w:tab/>
      </w:r>
      <w:r>
        <w:rPr>
          <w:b/>
          <w:bCs/>
          <w:rtl/>
        </w:rPr>
        <w:t xml:space="preserve">      חברת הכנסת</w:t>
      </w:r>
      <w:r>
        <w:rPr>
          <w:b/>
          <w:bCs/>
        </w:rPr>
        <w:t xml:space="preserve"> </w:t>
      </w:r>
      <w:r>
        <w:rPr>
          <w:rFonts w:hint="cs"/>
          <w:b/>
          <w:bCs/>
          <w:rtl/>
        </w:rPr>
        <w:t xml:space="preserve">      עדי עזוז</w:t>
      </w:r>
      <w:r w:rsidRPr="00F67051">
        <w:rPr>
          <w:b/>
          <w:bCs/>
        </w:rPr>
        <w:tab/>
      </w:r>
      <w:r w:rsidRPr="00CF1AA2">
        <w:rPr>
          <w:rFonts w:hint="cs"/>
          <w:rtl/>
        </w:rPr>
        <w:tab/>
      </w:r>
      <w:r>
        <w:rPr>
          <w:rFonts w:hint="cs"/>
          <w:rtl/>
        </w:rPr>
        <w:t xml:space="preserve"> </w:t>
      </w:r>
    </w:p>
    <w:p w14:paraId="134E4A26" w14:textId="77777777" w:rsidR="00F66B65" w:rsidRDefault="00082DBE" w:rsidP="00082DBE">
      <w:pPr>
        <w:pStyle w:val="David"/>
        <w:spacing w:line="240" w:lineRule="auto"/>
        <w:ind w:left="3544"/>
        <w:rPr>
          <w:rtl/>
        </w:rPr>
      </w:pPr>
      <w:r>
        <w:t xml:space="preserve">______________________________________________  </w:t>
      </w:r>
      <w:r w:rsidR="00F66B65">
        <w:rPr>
          <w:rtl/>
        </w:rPr>
        <w:tab/>
      </w:r>
      <w:r w:rsidR="00F66B65">
        <w:rPr>
          <w:rtl/>
        </w:rPr>
        <w:tab/>
      </w:r>
      <w:r w:rsidR="00F66B65">
        <w:rPr>
          <w:rtl/>
        </w:rPr>
        <w:tab/>
      </w:r>
      <w:r w:rsidR="00F66B65">
        <w:rPr>
          <w:rtl/>
        </w:rPr>
        <w:tab/>
      </w:r>
      <w:r w:rsidR="00F66B65">
        <w:rPr>
          <w:rtl/>
        </w:rPr>
        <w:tab/>
      </w:r>
    </w:p>
    <w:p w14:paraId="345EB86C" w14:textId="2770BAFB" w:rsidR="00F66B65" w:rsidRDefault="00154A1B" w:rsidP="00154A1B">
      <w:pPr>
        <w:pStyle w:val="David"/>
        <w:spacing w:line="240" w:lineRule="auto"/>
        <w:ind w:left="6044"/>
        <w:rPr>
          <w:rtl/>
        </w:rPr>
      </w:pPr>
      <w:r>
        <w:rPr>
          <w:rFonts w:hint="cs"/>
          <w:rtl/>
        </w:rPr>
        <w:t xml:space="preserve">     </w:t>
      </w:r>
      <w:r w:rsidR="00F66B65">
        <w:rPr>
          <w:rFonts w:hint="cs"/>
          <w:rtl/>
        </w:rPr>
        <w:t>פ/6794/25</w:t>
      </w:r>
    </w:p>
    <w:p w14:paraId="4E5DE239" w14:textId="77777777" w:rsidR="00F66B65" w:rsidRDefault="00F66B65" w:rsidP="00082DBE">
      <w:pPr>
        <w:pStyle w:val="David"/>
        <w:spacing w:line="240" w:lineRule="auto"/>
        <w:ind w:left="3544"/>
        <w:rPr>
          <w:rtl/>
        </w:rPr>
      </w:pPr>
    </w:p>
    <w:p w14:paraId="3BD28ABC" w14:textId="0B198A12" w:rsidR="00082DBE" w:rsidRDefault="00082DBE" w:rsidP="00082DBE">
      <w:pPr>
        <w:pStyle w:val="HeadHatzaotHok"/>
        <w:rPr>
          <w:rtl/>
        </w:rPr>
      </w:pPr>
      <w:r>
        <w:rPr>
          <w:rFonts w:hint="cs"/>
          <w:rtl/>
        </w:rPr>
        <w:t xml:space="preserve">הצעת חוק </w:t>
      </w:r>
      <w:r w:rsidRPr="004F48A0">
        <w:rPr>
          <w:rtl/>
        </w:rPr>
        <w:t>שיווי זכויות הא</w:t>
      </w:r>
      <w:r w:rsidR="00F31ED5">
        <w:rPr>
          <w:rFonts w:hint="cs"/>
          <w:rtl/>
        </w:rPr>
        <w:t>י</w:t>
      </w:r>
      <w:r w:rsidRPr="004F48A0">
        <w:rPr>
          <w:rtl/>
        </w:rPr>
        <w:t>שה</w:t>
      </w:r>
      <w:r>
        <w:rPr>
          <w:rFonts w:hint="cs"/>
          <w:rtl/>
        </w:rPr>
        <w:t xml:space="preserve"> (תיקון </w:t>
      </w:r>
      <w:r>
        <w:rPr>
          <w:rFonts w:hint="eastAsia"/>
          <w:rtl/>
        </w:rPr>
        <w:t>–</w:t>
      </w:r>
      <w:r>
        <w:rPr>
          <w:rFonts w:hint="cs"/>
          <w:rtl/>
        </w:rPr>
        <w:t xml:space="preserve"> הרחבת מטרות המאגר), התשפ"ו</w:t>
      </w:r>
      <w:r>
        <w:rPr>
          <w:rtl/>
        </w:rPr>
        <w:t>–</w:t>
      </w:r>
      <w:r>
        <w:rPr>
          <w:rFonts w:hint="cs"/>
          <w:rtl/>
        </w:rPr>
        <w:t>2026</w:t>
      </w:r>
    </w:p>
    <w:p w14:paraId="40E4C461" w14:textId="77777777" w:rsidR="00F66B65" w:rsidRDefault="00F66B65" w:rsidP="00082DBE">
      <w:pPr>
        <w:pStyle w:val="HeadHatzaotHok"/>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0"/>
        <w:gridCol w:w="624"/>
        <w:gridCol w:w="624"/>
        <w:gridCol w:w="624"/>
        <w:gridCol w:w="5896"/>
      </w:tblGrid>
      <w:tr w:rsidR="00082DBE" w14:paraId="23F95788" w14:textId="77777777" w:rsidTr="00584870">
        <w:trPr>
          <w:cantSplit/>
        </w:trPr>
        <w:tc>
          <w:tcPr>
            <w:tcW w:w="1870" w:type="dxa"/>
          </w:tcPr>
          <w:p w14:paraId="1721322E" w14:textId="77777777" w:rsidR="00082DBE" w:rsidRDefault="00082DBE" w:rsidP="00AF7F24">
            <w:pPr>
              <w:pStyle w:val="TableSideHeading"/>
            </w:pPr>
            <w:r>
              <w:rPr>
                <w:rFonts w:hint="cs"/>
                <w:rtl/>
              </w:rPr>
              <w:t>תיקון סעיף 6ג</w:t>
            </w:r>
          </w:p>
        </w:tc>
        <w:tc>
          <w:tcPr>
            <w:tcW w:w="624" w:type="dxa"/>
          </w:tcPr>
          <w:p w14:paraId="6F8EC70E" w14:textId="77777777" w:rsidR="00082DBE" w:rsidRDefault="00082DBE" w:rsidP="00AF7F24">
            <w:pPr>
              <w:pStyle w:val="TableText"/>
              <w:numPr>
                <w:ilvl w:val="0"/>
                <w:numId w:val="15"/>
              </w:numPr>
            </w:pPr>
          </w:p>
        </w:tc>
        <w:tc>
          <w:tcPr>
            <w:tcW w:w="7144" w:type="dxa"/>
            <w:gridSpan w:val="3"/>
          </w:tcPr>
          <w:p w14:paraId="537754B4" w14:textId="3D37A6C9" w:rsidR="00082DBE" w:rsidRPr="00F66B65" w:rsidRDefault="00082DBE" w:rsidP="00382F60">
            <w:pPr>
              <w:pStyle w:val="TableBlock"/>
            </w:pPr>
            <w:r w:rsidRPr="00F66B65">
              <w:rPr>
                <w:rFonts w:hint="cs"/>
                <w:rtl/>
              </w:rPr>
              <w:t>בח</w:t>
            </w:r>
            <w:r w:rsidRPr="00F66B65">
              <w:rPr>
                <w:rtl/>
              </w:rPr>
              <w:t>וק שיווי זכויות ה</w:t>
            </w:r>
            <w:r w:rsidR="00A35312">
              <w:rPr>
                <w:rtl/>
              </w:rPr>
              <w:t>אישה</w:t>
            </w:r>
            <w:r w:rsidRPr="00F66B65">
              <w:rPr>
                <w:rtl/>
              </w:rPr>
              <w:t xml:space="preserve">, </w:t>
            </w:r>
            <w:r w:rsidRPr="00F66B65">
              <w:rPr>
                <w:rFonts w:hint="cs"/>
                <w:rtl/>
              </w:rPr>
              <w:t>ה</w:t>
            </w:r>
            <w:r w:rsidRPr="00F66B65">
              <w:rPr>
                <w:rtl/>
              </w:rPr>
              <w:t>תשי"א</w:t>
            </w:r>
            <w:r w:rsidRPr="00F66B65">
              <w:rPr>
                <w:rFonts w:hint="cs"/>
                <w:rtl/>
              </w:rPr>
              <w:t>–</w:t>
            </w:r>
            <w:r w:rsidRPr="00F66B65">
              <w:rPr>
                <w:rtl/>
              </w:rPr>
              <w:t>1951</w:t>
            </w:r>
            <w:r w:rsidRPr="00F66B65">
              <w:rPr>
                <w:rFonts w:ascii="David" w:hAnsi="David"/>
                <w:sz w:val="26"/>
                <w:vertAlign w:val="superscript"/>
                <w:rtl/>
              </w:rPr>
              <w:footnoteReference w:id="2"/>
            </w:r>
            <w:r w:rsidRPr="00F66B65">
              <w:rPr>
                <w:rFonts w:hint="cs"/>
                <w:rtl/>
              </w:rPr>
              <w:t xml:space="preserve"> (להלן </w:t>
            </w:r>
            <w:r w:rsidRPr="00F66B65">
              <w:rPr>
                <w:rtl/>
              </w:rPr>
              <w:t>–</w:t>
            </w:r>
            <w:r w:rsidRPr="00F66B65">
              <w:rPr>
                <w:rFonts w:hint="cs"/>
                <w:rtl/>
              </w:rPr>
              <w:t xml:space="preserve"> החוק העיקרי), </w:t>
            </w:r>
            <w:r w:rsidR="00382F60">
              <w:rPr>
                <w:rFonts w:hint="cs"/>
                <w:rtl/>
              </w:rPr>
              <w:t>ב</w:t>
            </w:r>
            <w:r w:rsidRPr="00F66B65">
              <w:rPr>
                <w:rFonts w:hint="cs"/>
                <w:rtl/>
              </w:rPr>
              <w:t>סעיף 6ג</w:t>
            </w:r>
            <w:r w:rsidR="00F66B65">
              <w:rPr>
                <w:rFonts w:hint="cs"/>
                <w:rtl/>
              </w:rPr>
              <w:t xml:space="preserve">, </w:t>
            </w:r>
            <w:r w:rsidR="00382F60">
              <w:rPr>
                <w:rFonts w:hint="cs"/>
                <w:rtl/>
              </w:rPr>
              <w:t xml:space="preserve">אחרי </w:t>
            </w:r>
            <w:r w:rsidR="00F66B65">
              <w:rPr>
                <w:rFonts w:hint="cs"/>
                <w:rtl/>
              </w:rPr>
              <w:t xml:space="preserve">סעיף קטן </w:t>
            </w:r>
            <w:r w:rsidRPr="00F66B65">
              <w:rPr>
                <w:rFonts w:hint="cs"/>
                <w:rtl/>
              </w:rPr>
              <w:t xml:space="preserve">(א) יבוא: </w:t>
            </w:r>
          </w:p>
        </w:tc>
      </w:tr>
      <w:tr w:rsidR="00082DBE" w14:paraId="7860A057" w14:textId="77777777" w:rsidTr="00584870">
        <w:trPr>
          <w:cantSplit/>
        </w:trPr>
        <w:tc>
          <w:tcPr>
            <w:tcW w:w="1870" w:type="dxa"/>
          </w:tcPr>
          <w:p w14:paraId="2F9FC397" w14:textId="77777777" w:rsidR="00082DBE" w:rsidRDefault="00082DBE" w:rsidP="00AF7F24">
            <w:pPr>
              <w:pStyle w:val="TableSideHeading"/>
              <w:rPr>
                <w:rtl/>
              </w:rPr>
            </w:pPr>
          </w:p>
        </w:tc>
        <w:tc>
          <w:tcPr>
            <w:tcW w:w="624" w:type="dxa"/>
          </w:tcPr>
          <w:p w14:paraId="1F1F40C3" w14:textId="77777777" w:rsidR="00082DBE" w:rsidRDefault="00082DBE" w:rsidP="00AF7F24">
            <w:pPr>
              <w:pStyle w:val="TableText"/>
            </w:pPr>
          </w:p>
        </w:tc>
        <w:tc>
          <w:tcPr>
            <w:tcW w:w="7144" w:type="dxa"/>
            <w:gridSpan w:val="3"/>
          </w:tcPr>
          <w:p w14:paraId="0D044891" w14:textId="77777777" w:rsidR="00082DBE" w:rsidRPr="00F66B65" w:rsidRDefault="00082DBE" w:rsidP="00F66B65">
            <w:pPr>
              <w:pStyle w:val="TableBlock"/>
              <w:rPr>
                <w:rtl/>
              </w:rPr>
            </w:pPr>
            <w:r w:rsidRPr="00F66B65">
              <w:rPr>
                <w:rFonts w:hint="cs"/>
                <w:rtl/>
              </w:rPr>
              <w:t>"(א2)</w:t>
            </w:r>
            <w:r w:rsidRPr="00F66B65">
              <w:rPr>
                <w:rtl/>
              </w:rPr>
              <w:tab/>
            </w:r>
            <w:r w:rsidRPr="00F66B65">
              <w:rPr>
                <w:rFonts w:hint="cs"/>
                <w:rtl/>
              </w:rPr>
              <w:t xml:space="preserve">במשרד ממשלתי יינתן ביטוי הולם בנסיבות העניין לייצוגן של נשים במשרות בכירות, למעט אם קדם </w:t>
            </w:r>
            <w:r w:rsidRPr="00F66B65">
              <w:rPr>
                <w:rFonts w:hint="eastAsia"/>
                <w:rtl/>
              </w:rPr>
              <w:t>למינוי</w:t>
            </w:r>
            <w:r w:rsidRPr="00F66B65">
              <w:rPr>
                <w:rFonts w:hint="cs"/>
                <w:rtl/>
              </w:rPr>
              <w:t xml:space="preserve"> הליך תחרותי; לעניין זה "משרה בכירה" </w:t>
            </w:r>
            <w:r w:rsidRPr="00F66B65">
              <w:rPr>
                <w:rtl/>
              </w:rPr>
              <w:t>–</w:t>
            </w:r>
            <w:r w:rsidRPr="00F66B65">
              <w:rPr>
                <w:rFonts w:hint="cs"/>
                <w:rtl/>
              </w:rPr>
              <w:t xml:space="preserve"> מנהל כללי ומשנה למנהל הכללי של משרד ממשלתי וכל משרה המנויה בתוספת השנייה ל</w:t>
            </w:r>
            <w:r w:rsidRPr="00F66B65">
              <w:rPr>
                <w:rtl/>
              </w:rPr>
              <w:t xml:space="preserve">חוק שירות המדינה (מינויים), </w:t>
            </w:r>
            <w:r w:rsidRPr="00F66B65">
              <w:rPr>
                <w:rFonts w:hint="cs"/>
                <w:rtl/>
              </w:rPr>
              <w:t>ה</w:t>
            </w:r>
            <w:r w:rsidRPr="00F66B65">
              <w:rPr>
                <w:rtl/>
              </w:rPr>
              <w:t>תשי"ט</w:t>
            </w:r>
            <w:r w:rsidRPr="00F66B65">
              <w:rPr>
                <w:rFonts w:hint="cs"/>
                <w:rtl/>
              </w:rPr>
              <w:t>–</w:t>
            </w:r>
            <w:r w:rsidRPr="00F66B65">
              <w:rPr>
                <w:rtl/>
              </w:rPr>
              <w:t>1959</w:t>
            </w:r>
            <w:r w:rsidRPr="00F66B65">
              <w:rPr>
                <w:rFonts w:ascii="David" w:hAnsi="David"/>
                <w:sz w:val="26"/>
                <w:vertAlign w:val="superscript"/>
                <w:rtl/>
              </w:rPr>
              <w:footnoteReference w:id="3"/>
            </w:r>
            <w:r w:rsidRPr="00F66B65">
              <w:rPr>
                <w:rFonts w:hint="cs"/>
                <w:rtl/>
              </w:rPr>
              <w:t>."</w:t>
            </w:r>
          </w:p>
        </w:tc>
      </w:tr>
      <w:tr w:rsidR="00082DBE" w14:paraId="25F7D381" w14:textId="77777777" w:rsidTr="00F66B65">
        <w:trPr>
          <w:cantSplit/>
        </w:trPr>
        <w:tc>
          <w:tcPr>
            <w:tcW w:w="1871" w:type="dxa"/>
          </w:tcPr>
          <w:p w14:paraId="2DF41641" w14:textId="77777777" w:rsidR="00082DBE" w:rsidRDefault="00082DBE" w:rsidP="00AF7F24">
            <w:pPr>
              <w:pStyle w:val="TableSideHeading"/>
            </w:pPr>
            <w:r>
              <w:rPr>
                <w:rFonts w:hint="cs"/>
                <w:rtl/>
              </w:rPr>
              <w:t>תיקון סעיף 6ג1</w:t>
            </w:r>
          </w:p>
        </w:tc>
        <w:tc>
          <w:tcPr>
            <w:tcW w:w="624" w:type="dxa"/>
          </w:tcPr>
          <w:p w14:paraId="08067DC7" w14:textId="77777777" w:rsidR="00082DBE" w:rsidRDefault="00082DBE" w:rsidP="00AF7F24">
            <w:pPr>
              <w:pStyle w:val="TableText"/>
              <w:jc w:val="both"/>
            </w:pPr>
            <w:r>
              <w:rPr>
                <w:rFonts w:hint="cs"/>
                <w:rtl/>
              </w:rPr>
              <w:t>2.</w:t>
            </w:r>
          </w:p>
        </w:tc>
        <w:tc>
          <w:tcPr>
            <w:tcW w:w="7143" w:type="dxa"/>
            <w:gridSpan w:val="3"/>
          </w:tcPr>
          <w:p w14:paraId="7C13FDAD" w14:textId="77777777" w:rsidR="00082DBE" w:rsidRDefault="00082DBE" w:rsidP="00F66B65">
            <w:pPr>
              <w:pStyle w:val="TableBlock"/>
            </w:pPr>
            <w:r>
              <w:rPr>
                <w:rFonts w:hint="cs"/>
                <w:rtl/>
              </w:rPr>
              <w:t xml:space="preserve">בסעיף 6ג1 לחוק העיקרי </w:t>
            </w:r>
            <w:r>
              <w:rPr>
                <w:rFonts w:hint="eastAsia"/>
                <w:rtl/>
              </w:rPr>
              <w:t>–</w:t>
            </w:r>
          </w:p>
        </w:tc>
      </w:tr>
      <w:tr w:rsidR="00382F60" w14:paraId="37E37F76" w14:textId="77777777" w:rsidTr="00981B12">
        <w:trPr>
          <w:cantSplit/>
        </w:trPr>
        <w:tc>
          <w:tcPr>
            <w:tcW w:w="1871" w:type="dxa"/>
          </w:tcPr>
          <w:p w14:paraId="2F79C6DE" w14:textId="77777777" w:rsidR="00382F60" w:rsidRDefault="00382F60" w:rsidP="00AF7F24">
            <w:pPr>
              <w:pStyle w:val="TableSideHeading"/>
            </w:pPr>
          </w:p>
        </w:tc>
        <w:tc>
          <w:tcPr>
            <w:tcW w:w="624" w:type="dxa"/>
          </w:tcPr>
          <w:p w14:paraId="6DCF05AB" w14:textId="77777777" w:rsidR="00382F60" w:rsidRDefault="00382F60" w:rsidP="00AF7F24">
            <w:pPr>
              <w:pStyle w:val="TableText"/>
            </w:pPr>
          </w:p>
        </w:tc>
        <w:tc>
          <w:tcPr>
            <w:tcW w:w="7143" w:type="dxa"/>
            <w:gridSpan w:val="3"/>
          </w:tcPr>
          <w:p w14:paraId="78D9000A" w14:textId="7F73982A" w:rsidR="00382F60" w:rsidRDefault="00382F60" w:rsidP="0079213C">
            <w:pPr>
              <w:pStyle w:val="TableBlock"/>
              <w:rPr>
                <w:rtl/>
              </w:rPr>
            </w:pPr>
            <w:r>
              <w:rPr>
                <w:rFonts w:hint="cs"/>
                <w:rtl/>
              </w:rPr>
              <w:t>(1)</w:t>
            </w:r>
            <w:r>
              <w:rPr>
                <w:rtl/>
              </w:rPr>
              <w:tab/>
            </w:r>
            <w:r>
              <w:rPr>
                <w:rFonts w:hint="cs"/>
                <w:rtl/>
              </w:rPr>
              <w:t>בסעיף קטן (ב1)</w:t>
            </w:r>
            <w:r w:rsidR="0079213C">
              <w:rPr>
                <w:rFonts w:hint="cs"/>
                <w:rtl/>
              </w:rPr>
              <w:t xml:space="preserve"> </w:t>
            </w:r>
            <w:r w:rsidR="0079213C">
              <w:rPr>
                <w:rFonts w:hint="eastAsia"/>
                <w:rtl/>
              </w:rPr>
              <w:t>–</w:t>
            </w:r>
          </w:p>
        </w:tc>
      </w:tr>
      <w:tr w:rsidR="0079213C" w14:paraId="188372D0" w14:textId="77777777">
        <w:trPr>
          <w:cantSplit/>
          <w:trHeight w:val="60"/>
        </w:trPr>
        <w:tc>
          <w:tcPr>
            <w:tcW w:w="1871" w:type="dxa"/>
          </w:tcPr>
          <w:p w14:paraId="1B0639C0" w14:textId="77777777" w:rsidR="0079213C" w:rsidRDefault="0079213C">
            <w:pPr>
              <w:pStyle w:val="TableSideHeading"/>
            </w:pPr>
          </w:p>
        </w:tc>
        <w:tc>
          <w:tcPr>
            <w:tcW w:w="624" w:type="dxa"/>
          </w:tcPr>
          <w:p w14:paraId="58E22E39" w14:textId="77777777" w:rsidR="0079213C" w:rsidRDefault="0079213C">
            <w:pPr>
              <w:pStyle w:val="TableText"/>
            </w:pPr>
          </w:p>
        </w:tc>
        <w:tc>
          <w:tcPr>
            <w:tcW w:w="624" w:type="dxa"/>
          </w:tcPr>
          <w:p w14:paraId="781438BD" w14:textId="77777777" w:rsidR="0079213C" w:rsidRDefault="0079213C">
            <w:pPr>
              <w:pStyle w:val="TableText"/>
            </w:pPr>
          </w:p>
        </w:tc>
        <w:tc>
          <w:tcPr>
            <w:tcW w:w="6522" w:type="dxa"/>
            <w:gridSpan w:val="2"/>
          </w:tcPr>
          <w:p w14:paraId="3AD1AA6A" w14:textId="267D5D44" w:rsidR="0079213C" w:rsidRDefault="0079213C" w:rsidP="0079213C">
            <w:pPr>
              <w:pStyle w:val="TableBlock"/>
            </w:pPr>
            <w:r>
              <w:rPr>
                <w:rFonts w:hint="cs"/>
                <w:rtl/>
              </w:rPr>
              <w:t>(א)</w:t>
            </w:r>
            <w:r>
              <w:rPr>
                <w:rtl/>
              </w:rPr>
              <w:tab/>
            </w:r>
            <w:r>
              <w:rPr>
                <w:rFonts w:hint="cs"/>
                <w:rtl/>
              </w:rPr>
              <w:t xml:space="preserve">בפסקה (1), אחרי </w:t>
            </w:r>
            <w:r w:rsidRPr="004601CF">
              <w:rPr>
                <w:rFonts w:hint="cs"/>
                <w:rtl/>
              </w:rPr>
              <w:t>"</w:t>
            </w:r>
            <w:r>
              <w:rPr>
                <w:rFonts w:hint="cs"/>
                <w:rtl/>
              </w:rPr>
              <w:t>בוועדות</w:t>
            </w:r>
            <w:r w:rsidRPr="004601CF">
              <w:rPr>
                <w:rFonts w:hint="cs"/>
                <w:rtl/>
              </w:rPr>
              <w:t>" יבוא "</w:t>
            </w:r>
            <w:r>
              <w:rPr>
                <w:rFonts w:hint="cs"/>
                <w:rtl/>
              </w:rPr>
              <w:t>ו</w:t>
            </w:r>
            <w:r w:rsidRPr="004601CF">
              <w:rPr>
                <w:rFonts w:hint="cs"/>
                <w:rtl/>
              </w:rPr>
              <w:t xml:space="preserve">במשרות </w:t>
            </w:r>
            <w:r>
              <w:rPr>
                <w:rFonts w:hint="cs"/>
                <w:rtl/>
              </w:rPr>
              <w:t xml:space="preserve">בכירות", אחרי "כאמור בסעיף זה" יבוא "ובסעיף 6ג(א2), לפי העניין" ואחרי </w:t>
            </w:r>
            <w:r w:rsidRPr="004601CF">
              <w:rPr>
                <w:rFonts w:hint="cs"/>
                <w:rtl/>
              </w:rPr>
              <w:t>"</w:t>
            </w:r>
            <w:r>
              <w:rPr>
                <w:rFonts w:hint="cs"/>
                <w:rtl/>
              </w:rPr>
              <w:t>לאותן ועדות</w:t>
            </w:r>
            <w:r w:rsidRPr="004601CF">
              <w:rPr>
                <w:rFonts w:hint="cs"/>
                <w:rtl/>
              </w:rPr>
              <w:t>" יבוא "</w:t>
            </w:r>
            <w:r>
              <w:rPr>
                <w:rFonts w:hint="cs"/>
                <w:rtl/>
              </w:rPr>
              <w:t xml:space="preserve">או </w:t>
            </w:r>
            <w:r w:rsidRPr="004601CF">
              <w:rPr>
                <w:rFonts w:hint="cs"/>
                <w:rtl/>
              </w:rPr>
              <w:t>משרות בכירות"</w:t>
            </w:r>
            <w:r>
              <w:rPr>
                <w:rFonts w:hint="cs"/>
                <w:rtl/>
              </w:rPr>
              <w:t>;</w:t>
            </w:r>
          </w:p>
        </w:tc>
      </w:tr>
      <w:tr w:rsidR="0079213C" w14:paraId="740E914B" w14:textId="77777777">
        <w:trPr>
          <w:cantSplit/>
          <w:trHeight w:val="60"/>
        </w:trPr>
        <w:tc>
          <w:tcPr>
            <w:tcW w:w="1871" w:type="dxa"/>
          </w:tcPr>
          <w:p w14:paraId="4A97B171" w14:textId="77777777" w:rsidR="0079213C" w:rsidRDefault="0079213C">
            <w:pPr>
              <w:pStyle w:val="TableSideHeading"/>
              <w:rPr>
                <w:rtl/>
              </w:rPr>
            </w:pPr>
          </w:p>
        </w:tc>
        <w:tc>
          <w:tcPr>
            <w:tcW w:w="624" w:type="dxa"/>
          </w:tcPr>
          <w:p w14:paraId="387F12F8" w14:textId="77777777" w:rsidR="0079213C" w:rsidRDefault="0079213C" w:rsidP="0079213C">
            <w:pPr>
              <w:pStyle w:val="TableText"/>
            </w:pPr>
          </w:p>
        </w:tc>
        <w:tc>
          <w:tcPr>
            <w:tcW w:w="624" w:type="dxa"/>
          </w:tcPr>
          <w:p w14:paraId="7E07828A" w14:textId="77777777" w:rsidR="0079213C" w:rsidRDefault="0079213C">
            <w:pPr>
              <w:pStyle w:val="TableText"/>
            </w:pPr>
          </w:p>
        </w:tc>
        <w:tc>
          <w:tcPr>
            <w:tcW w:w="6522" w:type="dxa"/>
            <w:gridSpan w:val="2"/>
          </w:tcPr>
          <w:p w14:paraId="0127EF28" w14:textId="60B4B372" w:rsidR="0079213C" w:rsidRDefault="0079213C" w:rsidP="00584870">
            <w:pPr>
              <w:pStyle w:val="TableBlock"/>
              <w:rPr>
                <w:rtl/>
              </w:rPr>
            </w:pPr>
            <w:r>
              <w:rPr>
                <w:rFonts w:hint="cs"/>
                <w:rtl/>
              </w:rPr>
              <w:t>(ב)</w:t>
            </w:r>
            <w:r>
              <w:rPr>
                <w:rtl/>
              </w:rPr>
              <w:tab/>
            </w:r>
            <w:r>
              <w:rPr>
                <w:rFonts w:hint="cs"/>
                <w:rtl/>
              </w:rPr>
              <w:t>בפסקה (5)</w:t>
            </w:r>
            <w:r w:rsidR="00584870">
              <w:rPr>
                <w:rFonts w:hint="cs"/>
                <w:rtl/>
              </w:rPr>
              <w:t xml:space="preserve"> </w:t>
            </w:r>
            <w:r w:rsidR="00584870">
              <w:rPr>
                <w:rFonts w:hint="eastAsia"/>
                <w:rtl/>
              </w:rPr>
              <w:t>–</w:t>
            </w:r>
          </w:p>
        </w:tc>
      </w:tr>
      <w:tr w:rsidR="00584870" w14:paraId="07B6FF19" w14:textId="77777777">
        <w:trPr>
          <w:cantSplit/>
          <w:trHeight w:val="60"/>
        </w:trPr>
        <w:tc>
          <w:tcPr>
            <w:tcW w:w="1871" w:type="dxa"/>
          </w:tcPr>
          <w:p w14:paraId="0F550744" w14:textId="77777777" w:rsidR="00584870" w:rsidRDefault="00584870">
            <w:pPr>
              <w:pStyle w:val="TableSideHeading"/>
            </w:pPr>
          </w:p>
        </w:tc>
        <w:tc>
          <w:tcPr>
            <w:tcW w:w="624" w:type="dxa"/>
          </w:tcPr>
          <w:p w14:paraId="4C046FEE" w14:textId="77777777" w:rsidR="00584870" w:rsidRDefault="00584870">
            <w:pPr>
              <w:pStyle w:val="TableText"/>
            </w:pPr>
          </w:p>
        </w:tc>
        <w:tc>
          <w:tcPr>
            <w:tcW w:w="624" w:type="dxa"/>
          </w:tcPr>
          <w:p w14:paraId="6146C816" w14:textId="77777777" w:rsidR="00584870" w:rsidRDefault="00584870">
            <w:pPr>
              <w:pStyle w:val="TableText"/>
            </w:pPr>
          </w:p>
        </w:tc>
        <w:tc>
          <w:tcPr>
            <w:tcW w:w="624" w:type="dxa"/>
          </w:tcPr>
          <w:p w14:paraId="7376F0E5" w14:textId="77777777" w:rsidR="00584870" w:rsidRDefault="00584870">
            <w:pPr>
              <w:pStyle w:val="TableText"/>
            </w:pPr>
          </w:p>
        </w:tc>
        <w:tc>
          <w:tcPr>
            <w:tcW w:w="5898" w:type="dxa"/>
          </w:tcPr>
          <w:p w14:paraId="35047987" w14:textId="12A20B5F" w:rsidR="00584870" w:rsidRDefault="00584870">
            <w:pPr>
              <w:pStyle w:val="TableBlock"/>
            </w:pPr>
            <w:r>
              <w:rPr>
                <w:rFonts w:hint="cs"/>
                <w:rtl/>
              </w:rPr>
              <w:t>(1)</w:t>
            </w:r>
            <w:r>
              <w:rPr>
                <w:rtl/>
              </w:rPr>
              <w:tab/>
            </w:r>
            <w:r>
              <w:rPr>
                <w:rFonts w:hint="cs"/>
                <w:rtl/>
              </w:rPr>
              <w:t xml:space="preserve">בפסקת משנה (א), </w:t>
            </w:r>
            <w:r w:rsidRPr="00D671C6">
              <w:rPr>
                <w:rFonts w:hint="cs"/>
                <w:rtl/>
              </w:rPr>
              <w:t xml:space="preserve">אחרי </w:t>
            </w:r>
            <w:r>
              <w:rPr>
                <w:rFonts w:hint="cs"/>
                <w:rtl/>
              </w:rPr>
              <w:t>"אישה שתמונה" יבוא "למשרה בכירה או" ואחרי "בסעיף קטן (ב)" יבוא "ובסעיף 6ג(א2), לפי העניין";</w:t>
            </w:r>
          </w:p>
        </w:tc>
      </w:tr>
      <w:tr w:rsidR="00584870" w14:paraId="28119706" w14:textId="77777777">
        <w:trPr>
          <w:cantSplit/>
          <w:trHeight w:val="60"/>
        </w:trPr>
        <w:tc>
          <w:tcPr>
            <w:tcW w:w="1871" w:type="dxa"/>
          </w:tcPr>
          <w:p w14:paraId="67555062" w14:textId="77777777" w:rsidR="00584870" w:rsidRDefault="00584870">
            <w:pPr>
              <w:pStyle w:val="TableSideHeading"/>
              <w:rPr>
                <w:rtl/>
              </w:rPr>
            </w:pPr>
          </w:p>
        </w:tc>
        <w:tc>
          <w:tcPr>
            <w:tcW w:w="624" w:type="dxa"/>
          </w:tcPr>
          <w:p w14:paraId="4EF9BE01" w14:textId="77777777" w:rsidR="00584870" w:rsidRDefault="00584870" w:rsidP="00584870">
            <w:pPr>
              <w:pStyle w:val="TableText"/>
            </w:pPr>
          </w:p>
        </w:tc>
        <w:tc>
          <w:tcPr>
            <w:tcW w:w="624" w:type="dxa"/>
          </w:tcPr>
          <w:p w14:paraId="5DFB169C" w14:textId="77777777" w:rsidR="00584870" w:rsidRDefault="00584870">
            <w:pPr>
              <w:pStyle w:val="TableText"/>
            </w:pPr>
          </w:p>
        </w:tc>
        <w:tc>
          <w:tcPr>
            <w:tcW w:w="624" w:type="dxa"/>
          </w:tcPr>
          <w:p w14:paraId="049F4E3E" w14:textId="77777777" w:rsidR="00584870" w:rsidRDefault="00584870">
            <w:pPr>
              <w:pStyle w:val="TableText"/>
            </w:pPr>
          </w:p>
        </w:tc>
        <w:tc>
          <w:tcPr>
            <w:tcW w:w="5898" w:type="dxa"/>
          </w:tcPr>
          <w:p w14:paraId="6E8965C1" w14:textId="31F3CAD4" w:rsidR="00584870" w:rsidRDefault="00584870">
            <w:pPr>
              <w:pStyle w:val="TableBlock"/>
              <w:rPr>
                <w:rtl/>
              </w:rPr>
            </w:pPr>
            <w:r>
              <w:rPr>
                <w:rFonts w:hint="cs"/>
                <w:rtl/>
              </w:rPr>
              <w:t>(2)</w:t>
            </w:r>
            <w:r>
              <w:rPr>
                <w:rtl/>
              </w:rPr>
              <w:tab/>
            </w:r>
            <w:r>
              <w:rPr>
                <w:rFonts w:hint="cs"/>
                <w:rtl/>
              </w:rPr>
              <w:t>בפסקת משנה (ב), אחרי</w:t>
            </w:r>
            <w:r w:rsidRPr="00D671C6">
              <w:rPr>
                <w:rFonts w:hint="cs"/>
                <w:rtl/>
              </w:rPr>
              <w:t xml:space="preserve"> "חברי הוועדה," יבוא "</w:t>
            </w:r>
            <w:r>
              <w:rPr>
                <w:rFonts w:hint="cs"/>
                <w:rtl/>
              </w:rPr>
              <w:t>או ימנה אדם למשרה הבכירה</w:t>
            </w:r>
            <w:r w:rsidRPr="00D671C6">
              <w:rPr>
                <w:rFonts w:hint="cs"/>
                <w:rtl/>
              </w:rPr>
              <w:t>"</w:t>
            </w:r>
            <w:r>
              <w:rPr>
                <w:rFonts w:hint="cs"/>
                <w:rtl/>
              </w:rPr>
              <w:t>;</w:t>
            </w:r>
            <w:r>
              <w:rPr>
                <w:rtl/>
              </w:rPr>
              <w:tab/>
            </w:r>
          </w:p>
        </w:tc>
      </w:tr>
      <w:tr w:rsidR="00382F60" w14:paraId="751B2536" w14:textId="77777777" w:rsidTr="00584870">
        <w:trPr>
          <w:cantSplit/>
        </w:trPr>
        <w:tc>
          <w:tcPr>
            <w:tcW w:w="1870" w:type="dxa"/>
          </w:tcPr>
          <w:p w14:paraId="62BD8A93" w14:textId="77777777" w:rsidR="00382F60" w:rsidRDefault="00382F60" w:rsidP="00AF7F24">
            <w:pPr>
              <w:pStyle w:val="TableSideHeading"/>
            </w:pPr>
          </w:p>
        </w:tc>
        <w:tc>
          <w:tcPr>
            <w:tcW w:w="624" w:type="dxa"/>
          </w:tcPr>
          <w:p w14:paraId="1C7A1E5E" w14:textId="77777777" w:rsidR="00382F60" w:rsidRDefault="00382F60" w:rsidP="00AF7F24">
            <w:pPr>
              <w:pStyle w:val="TableText"/>
            </w:pPr>
          </w:p>
        </w:tc>
        <w:tc>
          <w:tcPr>
            <w:tcW w:w="7144" w:type="dxa"/>
            <w:gridSpan w:val="3"/>
          </w:tcPr>
          <w:p w14:paraId="56D99AF9" w14:textId="6CD75FD6" w:rsidR="00382F60" w:rsidRDefault="00AE25EA" w:rsidP="00F66B65">
            <w:pPr>
              <w:pStyle w:val="TableBlock"/>
            </w:pPr>
            <w:r>
              <w:rPr>
                <w:rFonts w:hint="cs"/>
                <w:rtl/>
              </w:rPr>
              <w:t>(2</w:t>
            </w:r>
            <w:r w:rsidR="00382F60">
              <w:rPr>
                <w:rFonts w:hint="cs"/>
                <w:rtl/>
              </w:rPr>
              <w:t>)</w:t>
            </w:r>
            <w:r w:rsidR="00382F60">
              <w:rPr>
                <w:rtl/>
              </w:rPr>
              <w:tab/>
            </w:r>
            <w:r w:rsidR="00382F60">
              <w:rPr>
                <w:rFonts w:hint="cs"/>
                <w:rtl/>
              </w:rPr>
              <w:t>אחרי סעיף קטן (ג) יבוא:</w:t>
            </w:r>
          </w:p>
        </w:tc>
      </w:tr>
      <w:tr w:rsidR="00382F60" w14:paraId="2338B592" w14:textId="77777777" w:rsidTr="00584870">
        <w:trPr>
          <w:cantSplit/>
        </w:trPr>
        <w:tc>
          <w:tcPr>
            <w:tcW w:w="1870" w:type="dxa"/>
          </w:tcPr>
          <w:p w14:paraId="2D6F71E5" w14:textId="77777777" w:rsidR="00382F60" w:rsidRDefault="00382F60" w:rsidP="00AF7F24">
            <w:pPr>
              <w:pStyle w:val="TableSideHeading"/>
            </w:pPr>
          </w:p>
        </w:tc>
        <w:tc>
          <w:tcPr>
            <w:tcW w:w="624" w:type="dxa"/>
          </w:tcPr>
          <w:p w14:paraId="2771199D" w14:textId="77777777" w:rsidR="00382F60" w:rsidRDefault="00382F60" w:rsidP="00AF7F24">
            <w:pPr>
              <w:pStyle w:val="TableText"/>
            </w:pPr>
          </w:p>
        </w:tc>
        <w:tc>
          <w:tcPr>
            <w:tcW w:w="624" w:type="dxa"/>
          </w:tcPr>
          <w:p w14:paraId="38F05116" w14:textId="77777777" w:rsidR="00382F60" w:rsidRDefault="00382F60" w:rsidP="00AF7F24">
            <w:pPr>
              <w:pStyle w:val="TableText"/>
            </w:pPr>
          </w:p>
        </w:tc>
        <w:tc>
          <w:tcPr>
            <w:tcW w:w="6520" w:type="dxa"/>
            <w:gridSpan w:val="2"/>
          </w:tcPr>
          <w:p w14:paraId="62BA616E" w14:textId="28E1834C" w:rsidR="00382F60" w:rsidRDefault="00382F60" w:rsidP="00F66B65">
            <w:pPr>
              <w:pStyle w:val="TableBlock"/>
              <w:rPr>
                <w:rtl/>
              </w:rPr>
            </w:pPr>
            <w:r w:rsidRPr="00D671C6">
              <w:rPr>
                <w:rtl/>
              </w:rPr>
              <w:t>"(</w:t>
            </w:r>
            <w:r>
              <w:rPr>
                <w:rtl/>
              </w:rPr>
              <w:t>ג1)</w:t>
            </w:r>
            <w:r>
              <w:rPr>
                <w:rtl/>
              </w:rPr>
              <w:tab/>
              <w:t>גו</w:t>
            </w:r>
            <w:r>
              <w:rPr>
                <w:rFonts w:hint="cs"/>
                <w:rtl/>
              </w:rPr>
              <w:t>ף ממנה</w:t>
            </w:r>
            <w:r w:rsidRPr="00D671C6">
              <w:rPr>
                <w:rtl/>
              </w:rPr>
              <w:t xml:space="preserve"> </w:t>
            </w:r>
            <w:r>
              <w:rPr>
                <w:rFonts w:hint="cs"/>
                <w:rtl/>
              </w:rPr>
              <w:t>ידווח</w:t>
            </w:r>
            <w:r w:rsidRPr="00D671C6">
              <w:rPr>
                <w:rtl/>
              </w:rPr>
              <w:t xml:space="preserve"> לרשות בכתב על כל מינוי </w:t>
            </w:r>
            <w:r>
              <w:rPr>
                <w:rFonts w:hint="cs"/>
                <w:rtl/>
              </w:rPr>
              <w:t>ש</w:t>
            </w:r>
            <w:r w:rsidRPr="00D671C6">
              <w:rPr>
                <w:rtl/>
              </w:rPr>
              <w:t>ל</w:t>
            </w:r>
            <w:r>
              <w:rPr>
                <w:rFonts w:hint="cs"/>
                <w:rtl/>
              </w:rPr>
              <w:t xml:space="preserve"> </w:t>
            </w:r>
            <w:r w:rsidRPr="00D671C6">
              <w:rPr>
                <w:rtl/>
              </w:rPr>
              <w:t>משרה בכירה, מ</w:t>
            </w:r>
            <w:r w:rsidR="00D02D4D">
              <w:rPr>
                <w:rFonts w:hint="cs"/>
                <w:rtl/>
              </w:rPr>
              <w:t>י</w:t>
            </w:r>
            <w:r w:rsidRPr="00D671C6">
              <w:rPr>
                <w:rtl/>
              </w:rPr>
              <w:t>יד לאחר הגשת ההצעה לנציב שירות המדינה ובטרם פניה למזכיר הממשלה להבאת המינוי לאישור הממשלה; על דיווח כאמור בסעיף קטן זה יחולו הוראות סעיפים קטנים (ב) עד (ד) של סעיף 7 לחוק הרשות לקידום מעמד האישה, בשינויים המחויבים</w:t>
            </w:r>
            <w:r>
              <w:rPr>
                <w:rFonts w:hint="cs"/>
                <w:rtl/>
              </w:rPr>
              <w:t>.";</w:t>
            </w:r>
          </w:p>
        </w:tc>
      </w:tr>
      <w:tr w:rsidR="00382F60" w14:paraId="1239AD62" w14:textId="77777777" w:rsidTr="00584870">
        <w:trPr>
          <w:cantSplit/>
        </w:trPr>
        <w:tc>
          <w:tcPr>
            <w:tcW w:w="1870" w:type="dxa"/>
          </w:tcPr>
          <w:p w14:paraId="519A5823" w14:textId="77777777" w:rsidR="00382F60" w:rsidRDefault="00382F60" w:rsidP="00AF7F24">
            <w:pPr>
              <w:pStyle w:val="TableSideHeading"/>
            </w:pPr>
          </w:p>
        </w:tc>
        <w:tc>
          <w:tcPr>
            <w:tcW w:w="624" w:type="dxa"/>
          </w:tcPr>
          <w:p w14:paraId="2934161A" w14:textId="77777777" w:rsidR="00382F60" w:rsidRDefault="00382F60" w:rsidP="00AF7F24">
            <w:pPr>
              <w:pStyle w:val="TableText"/>
            </w:pPr>
          </w:p>
        </w:tc>
        <w:tc>
          <w:tcPr>
            <w:tcW w:w="7144" w:type="dxa"/>
            <w:gridSpan w:val="3"/>
          </w:tcPr>
          <w:p w14:paraId="203AFE47" w14:textId="565110C1" w:rsidR="00382F60" w:rsidRDefault="007A0CC7" w:rsidP="00F66B65">
            <w:pPr>
              <w:pStyle w:val="TableBlock"/>
            </w:pPr>
            <w:r>
              <w:rPr>
                <w:rFonts w:hint="cs"/>
                <w:rtl/>
              </w:rPr>
              <w:t>(3</w:t>
            </w:r>
            <w:r w:rsidR="00382F60">
              <w:rPr>
                <w:rFonts w:hint="cs"/>
                <w:rtl/>
              </w:rPr>
              <w:t>)</w:t>
            </w:r>
            <w:r w:rsidR="00382F60">
              <w:rPr>
                <w:rtl/>
              </w:rPr>
              <w:tab/>
            </w:r>
            <w:r w:rsidR="00382F60" w:rsidRPr="00D671C6">
              <w:rPr>
                <w:rFonts w:hint="cs"/>
                <w:rtl/>
              </w:rPr>
              <w:t>בסעיף ק</w:t>
            </w:r>
            <w:r w:rsidR="00382F60">
              <w:rPr>
                <w:rFonts w:hint="cs"/>
                <w:rtl/>
              </w:rPr>
              <w:t xml:space="preserve">טן (ד), </w:t>
            </w:r>
            <w:r w:rsidR="00382F60" w:rsidRPr="00D671C6">
              <w:rPr>
                <w:rFonts w:hint="cs"/>
                <w:rtl/>
              </w:rPr>
              <w:t>אחרי "לפי סעיף קטן</w:t>
            </w:r>
            <w:r w:rsidR="00382F60">
              <w:rPr>
                <w:rFonts w:hint="cs"/>
                <w:rtl/>
              </w:rPr>
              <w:t xml:space="preserve"> </w:t>
            </w:r>
            <w:r w:rsidR="00382F60" w:rsidRPr="00D671C6">
              <w:rPr>
                <w:rFonts w:hint="cs"/>
                <w:rtl/>
              </w:rPr>
              <w:t>(ג)" יבוא "או לפי סעיף קטן (ג1),"</w:t>
            </w:r>
            <w:r w:rsidR="00382F60">
              <w:rPr>
                <w:rFonts w:hint="cs"/>
                <w:rtl/>
              </w:rPr>
              <w:t>;</w:t>
            </w:r>
          </w:p>
        </w:tc>
      </w:tr>
      <w:tr w:rsidR="00382F60" w14:paraId="43FC4AA4" w14:textId="77777777" w:rsidTr="00584870">
        <w:trPr>
          <w:cantSplit/>
        </w:trPr>
        <w:tc>
          <w:tcPr>
            <w:tcW w:w="1870" w:type="dxa"/>
          </w:tcPr>
          <w:p w14:paraId="49BD35EF" w14:textId="77777777" w:rsidR="00382F60" w:rsidRDefault="00382F60" w:rsidP="00AF7F24">
            <w:pPr>
              <w:pStyle w:val="TableSideHeading"/>
            </w:pPr>
          </w:p>
        </w:tc>
        <w:tc>
          <w:tcPr>
            <w:tcW w:w="624" w:type="dxa"/>
          </w:tcPr>
          <w:p w14:paraId="7ACAE78A" w14:textId="77777777" w:rsidR="00382F60" w:rsidRDefault="00382F60" w:rsidP="00AF7F24">
            <w:pPr>
              <w:pStyle w:val="TableText"/>
            </w:pPr>
          </w:p>
        </w:tc>
        <w:tc>
          <w:tcPr>
            <w:tcW w:w="7144" w:type="dxa"/>
            <w:gridSpan w:val="3"/>
          </w:tcPr>
          <w:p w14:paraId="03D95771" w14:textId="6D14C30B" w:rsidR="00382F60" w:rsidRDefault="007A0CC7" w:rsidP="00F66B65">
            <w:pPr>
              <w:pStyle w:val="TableBlock"/>
            </w:pPr>
            <w:r>
              <w:rPr>
                <w:rFonts w:hint="cs"/>
                <w:rtl/>
              </w:rPr>
              <w:t>(4</w:t>
            </w:r>
            <w:r w:rsidR="00382F60">
              <w:rPr>
                <w:rFonts w:hint="cs"/>
                <w:rtl/>
              </w:rPr>
              <w:t>)</w:t>
            </w:r>
            <w:r w:rsidR="00382F60">
              <w:rPr>
                <w:rtl/>
              </w:rPr>
              <w:tab/>
            </w:r>
            <w:r w:rsidR="00382F60" w:rsidRPr="00D671C6">
              <w:rPr>
                <w:rFonts w:hint="cs"/>
                <w:rtl/>
              </w:rPr>
              <w:t>בסעיף קטן (ה)</w:t>
            </w:r>
            <w:r w:rsidR="00382F60">
              <w:rPr>
                <w:rFonts w:hint="cs"/>
                <w:rtl/>
              </w:rPr>
              <w:t>,</w:t>
            </w:r>
            <w:r w:rsidR="00382F60" w:rsidRPr="00D671C6">
              <w:rPr>
                <w:rFonts w:hint="cs"/>
                <w:rtl/>
              </w:rPr>
              <w:t xml:space="preserve"> במקום "סעיף קטן (ג)" יבוא "סעיפים קטנים (ג) ו-(ג1)".</w:t>
            </w:r>
          </w:p>
        </w:tc>
      </w:tr>
    </w:tbl>
    <w:p w14:paraId="5D28E9BC" w14:textId="77777777" w:rsidR="00082DBE" w:rsidRDefault="00082DBE" w:rsidP="00082DBE">
      <w:pPr>
        <w:pStyle w:val="HeadDivreiHesber"/>
        <w:rPr>
          <w:rtl/>
        </w:rPr>
      </w:pPr>
      <w:r>
        <w:rPr>
          <w:rtl/>
        </w:rPr>
        <w:t>דברי הסבר</w:t>
      </w:r>
    </w:p>
    <w:p w14:paraId="059BBABA" w14:textId="4355581D" w:rsidR="00082DBE" w:rsidRPr="00026C8D" w:rsidRDefault="00082DBE" w:rsidP="0081058D">
      <w:pPr>
        <w:pStyle w:val="Hesber"/>
        <w:spacing w:line="240" w:lineRule="auto"/>
        <w:rPr>
          <w:rtl/>
        </w:rPr>
      </w:pPr>
      <w:r w:rsidRPr="00026C8D">
        <w:rPr>
          <w:rtl/>
        </w:rPr>
        <w:t>בפברואר 2024 ניתן פסק הדין בבג"ץ</w:t>
      </w:r>
      <w:r w:rsidRPr="00825B00">
        <w:rPr>
          <w:rtl/>
        </w:rPr>
        <w:t xml:space="preserve"> 1363/23 </w:t>
      </w:r>
      <w:r w:rsidRPr="00F66B65">
        <w:rPr>
          <w:b/>
          <w:bCs/>
          <w:rtl/>
        </w:rPr>
        <w:t>שדולת הנשים בישראל נ' ממשלת ישראל ואח'</w:t>
      </w:r>
      <w:r w:rsidR="00F66B65">
        <w:rPr>
          <w:rtl/>
        </w:rPr>
        <w:t xml:space="preserve"> </w:t>
      </w:r>
      <w:r w:rsidR="00825B00">
        <w:rPr>
          <w:rFonts w:hint="cs"/>
          <w:rtl/>
        </w:rPr>
        <w:t>(פורסם בנבו,</w:t>
      </w:r>
      <w:r w:rsidR="00F66B65">
        <w:rPr>
          <w:rtl/>
        </w:rPr>
        <w:t xml:space="preserve"> 24.2.2025)</w:t>
      </w:r>
      <w:r w:rsidR="00825B00">
        <w:rPr>
          <w:rFonts w:hint="cs"/>
          <w:rtl/>
        </w:rPr>
        <w:t xml:space="preserve"> </w:t>
      </w:r>
      <w:r w:rsidR="00F66B65">
        <w:rPr>
          <w:rtl/>
        </w:rPr>
        <w:t xml:space="preserve">(להלן </w:t>
      </w:r>
      <w:r w:rsidR="00F66B65">
        <w:rPr>
          <w:rFonts w:hint="cs"/>
          <w:rtl/>
        </w:rPr>
        <w:t>–</w:t>
      </w:r>
      <w:r w:rsidR="00F66B65">
        <w:rPr>
          <w:rtl/>
        </w:rPr>
        <w:t xml:space="preserve"> בג"ץ המנכ"ליות)</w:t>
      </w:r>
      <w:r w:rsidR="00825B00">
        <w:rPr>
          <w:rFonts w:hint="cs"/>
          <w:rtl/>
        </w:rPr>
        <w:t>.</w:t>
      </w:r>
      <w:r w:rsidR="00F66B65" w:rsidRPr="00F66B65">
        <w:rPr>
          <w:rtl/>
        </w:rPr>
        <w:t xml:space="preserve"> </w:t>
      </w:r>
      <w:r w:rsidRPr="00026C8D">
        <w:rPr>
          <w:rtl/>
        </w:rPr>
        <w:t>במסגרת פסק הדין הדגיש בית המשפט כי מימוש ערך השוויון ושמירה</w:t>
      </w:r>
      <w:r w:rsidR="0081058D">
        <w:rPr>
          <w:rtl/>
        </w:rPr>
        <w:t xml:space="preserve"> על האינטרס הציבורי</w:t>
      </w:r>
      <w:r w:rsidRPr="00026C8D">
        <w:rPr>
          <w:rtl/>
        </w:rPr>
        <w:t xml:space="preserve"> מחייבים הקפדה על קידום הייצוג ההולם</w:t>
      </w:r>
      <w:r>
        <w:rPr>
          <w:rFonts w:hint="cs"/>
          <w:rtl/>
        </w:rPr>
        <w:t xml:space="preserve"> </w:t>
      </w:r>
      <w:r w:rsidRPr="00026C8D">
        <w:rPr>
          <w:rtl/>
        </w:rPr>
        <w:t xml:space="preserve">המעוגן גם בסעיף 15א לחוק שירות המדינה (מינויים), </w:t>
      </w:r>
      <w:r>
        <w:rPr>
          <w:rFonts w:hint="cs"/>
          <w:rtl/>
        </w:rPr>
        <w:t>ה</w:t>
      </w:r>
      <w:r w:rsidRPr="00026C8D">
        <w:rPr>
          <w:rtl/>
        </w:rPr>
        <w:t>תשי"ט</w:t>
      </w:r>
      <w:r w:rsidR="00F66B65">
        <w:rPr>
          <w:rFonts w:hint="cs"/>
          <w:rtl/>
        </w:rPr>
        <w:t xml:space="preserve">–1950 </w:t>
      </w:r>
      <w:r w:rsidRPr="00026C8D">
        <w:rPr>
          <w:rtl/>
        </w:rPr>
        <w:t xml:space="preserve">(להלן </w:t>
      </w:r>
      <w:r w:rsidR="00F66B65">
        <w:rPr>
          <w:rFonts w:hint="cs"/>
          <w:rtl/>
        </w:rPr>
        <w:t>–</w:t>
      </w:r>
      <w:r w:rsidRPr="00026C8D">
        <w:rPr>
          <w:rtl/>
        </w:rPr>
        <w:t xml:space="preserve"> חוק שירות המדינה)</w:t>
      </w:r>
      <w:r>
        <w:rPr>
          <w:rFonts w:hint="cs"/>
          <w:rtl/>
        </w:rPr>
        <w:t>, גם במשרות מנכ</w:t>
      </w:r>
      <w:r w:rsidRPr="00422F16">
        <w:rPr>
          <w:rFonts w:hint="cs"/>
          <w:rtl/>
        </w:rPr>
        <w:t xml:space="preserve">"ל </w:t>
      </w:r>
      <w:r w:rsidRPr="00026C8D">
        <w:rPr>
          <w:rtl/>
        </w:rPr>
        <w:t>במשרדים ממשלתיים. בית המשפט עמד על החשיבות הציבורית הטמונה בקבלת החלטות הנשענות על מגוון נקודות מבט, זהויות וניסיון חיים באופן התורם לאיכות גיבוש המדיניות הציבורית, להגברת היצירתיות ולהתאמת המענים לאתגרים מורכבים</w:t>
      </w:r>
      <w:r w:rsidRPr="00026C8D">
        <w:t xml:space="preserve"> .</w:t>
      </w:r>
      <w:r w:rsidRPr="00026C8D">
        <w:rPr>
          <w:rtl/>
        </w:rPr>
        <w:t xml:space="preserve"> </w:t>
      </w:r>
    </w:p>
    <w:p w14:paraId="4257147D" w14:textId="6BFD198B" w:rsidR="00082DBE" w:rsidRPr="00026C8D" w:rsidRDefault="00082DBE" w:rsidP="00710CF2">
      <w:pPr>
        <w:pStyle w:val="Hesber"/>
        <w:spacing w:line="240" w:lineRule="auto"/>
        <w:rPr>
          <w:rtl/>
        </w:rPr>
      </w:pPr>
      <w:r w:rsidRPr="00026C8D">
        <w:rPr>
          <w:rtl/>
        </w:rPr>
        <w:t>סעיף 6ג1 לחוק שיווי זכויות ה</w:t>
      </w:r>
      <w:r w:rsidR="00A35312">
        <w:rPr>
          <w:rtl/>
        </w:rPr>
        <w:t>אישה</w:t>
      </w:r>
      <w:r w:rsidRPr="00026C8D">
        <w:rPr>
          <w:rtl/>
        </w:rPr>
        <w:t xml:space="preserve">, </w:t>
      </w:r>
      <w:r>
        <w:rPr>
          <w:rFonts w:hint="cs"/>
          <w:rtl/>
        </w:rPr>
        <w:t>ה</w:t>
      </w:r>
      <w:r w:rsidRPr="00026C8D">
        <w:rPr>
          <w:rtl/>
        </w:rPr>
        <w:t>תשי"א</w:t>
      </w:r>
      <w:r>
        <w:rPr>
          <w:rFonts w:hint="eastAsia"/>
          <w:rtl/>
        </w:rPr>
        <w:t>–</w:t>
      </w:r>
      <w:r w:rsidRPr="00026C8D">
        <w:rPr>
          <w:rtl/>
        </w:rPr>
        <w:t xml:space="preserve">1951 </w:t>
      </w:r>
      <w:r>
        <w:rPr>
          <w:rFonts w:hint="cs"/>
          <w:rtl/>
        </w:rPr>
        <w:t xml:space="preserve">(להלן </w:t>
      </w:r>
      <w:r>
        <w:rPr>
          <w:rFonts w:hint="eastAsia"/>
          <w:rtl/>
        </w:rPr>
        <w:t>–</w:t>
      </w:r>
      <w:r>
        <w:rPr>
          <w:rFonts w:hint="cs"/>
          <w:rtl/>
        </w:rPr>
        <w:t xml:space="preserve"> חוק שיווי זכויות ה</w:t>
      </w:r>
      <w:r w:rsidR="00A35312">
        <w:rPr>
          <w:rFonts w:hint="cs"/>
          <w:rtl/>
        </w:rPr>
        <w:t>אישה</w:t>
      </w:r>
      <w:r>
        <w:rPr>
          <w:rFonts w:hint="cs"/>
          <w:rtl/>
        </w:rPr>
        <w:t xml:space="preserve">) </w:t>
      </w:r>
      <w:r w:rsidRPr="00026C8D">
        <w:rPr>
          <w:rtl/>
        </w:rPr>
        <w:t>קובע הסדר בדבר ניהול מאגר מועמדות על ידי הרשות לקידום מעמד האישה, הכולל פרטים של נשים המתאימות לכהן כחברות בוועדת בדיקה ממשלתית, ועדת חקירה, ועדה ציבורית וצוות</w:t>
      </w:r>
      <w:r>
        <w:rPr>
          <w:rFonts w:hint="cs"/>
          <w:rtl/>
        </w:rPr>
        <w:t>, על מנת להקל על יישום חובת הייצוג ההולם המעוגנת באותו סעיף</w:t>
      </w:r>
      <w:r w:rsidRPr="00026C8D">
        <w:rPr>
          <w:rtl/>
        </w:rPr>
        <w:t xml:space="preserve">. הסעיף </w:t>
      </w:r>
      <w:r>
        <w:rPr>
          <w:rFonts w:hint="cs"/>
          <w:rtl/>
        </w:rPr>
        <w:t>קובע חובה לתת ביטוי הולם לייצוגן של נשים ב</w:t>
      </w:r>
      <w:r w:rsidRPr="00026C8D">
        <w:rPr>
          <w:rtl/>
        </w:rPr>
        <w:t xml:space="preserve">מינוי, ובין </w:t>
      </w:r>
      <w:r w:rsidR="00710CF2">
        <w:rPr>
          <w:rFonts w:hint="cs"/>
          <w:rtl/>
        </w:rPr>
        <w:t>השאר</w:t>
      </w:r>
      <w:r w:rsidRPr="00026C8D">
        <w:rPr>
          <w:rtl/>
        </w:rPr>
        <w:t xml:space="preserve"> מחייב גוף ממנה שלא איתר אישה מתאימה שתמונה כחברה בוועדה, לפנות לרשות ולקבל פרטי נשים הרלוונטיות למינוי מתוך המאגר, על מנת לבחון את מידת התאמתן למשרה. עוד נקבע כי על הגוף הממנה חלה חובת דיווח לרשות על המינוי שנעשה, </w:t>
      </w:r>
      <w:r w:rsidR="00710CF2">
        <w:rPr>
          <w:rFonts w:hint="cs"/>
          <w:rtl/>
        </w:rPr>
        <w:t>ובמידה ש</w:t>
      </w:r>
      <w:r>
        <w:rPr>
          <w:rFonts w:hint="cs"/>
          <w:rtl/>
        </w:rPr>
        <w:t>הרשות סברה על בסיס הדיווח כי לא ניתן ביטוי הולם לייצוג נשים,</w:t>
      </w:r>
      <w:r w:rsidRPr="00026C8D">
        <w:rPr>
          <w:rtl/>
        </w:rPr>
        <w:t xml:space="preserve"> </w:t>
      </w:r>
      <w:r>
        <w:rPr>
          <w:rFonts w:hint="cs"/>
          <w:rtl/>
        </w:rPr>
        <w:t>תפנה</w:t>
      </w:r>
      <w:r w:rsidRPr="00026C8D">
        <w:rPr>
          <w:rtl/>
        </w:rPr>
        <w:t xml:space="preserve"> לגוף הממנה</w:t>
      </w:r>
      <w:r>
        <w:rPr>
          <w:rFonts w:hint="cs"/>
          <w:rtl/>
        </w:rPr>
        <w:t xml:space="preserve"> בנושא</w:t>
      </w:r>
      <w:r w:rsidRPr="00026C8D">
        <w:rPr>
          <w:rtl/>
        </w:rPr>
        <w:t>. במידה ועשתה הרשות פנייה שכזו, עליה לדווח לוועדה לקידום מעמד האישה ולשוויון מגדרי בכנסת.</w:t>
      </w:r>
      <w:r>
        <w:rPr>
          <w:rFonts w:hint="cs"/>
          <w:rtl/>
        </w:rPr>
        <w:t xml:space="preserve"> נוסף על כך על הרשות להגיש לוועדה לקיד</w:t>
      </w:r>
      <w:r w:rsidR="00710CF2">
        <w:rPr>
          <w:rFonts w:hint="cs"/>
          <w:rtl/>
        </w:rPr>
        <w:t>ום מעמד האישה ולשוויון מגדרי דו</w:t>
      </w:r>
      <w:r>
        <w:rPr>
          <w:rFonts w:hint="cs"/>
          <w:rtl/>
        </w:rPr>
        <w:t>ח שנתי המפרט את המינויים המצריכים דיווח כאמור.</w:t>
      </w:r>
    </w:p>
    <w:p w14:paraId="21B9CB9D" w14:textId="7E6934D2" w:rsidR="00082DBE" w:rsidRPr="00026C8D" w:rsidRDefault="00082DBE" w:rsidP="00EC09DB">
      <w:pPr>
        <w:pStyle w:val="Hesber"/>
        <w:spacing w:line="240" w:lineRule="auto"/>
        <w:rPr>
          <w:rtl/>
        </w:rPr>
      </w:pPr>
      <w:r w:rsidRPr="00026C8D">
        <w:rPr>
          <w:rtl/>
        </w:rPr>
        <w:t xml:space="preserve">מטרת </w:t>
      </w:r>
      <w:r>
        <w:rPr>
          <w:rFonts w:hint="cs"/>
          <w:rtl/>
        </w:rPr>
        <w:t xml:space="preserve">החוק היא </w:t>
      </w:r>
      <w:r w:rsidRPr="00026C8D">
        <w:rPr>
          <w:rtl/>
        </w:rPr>
        <w:t>להבטיח את הייצוג ההולם של נשים ממגוון קבוצות האוכלוסייה בעקבות כשל מ</w:t>
      </w:r>
      <w:r w:rsidR="00EC09DB">
        <w:rPr>
          <w:rtl/>
        </w:rPr>
        <w:t xml:space="preserve">תמשך להוביל לייצוג הולם בגופים </w:t>
      </w:r>
      <w:r w:rsidRPr="00026C8D">
        <w:rPr>
          <w:rtl/>
        </w:rPr>
        <w:t>ציבוריים</w:t>
      </w:r>
      <w:r w:rsidR="00EC09DB">
        <w:rPr>
          <w:rFonts w:hint="cs"/>
          <w:rtl/>
        </w:rPr>
        <w:t xml:space="preserve"> </w:t>
      </w:r>
      <w:bookmarkStart w:id="0" w:name="_GoBack"/>
      <w:bookmarkEnd w:id="0"/>
      <w:r>
        <w:rPr>
          <w:rFonts w:hint="cs"/>
          <w:rtl/>
        </w:rPr>
        <w:t>ובוועדות ציבוריות</w:t>
      </w:r>
      <w:r w:rsidRPr="00026C8D">
        <w:rPr>
          <w:rtl/>
        </w:rPr>
        <w:t xml:space="preserve"> (הסעיף נחקק בעקבות </w:t>
      </w:r>
      <w:r w:rsidR="00F66B65">
        <w:rPr>
          <w:rFonts w:hint="cs"/>
          <w:rtl/>
        </w:rPr>
        <w:t>(</w:t>
      </w:r>
      <w:r w:rsidR="00F66B65" w:rsidRPr="00816CE1">
        <w:rPr>
          <w:rtl/>
        </w:rPr>
        <w:t>בג"ץ 5660/10 </w:t>
      </w:r>
      <w:r w:rsidR="00F66B65" w:rsidRPr="00816CE1">
        <w:rPr>
          <w:b/>
          <w:bCs/>
          <w:rtl/>
        </w:rPr>
        <w:t xml:space="preserve">עמותת איתך </w:t>
      </w:r>
      <w:r w:rsidR="00F66B65">
        <w:rPr>
          <w:rFonts w:hint="cs"/>
          <w:rtl/>
        </w:rPr>
        <w:t>–</w:t>
      </w:r>
      <w:r w:rsidR="00F66B65" w:rsidRPr="00816CE1">
        <w:rPr>
          <w:b/>
          <w:bCs/>
          <w:rtl/>
        </w:rPr>
        <w:t xml:space="preserve"> משפטניות למען צדק נ' ראש ממשלת ישראל</w:t>
      </w:r>
      <w:r w:rsidR="00177DFE">
        <w:rPr>
          <w:rFonts w:hint="cs"/>
          <w:b/>
          <w:bCs/>
          <w:rtl/>
        </w:rPr>
        <w:t>,</w:t>
      </w:r>
      <w:r w:rsidR="00F66B65" w:rsidRPr="00816CE1">
        <w:t xml:space="preserve"> </w:t>
      </w:r>
      <w:r w:rsidR="00F66B65" w:rsidRPr="00816CE1">
        <w:rPr>
          <w:rtl/>
        </w:rPr>
        <w:t>סד(1) 501 (2010)</w:t>
      </w:r>
      <w:r w:rsidR="00F66B65">
        <w:rPr>
          <w:rFonts w:hint="cs"/>
          <w:rtl/>
        </w:rPr>
        <w:t xml:space="preserve">. </w:t>
      </w:r>
      <w:r w:rsidRPr="00026C8D">
        <w:rPr>
          <w:rtl/>
        </w:rPr>
        <w:t xml:space="preserve">לנוכח בג"ץ המנכ"ליות, עולה כי כלי זה עשוי לשמש מנגנון אפקטיבי למימוש חובת הייצוג ההולם </w:t>
      </w:r>
      <w:r>
        <w:rPr>
          <w:rFonts w:hint="cs"/>
          <w:rtl/>
        </w:rPr>
        <w:t>גם במשרות</w:t>
      </w:r>
      <w:r w:rsidRPr="00026C8D">
        <w:rPr>
          <w:rtl/>
        </w:rPr>
        <w:t xml:space="preserve"> בכירים בשירות הציבורי. על כן מוצע </w:t>
      </w:r>
      <w:r w:rsidRPr="00026C8D">
        <w:rPr>
          <w:rFonts w:hint="eastAsia"/>
          <w:rtl/>
        </w:rPr>
        <w:t>להרחיב</w:t>
      </w:r>
      <w:r w:rsidRPr="00026C8D">
        <w:rPr>
          <w:rtl/>
        </w:rPr>
        <w:t xml:space="preserve"> </w:t>
      </w:r>
      <w:r w:rsidRPr="00026C8D">
        <w:rPr>
          <w:rFonts w:hint="eastAsia"/>
          <w:rtl/>
        </w:rPr>
        <w:t>את</w:t>
      </w:r>
      <w:r w:rsidRPr="00026C8D">
        <w:rPr>
          <w:rtl/>
        </w:rPr>
        <w:t xml:space="preserve"> </w:t>
      </w:r>
      <w:r>
        <w:rPr>
          <w:rFonts w:hint="cs"/>
          <w:rtl/>
        </w:rPr>
        <w:t xml:space="preserve">החובה לייצוג הולם ואת </w:t>
      </w:r>
      <w:r w:rsidRPr="00026C8D">
        <w:rPr>
          <w:rFonts w:hint="eastAsia"/>
          <w:rtl/>
        </w:rPr>
        <w:t>סמכו</w:t>
      </w:r>
      <w:r w:rsidRPr="00026C8D">
        <w:rPr>
          <w:rtl/>
        </w:rPr>
        <w:t xml:space="preserve">יותיה </w:t>
      </w:r>
      <w:r w:rsidRPr="00026C8D">
        <w:rPr>
          <w:rFonts w:hint="eastAsia"/>
          <w:rtl/>
        </w:rPr>
        <w:t>של</w:t>
      </w:r>
      <w:r w:rsidRPr="00026C8D">
        <w:rPr>
          <w:rtl/>
        </w:rPr>
        <w:t xml:space="preserve"> </w:t>
      </w:r>
      <w:r w:rsidRPr="00026C8D">
        <w:rPr>
          <w:rFonts w:hint="eastAsia"/>
          <w:rtl/>
        </w:rPr>
        <w:t>הרשות</w:t>
      </w:r>
      <w:r w:rsidRPr="00026C8D">
        <w:rPr>
          <w:rtl/>
        </w:rPr>
        <w:t xml:space="preserve"> לקידום מעמד האישה </w:t>
      </w:r>
      <w:r>
        <w:rPr>
          <w:rFonts w:hint="cs"/>
          <w:rtl/>
        </w:rPr>
        <w:t xml:space="preserve">לפי </w:t>
      </w:r>
      <w:r w:rsidRPr="00026C8D">
        <w:rPr>
          <w:rtl/>
        </w:rPr>
        <w:t>חוק שיווי זכויות ה</w:t>
      </w:r>
      <w:r w:rsidR="00A35312">
        <w:rPr>
          <w:rtl/>
        </w:rPr>
        <w:t>אישה</w:t>
      </w:r>
      <w:r w:rsidRPr="00026C8D">
        <w:rPr>
          <w:rtl/>
        </w:rPr>
        <w:t xml:space="preserve"> </w:t>
      </w:r>
      <w:r>
        <w:rPr>
          <w:rFonts w:hint="cs"/>
          <w:rtl/>
        </w:rPr>
        <w:t xml:space="preserve">גם </w:t>
      </w:r>
      <w:r w:rsidRPr="00422F16">
        <w:rPr>
          <w:rtl/>
        </w:rPr>
        <w:t>למשרות בכירו</w:t>
      </w:r>
      <w:r>
        <w:rPr>
          <w:rFonts w:hint="cs"/>
          <w:rtl/>
        </w:rPr>
        <w:t>ת במשרדים ממשלתיים.</w:t>
      </w:r>
    </w:p>
    <w:p w14:paraId="6FC51575" w14:textId="77777777" w:rsidR="00082DBE" w:rsidRPr="00026C8D" w:rsidRDefault="00082DBE" w:rsidP="001572B9">
      <w:pPr>
        <w:pStyle w:val="Hesber"/>
        <w:spacing w:line="240" w:lineRule="auto"/>
        <w:rPr>
          <w:rtl/>
        </w:rPr>
      </w:pPr>
      <w:r>
        <w:rPr>
          <w:rFonts w:hint="cs"/>
          <w:rtl/>
        </w:rPr>
        <w:t xml:space="preserve">נוסף על כך </w:t>
      </w:r>
      <w:r w:rsidRPr="00026C8D">
        <w:rPr>
          <w:rtl/>
        </w:rPr>
        <w:t>מוצע להרחיב את תחולת המאגר</w:t>
      </w:r>
      <w:r>
        <w:rPr>
          <w:rFonts w:hint="cs"/>
          <w:rtl/>
        </w:rPr>
        <w:t xml:space="preserve"> והשימוש בו כך </w:t>
      </w:r>
      <w:r w:rsidRPr="00026C8D">
        <w:rPr>
          <w:rtl/>
        </w:rPr>
        <w:t>שיוכל לשמש כ</w:t>
      </w:r>
      <w:r>
        <w:rPr>
          <w:rFonts w:hint="cs"/>
          <w:rtl/>
        </w:rPr>
        <w:t>כ</w:t>
      </w:r>
      <w:r w:rsidRPr="00026C8D">
        <w:rPr>
          <w:rtl/>
        </w:rPr>
        <w:t xml:space="preserve">לי מרכזי עבור שרים ומנכ"לים לאיתור מועמדות מתאימות למשרות בכירות בשירות המדינה. </w:t>
      </w:r>
    </w:p>
    <w:p w14:paraId="76D51805" w14:textId="2790BA52" w:rsidR="00082DBE" w:rsidRDefault="00082DBE" w:rsidP="001572B9">
      <w:pPr>
        <w:pStyle w:val="Hesber"/>
        <w:spacing w:line="240" w:lineRule="auto"/>
        <w:rPr>
          <w:rtl/>
        </w:rPr>
      </w:pPr>
      <w:r w:rsidRPr="00026C8D">
        <w:rPr>
          <w:rtl/>
        </w:rPr>
        <w:t>במסגרת התיקון מוצע להבחין בין הרחבת המאגר, אשר תחול על כלל המשרות הבכירות, לבין ההליך, אשר יחול רק בנוגע למשרות שהליך המינוי אליהן נעשה שלא בהליך תחרותי</w:t>
      </w:r>
      <w:r>
        <w:rPr>
          <w:rFonts w:hint="cs"/>
          <w:rtl/>
        </w:rPr>
        <w:t>.</w:t>
      </w:r>
      <w:r w:rsidRPr="00026C8D">
        <w:rPr>
          <w:rtl/>
        </w:rPr>
        <w:t xml:space="preserve"> </w:t>
      </w:r>
    </w:p>
    <w:p w14:paraId="7648A777" w14:textId="77777777" w:rsidR="00382F60" w:rsidRPr="00026C8D" w:rsidRDefault="00382F60" w:rsidP="001572B9">
      <w:pPr>
        <w:pStyle w:val="Hesber"/>
        <w:spacing w:line="240" w:lineRule="auto"/>
        <w:rPr>
          <w:rtl/>
        </w:rPr>
      </w:pPr>
    </w:p>
    <w:p w14:paraId="13F83089" w14:textId="6F21E246" w:rsidR="00CF16F1" w:rsidRDefault="00082DBE" w:rsidP="001572B9">
      <w:pPr>
        <w:pStyle w:val="Hesber"/>
        <w:spacing w:line="240" w:lineRule="auto"/>
        <w:ind w:firstLine="0"/>
      </w:pPr>
      <w:r w:rsidRPr="00A8096C">
        <w:rPr>
          <w:rFonts w:hint="cs"/>
          <w:rtl/>
        </w:rPr>
        <w:t xml:space="preserve">   </w:t>
      </w:r>
      <w:bookmarkStart w:id="1" w:name="selectedDocDateB"/>
      <w:bookmarkEnd w:id="1"/>
      <w:r w:rsidR="00A35312">
        <w:rPr>
          <w:rFonts w:ascii="David" w:eastAsia="David" w:hAnsi="David" w:hint="cs"/>
          <w:sz w:val="26"/>
          <w:rtl/>
        </w:rPr>
        <w:t>--------------------------------</w:t>
      </w:r>
    </w:p>
    <w:p w14:paraId="336AAEB1" w14:textId="77777777" w:rsidR="00CF16F1" w:rsidRDefault="00A35312" w:rsidP="001572B9">
      <w:pPr>
        <w:spacing w:line="240" w:lineRule="auto"/>
        <w:jc w:val="left"/>
      </w:pPr>
      <w:r>
        <w:rPr>
          <w:rFonts w:eastAsia="David" w:hint="cs"/>
          <w:sz w:val="26"/>
          <w:szCs w:val="26"/>
          <w:rtl/>
        </w:rPr>
        <w:t>הוגשה ליו"ר הכנסת והסגנים</w:t>
      </w:r>
    </w:p>
    <w:p w14:paraId="1EBC9B9D" w14:textId="77777777" w:rsidR="00CF16F1" w:rsidRDefault="00A35312" w:rsidP="001572B9">
      <w:pPr>
        <w:spacing w:line="240" w:lineRule="auto"/>
        <w:jc w:val="left"/>
      </w:pPr>
      <w:r>
        <w:rPr>
          <w:rFonts w:eastAsia="David" w:hint="cs"/>
          <w:sz w:val="26"/>
          <w:szCs w:val="26"/>
          <w:rtl/>
        </w:rPr>
        <w:t>והונחה על שולחן הכנסת ביום</w:t>
      </w:r>
    </w:p>
    <w:p w14:paraId="44AA8B4F" w14:textId="77777777" w:rsidR="00CF16F1" w:rsidRDefault="00A35312" w:rsidP="001572B9">
      <w:pPr>
        <w:spacing w:line="240" w:lineRule="auto"/>
        <w:jc w:val="left"/>
      </w:pPr>
      <w:r>
        <w:rPr>
          <w:rFonts w:eastAsia="David" w:hint="cs"/>
          <w:sz w:val="26"/>
          <w:szCs w:val="26"/>
          <w:rtl/>
        </w:rPr>
        <w:t xml:space="preserve">כ"א בתמוז התשפ"ו (06.07.2026) </w:t>
      </w:r>
    </w:p>
    <w:p w14:paraId="4206A517" w14:textId="77777777" w:rsidR="00CF16F1" w:rsidRDefault="00CF16F1">
      <w:pPr>
        <w:spacing w:line="276" w:lineRule="auto"/>
        <w:jc w:val="left"/>
      </w:pPr>
    </w:p>
    <w:sectPr w:rsidR="00CF16F1" w:rsidSect="00F66B65">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adasa Roso SL">
    <w:altName w:val="Times New Roman"/>
    <w:charset w:val="00"/>
    <w:family w:val="roman"/>
    <w:pitch w:val="variable"/>
    <w:sig w:usb0="80001827" w:usb1="5000004A" w:usb2="0000002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0EF54C1E" w:rsidR="002C3041" w:rsidRPr="00A8096C" w:rsidRDefault="002C3041" w:rsidP="001207F8">
    <w:pPr>
      <w:pStyle w:val="a9"/>
      <w:framePr w:wrap="around" w:vAnchor="text" w:hAnchor="text" w:xAlign="center" w:y="1"/>
      <w:rPr>
        <w:rStyle w:val="ab"/>
      </w:rPr>
    </w:pPr>
    <w:r w:rsidRPr="00A8096C">
      <w:rPr>
        <w:rStyle w:val="ab"/>
        <w:rtl/>
      </w:rPr>
      <w:fldChar w:fldCharType="begin"/>
    </w:r>
    <w:r w:rsidRPr="00A8096C">
      <w:rPr>
        <w:rStyle w:val="ab"/>
      </w:rPr>
      <w:instrText xml:space="preserve">PAGE  </w:instrText>
    </w:r>
    <w:r w:rsidRPr="00A8096C">
      <w:rPr>
        <w:rStyle w:val="ab"/>
        <w:rtl/>
      </w:rPr>
      <w:fldChar w:fldCharType="separate"/>
    </w:r>
    <w:r w:rsidR="00EC09DB">
      <w:rPr>
        <w:rStyle w:val="ab"/>
        <w:noProof/>
        <w:rtl/>
      </w:rPr>
      <w:t>2</w:t>
    </w:r>
    <w:r w:rsidRPr="00A8096C">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F66B65">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3933ACB3" w14:textId="77777777" w:rsidR="00082DBE" w:rsidRDefault="00082DBE" w:rsidP="00082DBE">
      <w:pPr>
        <w:pStyle w:val="a4"/>
      </w:pPr>
      <w:r>
        <w:rPr>
          <w:rStyle w:val="a6"/>
        </w:rPr>
        <w:footnoteRef/>
      </w:r>
      <w:r>
        <w:rPr>
          <w:rtl/>
        </w:rPr>
        <w:t xml:space="preserve"> </w:t>
      </w:r>
      <w:r>
        <w:rPr>
          <w:rFonts w:hint="cs"/>
          <w:rtl/>
        </w:rPr>
        <w:t>ס"ח תשי"א, עמ' 248.</w:t>
      </w:r>
    </w:p>
  </w:footnote>
  <w:footnote w:id="3">
    <w:p w14:paraId="0E752A85" w14:textId="77777777" w:rsidR="00082DBE" w:rsidRDefault="00082DBE" w:rsidP="00082DBE">
      <w:pPr>
        <w:pStyle w:val="a4"/>
      </w:pPr>
      <w:r>
        <w:rPr>
          <w:rStyle w:val="a6"/>
        </w:rPr>
        <w:footnoteRef/>
      </w:r>
      <w:r>
        <w:rPr>
          <w:rtl/>
        </w:rPr>
        <w:t xml:space="preserve"> </w:t>
      </w:r>
      <w:r>
        <w:rPr>
          <w:rFonts w:hint="cs"/>
          <w:rtl/>
        </w:rPr>
        <w:t>ס"ח התשי"ט, עמ' 86.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3"/>
    <w:lvlOverride w:ilvl="0">
      <w:startOverride w:val="1"/>
    </w:lvlOverride>
  </w:num>
  <w:num w:numId="18">
    <w:abstractNumId w:val="10"/>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207D9"/>
    <w:rsid w:val="00063A3E"/>
    <w:rsid w:val="00072CAC"/>
    <w:rsid w:val="0007681A"/>
    <w:rsid w:val="00082DBE"/>
    <w:rsid w:val="000A542E"/>
    <w:rsid w:val="00102B6B"/>
    <w:rsid w:val="001052D4"/>
    <w:rsid w:val="0010644B"/>
    <w:rsid w:val="001207F8"/>
    <w:rsid w:val="00121924"/>
    <w:rsid w:val="001279A8"/>
    <w:rsid w:val="0014195F"/>
    <w:rsid w:val="00152609"/>
    <w:rsid w:val="00153E1B"/>
    <w:rsid w:val="00154A1B"/>
    <w:rsid w:val="001572B9"/>
    <w:rsid w:val="001653F3"/>
    <w:rsid w:val="00177DFE"/>
    <w:rsid w:val="00194A06"/>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261A9"/>
    <w:rsid w:val="00335E05"/>
    <w:rsid w:val="0036422C"/>
    <w:rsid w:val="003710F6"/>
    <w:rsid w:val="00382F60"/>
    <w:rsid w:val="00386E88"/>
    <w:rsid w:val="00396585"/>
    <w:rsid w:val="003A7212"/>
    <w:rsid w:val="003D6E38"/>
    <w:rsid w:val="003D74A0"/>
    <w:rsid w:val="004033D8"/>
    <w:rsid w:val="004073F0"/>
    <w:rsid w:val="00412A7D"/>
    <w:rsid w:val="00416B4D"/>
    <w:rsid w:val="00417CFC"/>
    <w:rsid w:val="00450A33"/>
    <w:rsid w:val="004601CF"/>
    <w:rsid w:val="004A06DC"/>
    <w:rsid w:val="004B24ED"/>
    <w:rsid w:val="004B6625"/>
    <w:rsid w:val="004D2D82"/>
    <w:rsid w:val="004D3876"/>
    <w:rsid w:val="004E4552"/>
    <w:rsid w:val="004E6CDF"/>
    <w:rsid w:val="00553C9D"/>
    <w:rsid w:val="00562A66"/>
    <w:rsid w:val="00583928"/>
    <w:rsid w:val="00584870"/>
    <w:rsid w:val="005A6044"/>
    <w:rsid w:val="005B064E"/>
    <w:rsid w:val="005B4543"/>
    <w:rsid w:val="005D51AE"/>
    <w:rsid w:val="0062674B"/>
    <w:rsid w:val="006363B2"/>
    <w:rsid w:val="00644940"/>
    <w:rsid w:val="006818A9"/>
    <w:rsid w:val="006A2D81"/>
    <w:rsid w:val="006C1D0D"/>
    <w:rsid w:val="0070601E"/>
    <w:rsid w:val="00710CF2"/>
    <w:rsid w:val="00712C72"/>
    <w:rsid w:val="00735FE9"/>
    <w:rsid w:val="00763CAA"/>
    <w:rsid w:val="00765F66"/>
    <w:rsid w:val="0078664F"/>
    <w:rsid w:val="0079213C"/>
    <w:rsid w:val="007A0CC7"/>
    <w:rsid w:val="007A27CE"/>
    <w:rsid w:val="007A4694"/>
    <w:rsid w:val="007C3FA6"/>
    <w:rsid w:val="007D585A"/>
    <w:rsid w:val="007D5A12"/>
    <w:rsid w:val="007E59F9"/>
    <w:rsid w:val="0080072D"/>
    <w:rsid w:val="0081058D"/>
    <w:rsid w:val="00810BCD"/>
    <w:rsid w:val="00812C98"/>
    <w:rsid w:val="00814D92"/>
    <w:rsid w:val="0081613B"/>
    <w:rsid w:val="00816CE1"/>
    <w:rsid w:val="00825B00"/>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35312"/>
    <w:rsid w:val="00A443CF"/>
    <w:rsid w:val="00A63B89"/>
    <w:rsid w:val="00A6611D"/>
    <w:rsid w:val="00A8096C"/>
    <w:rsid w:val="00A82CB7"/>
    <w:rsid w:val="00A942C1"/>
    <w:rsid w:val="00AA2F03"/>
    <w:rsid w:val="00AC36F7"/>
    <w:rsid w:val="00AC63A4"/>
    <w:rsid w:val="00AD239E"/>
    <w:rsid w:val="00AE25EA"/>
    <w:rsid w:val="00B06700"/>
    <w:rsid w:val="00B10265"/>
    <w:rsid w:val="00B16A99"/>
    <w:rsid w:val="00B21211"/>
    <w:rsid w:val="00B35784"/>
    <w:rsid w:val="00B733A7"/>
    <w:rsid w:val="00B75C91"/>
    <w:rsid w:val="00B975AD"/>
    <w:rsid w:val="00BC45FB"/>
    <w:rsid w:val="00BF148D"/>
    <w:rsid w:val="00C23B1A"/>
    <w:rsid w:val="00C310EB"/>
    <w:rsid w:val="00C56F73"/>
    <w:rsid w:val="00C9176A"/>
    <w:rsid w:val="00CF16F1"/>
    <w:rsid w:val="00CF1AA2"/>
    <w:rsid w:val="00D02D4D"/>
    <w:rsid w:val="00D142D3"/>
    <w:rsid w:val="00D17774"/>
    <w:rsid w:val="00D63620"/>
    <w:rsid w:val="00D671C6"/>
    <w:rsid w:val="00D8410D"/>
    <w:rsid w:val="00D867D7"/>
    <w:rsid w:val="00D94427"/>
    <w:rsid w:val="00DB7060"/>
    <w:rsid w:val="00DE2DB5"/>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B42AE"/>
    <w:rsid w:val="00EC09DB"/>
    <w:rsid w:val="00ED4A6F"/>
    <w:rsid w:val="00EE6CAD"/>
    <w:rsid w:val="00EF3A3A"/>
    <w:rsid w:val="00F31ED5"/>
    <w:rsid w:val="00F628D6"/>
    <w:rsid w:val="00F66B65"/>
    <w:rsid w:val="00F67051"/>
    <w:rsid w:val="00F70B60"/>
    <w:rsid w:val="00F86A1E"/>
    <w:rsid w:val="00FA5E88"/>
    <w:rsid w:val="00FE62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BBFEA0F3-D321-42F9-AC69-C01C54C0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6B65"/>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F66B65"/>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F66B65"/>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F66B65"/>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F66B65"/>
    <w:pPr>
      <w:numPr>
        <w:numId w:val="19"/>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F66B65"/>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F66B65"/>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F66B65"/>
    <w:rPr>
      <w:sz w:val="36"/>
      <w:szCs w:val="52"/>
    </w:rPr>
  </w:style>
  <w:style w:type="paragraph" w:customStyle="1" w:styleId="Cover3-Haknesset">
    <w:name w:val="Cover 3-Haknesset"/>
    <w:basedOn w:val="Cover1-Reshumot"/>
    <w:rsid w:val="00F66B65"/>
    <w:rPr>
      <w:b/>
      <w:bCs/>
      <w:spacing w:val="60"/>
    </w:rPr>
  </w:style>
  <w:style w:type="paragraph" w:customStyle="1" w:styleId="Cover4-Date">
    <w:name w:val="Cover 4-Date"/>
    <w:basedOn w:val="a"/>
    <w:rsid w:val="00F66B65"/>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F66B65"/>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F66B65"/>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F66B65"/>
    <w:pPr>
      <w:spacing w:before="120" w:after="120"/>
    </w:pPr>
    <w:rPr>
      <w:color w:val="FF0000"/>
      <w:w w:val="80"/>
    </w:rPr>
  </w:style>
  <w:style w:type="paragraph" w:styleId="a3">
    <w:name w:val="endnote text"/>
    <w:basedOn w:val="a"/>
    <w:semiHidden/>
    <w:rsid w:val="00F66B65"/>
    <w:pPr>
      <w:ind w:left="227" w:hanging="227"/>
    </w:pPr>
    <w:rPr>
      <w:sz w:val="14"/>
      <w:szCs w:val="22"/>
    </w:rPr>
  </w:style>
  <w:style w:type="paragraph" w:customStyle="1" w:styleId="TableText">
    <w:name w:val="Table Text"/>
    <w:basedOn w:val="a"/>
    <w:rsid w:val="00F66B65"/>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F66B65"/>
    <w:pPr>
      <w:outlineLvl w:val="2"/>
    </w:pPr>
  </w:style>
  <w:style w:type="paragraph" w:customStyle="1" w:styleId="TableBlock">
    <w:name w:val="Table Block"/>
    <w:basedOn w:val="TableText"/>
    <w:rsid w:val="00F66B65"/>
    <w:pPr>
      <w:jc w:val="both"/>
    </w:pPr>
  </w:style>
  <w:style w:type="paragraph" w:customStyle="1" w:styleId="TableHead">
    <w:name w:val="Table Head"/>
    <w:basedOn w:val="TableText"/>
    <w:rsid w:val="00F66B65"/>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F66B65"/>
    <w:pPr>
      <w:outlineLvl w:val="9"/>
    </w:pPr>
  </w:style>
  <w:style w:type="paragraph" w:customStyle="1" w:styleId="Hesber">
    <w:name w:val="Hesber"/>
    <w:basedOn w:val="a"/>
    <w:rsid w:val="00F66B65"/>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F66B65"/>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F66B65"/>
    <w:rPr>
      <w:vertAlign w:val="superscript"/>
    </w:rPr>
  </w:style>
  <w:style w:type="paragraph" w:customStyle="1" w:styleId="HesberHeading">
    <w:name w:val="Hesber Heading"/>
    <w:basedOn w:val="Hesber"/>
    <w:rsid w:val="00F66B65"/>
    <w:pPr>
      <w:tabs>
        <w:tab w:val="left" w:pos="624"/>
        <w:tab w:val="left" w:pos="1247"/>
      </w:tabs>
    </w:pPr>
    <w:rPr>
      <w:b/>
      <w:bCs/>
    </w:rPr>
  </w:style>
  <w:style w:type="paragraph" w:customStyle="1" w:styleId="HesberWriters">
    <w:name w:val="Hesber Writers"/>
    <w:basedOn w:val="Hesber"/>
    <w:rsid w:val="00F66B65"/>
    <w:pPr>
      <w:spacing w:before="120" w:after="120"/>
      <w:ind w:left="1418"/>
      <w:jc w:val="right"/>
    </w:pPr>
    <w:rPr>
      <w:b/>
      <w:bCs/>
    </w:rPr>
  </w:style>
  <w:style w:type="paragraph" w:customStyle="1" w:styleId="Hesber1st">
    <w:name w:val="Hesber 1st"/>
    <w:basedOn w:val="Hesber"/>
    <w:rsid w:val="00F66B65"/>
    <w:pPr>
      <w:tabs>
        <w:tab w:val="left" w:pos="680"/>
        <w:tab w:val="left" w:pos="1020"/>
      </w:tabs>
      <w:ind w:firstLine="0"/>
    </w:pPr>
  </w:style>
  <w:style w:type="character" w:styleId="a7">
    <w:name w:val="endnote reference"/>
    <w:basedOn w:val="a0"/>
    <w:semiHidden/>
    <w:rsid w:val="00F66B65"/>
    <w:rPr>
      <w:vertAlign w:val="superscript"/>
    </w:rPr>
  </w:style>
  <w:style w:type="paragraph" w:customStyle="1" w:styleId="TableBlockOutdent">
    <w:name w:val="Table BlockOutdent"/>
    <w:basedOn w:val="TableBlock"/>
    <w:rsid w:val="00F66B65"/>
    <w:pPr>
      <w:ind w:left="624" w:hanging="624"/>
    </w:pPr>
  </w:style>
  <w:style w:type="paragraph" w:styleId="a8">
    <w:name w:val="header"/>
    <w:basedOn w:val="a"/>
    <w:rsid w:val="00F66B65"/>
    <w:pPr>
      <w:tabs>
        <w:tab w:val="center" w:pos="4153"/>
        <w:tab w:val="right" w:pos="8306"/>
      </w:tabs>
    </w:pPr>
  </w:style>
  <w:style w:type="paragraph" w:styleId="a9">
    <w:name w:val="footer"/>
    <w:basedOn w:val="a"/>
    <w:rsid w:val="00F66B65"/>
    <w:pPr>
      <w:tabs>
        <w:tab w:val="center" w:pos="4153"/>
        <w:tab w:val="right" w:pos="8306"/>
      </w:tabs>
    </w:pPr>
  </w:style>
  <w:style w:type="paragraph" w:customStyle="1" w:styleId="HeadDivreiHesber">
    <w:name w:val="Head DivreiHesber"/>
    <w:basedOn w:val="a"/>
    <w:rsid w:val="00F66B65"/>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F66B65"/>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F66B65"/>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A8096C"/>
    <w:rPr>
      <w:rFonts w:ascii="Arial" w:eastAsia="Arial Unicode MS" w:hAnsi="Arial" w:cs="David"/>
      <w:snapToGrid w:val="0"/>
      <w:sz w:val="14"/>
    </w:rPr>
  </w:style>
  <w:style w:type="character" w:styleId="ae">
    <w:name w:val="annotation reference"/>
    <w:basedOn w:val="a0"/>
    <w:semiHidden/>
    <w:unhideWhenUsed/>
    <w:rsid w:val="004601CF"/>
    <w:rPr>
      <w:sz w:val="16"/>
      <w:szCs w:val="16"/>
    </w:rPr>
  </w:style>
  <w:style w:type="paragraph" w:styleId="af">
    <w:name w:val="annotation text"/>
    <w:basedOn w:val="a"/>
    <w:link w:val="af0"/>
    <w:semiHidden/>
    <w:unhideWhenUsed/>
    <w:rsid w:val="004601CF"/>
    <w:pPr>
      <w:spacing w:line="240" w:lineRule="auto"/>
    </w:pPr>
    <w:rPr>
      <w:sz w:val="20"/>
      <w:szCs w:val="20"/>
    </w:rPr>
  </w:style>
  <w:style w:type="character" w:customStyle="1" w:styleId="af0">
    <w:name w:val="טקסט הערה תו"/>
    <w:basedOn w:val="a0"/>
    <w:link w:val="af"/>
    <w:semiHidden/>
    <w:rsid w:val="004601CF"/>
    <w:rPr>
      <w:rFonts w:ascii="Hadasa Roso SL" w:hAnsi="Hadasa Roso SL" w:cs="Hadasa Roso SL"/>
      <w:color w:val="000000"/>
      <w:spacing w:val="1"/>
      <w:lang w:eastAsia="ja-JP"/>
    </w:rPr>
  </w:style>
  <w:style w:type="paragraph" w:styleId="af1">
    <w:name w:val="annotation subject"/>
    <w:basedOn w:val="af"/>
    <w:next w:val="af"/>
    <w:link w:val="af2"/>
    <w:semiHidden/>
    <w:unhideWhenUsed/>
    <w:rsid w:val="004601CF"/>
    <w:rPr>
      <w:b/>
      <w:bCs/>
    </w:rPr>
  </w:style>
  <w:style w:type="character" w:customStyle="1" w:styleId="af2">
    <w:name w:val="נושא הערה תו"/>
    <w:basedOn w:val="af0"/>
    <w:link w:val="af1"/>
    <w:semiHidden/>
    <w:rsid w:val="004601CF"/>
    <w:rPr>
      <w:rFonts w:ascii="Hadasa Roso SL" w:hAnsi="Hadasa Roso SL" w:cs="Hadasa Roso SL"/>
      <w:b/>
      <w:bCs/>
      <w:color w:val="000000"/>
      <w:spacing w:val="1"/>
      <w:lang w:eastAsia="ja-JP"/>
    </w:rPr>
  </w:style>
  <w:style w:type="character" w:customStyle="1" w:styleId="10">
    <w:name w:val="כותרת 1 תו"/>
    <w:basedOn w:val="a0"/>
    <w:link w:val="1"/>
    <w:uiPriority w:val="9"/>
    <w:rsid w:val="00F66B65"/>
    <w:rPr>
      <w:rFonts w:asciiTheme="majorHAnsi" w:eastAsiaTheme="majorEastAsia" w:hAnsiTheme="majorHAnsi" w:cs="David"/>
      <w:bCs/>
      <w:sz w:val="32"/>
      <w:szCs w:val="36"/>
    </w:rPr>
  </w:style>
  <w:style w:type="character" w:customStyle="1" w:styleId="20">
    <w:name w:val="כותרת 2 תו"/>
    <w:basedOn w:val="a0"/>
    <w:link w:val="2"/>
    <w:rsid w:val="00F66B65"/>
    <w:rPr>
      <w:rFonts w:asciiTheme="majorHAnsi" w:eastAsiaTheme="majorEastAsia" w:hAnsiTheme="majorHAnsi" w:cs="David"/>
      <w:bCs/>
      <w:sz w:val="26"/>
      <w:szCs w:val="36"/>
      <w:u w:val="single"/>
    </w:rPr>
  </w:style>
  <w:style w:type="character" w:customStyle="1" w:styleId="30">
    <w:name w:val="כותרת 3 תו"/>
    <w:basedOn w:val="a0"/>
    <w:link w:val="3"/>
    <w:rsid w:val="00F66B65"/>
    <w:rPr>
      <w:rFonts w:asciiTheme="majorHAnsi" w:eastAsiaTheme="majorEastAsia" w:hAnsiTheme="majorHAnsi" w:cs="David"/>
      <w:sz w:val="24"/>
      <w:szCs w:val="28"/>
      <w:u w:val="double"/>
    </w:rPr>
  </w:style>
  <w:style w:type="character" w:customStyle="1" w:styleId="40">
    <w:name w:val="כותרת 4 תו"/>
    <w:basedOn w:val="a0"/>
    <w:link w:val="4"/>
    <w:uiPriority w:val="9"/>
    <w:rsid w:val="00F66B65"/>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F66B65"/>
    <w:rPr>
      <w:rFonts w:ascii="David" w:eastAsiaTheme="minorHAnsi" w:hAnsi="David" w:cs="David"/>
      <w:color w:val="000000" w:themeColor="text1"/>
      <w:sz w:val="24"/>
      <w:szCs w:val="24"/>
    </w:rPr>
  </w:style>
  <w:style w:type="paragraph" w:styleId="af3">
    <w:name w:val="TOC Heading"/>
    <w:basedOn w:val="1"/>
    <w:next w:val="a"/>
    <w:uiPriority w:val="39"/>
    <w:unhideWhenUsed/>
    <w:qFormat/>
    <w:rsid w:val="00F66B65"/>
    <w:pPr>
      <w:widowControl/>
      <w:spacing w:before="120" w:after="120"/>
      <w:outlineLvl w:val="9"/>
    </w:pPr>
    <w:rPr>
      <w:rtl/>
      <w:cs/>
    </w:rPr>
  </w:style>
  <w:style w:type="paragraph" w:styleId="TOC1">
    <w:name w:val="toc 1"/>
    <w:basedOn w:val="a"/>
    <w:next w:val="a"/>
    <w:autoRedefine/>
    <w:uiPriority w:val="39"/>
    <w:unhideWhenUsed/>
    <w:rsid w:val="00F66B65"/>
    <w:pPr>
      <w:tabs>
        <w:tab w:val="right" w:leader="dot" w:pos="9629"/>
      </w:tabs>
      <w:spacing w:after="100"/>
    </w:pPr>
    <w:rPr>
      <w:bCs/>
      <w:szCs w:val="22"/>
    </w:rPr>
  </w:style>
  <w:style w:type="paragraph" w:styleId="TOC2">
    <w:name w:val="toc 2"/>
    <w:basedOn w:val="a"/>
    <w:next w:val="a"/>
    <w:uiPriority w:val="39"/>
    <w:unhideWhenUsed/>
    <w:rsid w:val="00F66B65"/>
    <w:pPr>
      <w:tabs>
        <w:tab w:val="right" w:leader="dot" w:pos="9628"/>
      </w:tabs>
      <w:spacing w:after="100"/>
    </w:pPr>
    <w:rPr>
      <w:szCs w:val="22"/>
    </w:rPr>
  </w:style>
  <w:style w:type="character" w:styleId="Hyperlink">
    <w:name w:val="Hyperlink"/>
    <w:basedOn w:val="a0"/>
    <w:uiPriority w:val="99"/>
    <w:unhideWhenUsed/>
    <w:rsid w:val="00F66B65"/>
    <w:rPr>
      <w:color w:val="0000FF" w:themeColor="hyperlink"/>
      <w:u w:val="single"/>
    </w:rPr>
  </w:style>
  <w:style w:type="paragraph" w:styleId="TOC3">
    <w:name w:val="toc 3"/>
    <w:basedOn w:val="a"/>
    <w:next w:val="a"/>
    <w:uiPriority w:val="39"/>
    <w:unhideWhenUsed/>
    <w:rsid w:val="00F66B65"/>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F66B65"/>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F66B65"/>
    <w:pPr>
      <w:tabs>
        <w:tab w:val="right" w:leader="dot" w:pos="9628"/>
      </w:tabs>
      <w:spacing w:after="100"/>
      <w:ind w:left="567"/>
    </w:pPr>
    <w:rPr>
      <w:szCs w:val="22"/>
    </w:rPr>
  </w:style>
  <w:style w:type="paragraph" w:styleId="TOC6">
    <w:name w:val="toc 6"/>
    <w:basedOn w:val="a"/>
    <w:next w:val="a"/>
    <w:autoRedefine/>
    <w:semiHidden/>
    <w:unhideWhenUsed/>
    <w:rsid w:val="00F66B65"/>
    <w:pPr>
      <w:spacing w:after="100"/>
      <w:ind w:left="850"/>
    </w:pPr>
  </w:style>
  <w:style w:type="paragraph" w:styleId="TOC7">
    <w:name w:val="toc 7"/>
    <w:basedOn w:val="a"/>
    <w:next w:val="a"/>
    <w:autoRedefine/>
    <w:semiHidden/>
    <w:unhideWhenUsed/>
    <w:rsid w:val="00F66B65"/>
    <w:pPr>
      <w:spacing w:after="100"/>
      <w:ind w:left="1020"/>
    </w:pPr>
  </w:style>
  <w:style w:type="paragraph" w:styleId="TOC8">
    <w:name w:val="toc 8"/>
    <w:basedOn w:val="a"/>
    <w:next w:val="a"/>
    <w:autoRedefine/>
    <w:semiHidden/>
    <w:unhideWhenUsed/>
    <w:rsid w:val="00F66B65"/>
    <w:pPr>
      <w:spacing w:after="100"/>
      <w:ind w:left="1190"/>
    </w:pPr>
  </w:style>
  <w:style w:type="paragraph" w:styleId="TOC9">
    <w:name w:val="toc 9"/>
    <w:basedOn w:val="a"/>
    <w:next w:val="a"/>
    <w:autoRedefine/>
    <w:semiHidden/>
    <w:unhideWhenUsed/>
    <w:rsid w:val="00F66B65"/>
    <w:pPr>
      <w:spacing w:after="100"/>
      <w:ind w:left="1360"/>
    </w:pPr>
  </w:style>
  <w:style w:type="paragraph" w:customStyle="1" w:styleId="TableHead2">
    <w:name w:val="Table Head2"/>
    <w:basedOn w:val="TableHead"/>
    <w:qFormat/>
    <w:rsid w:val="00F66B65"/>
    <w:pPr>
      <w:outlineLvl w:val="9"/>
    </w:pPr>
  </w:style>
  <w:style w:type="paragraph" w:customStyle="1" w:styleId="TableSideHeading2">
    <w:name w:val="Table SideHeading2"/>
    <w:basedOn w:val="TableSideHeading"/>
    <w:autoRedefine/>
    <w:qFormat/>
    <w:rsid w:val="00F66B65"/>
    <w:pPr>
      <w:keepLines w:val="0"/>
      <w:outlineLvl w:val="9"/>
    </w:pPr>
  </w:style>
  <w:style w:type="paragraph" w:customStyle="1" w:styleId="0">
    <w:name w:val="סגנון שורה ראשונה:  0  ס''מ"/>
    <w:basedOn w:val="2"/>
    <w:rsid w:val="00F66B65"/>
    <w:rPr>
      <w:rFonts w:eastAsia="Times New Roman"/>
    </w:rPr>
  </w:style>
  <w:style w:type="paragraph" w:styleId="af4">
    <w:name w:val="List Paragraph"/>
    <w:basedOn w:val="a"/>
    <w:uiPriority w:val="34"/>
    <w:qFormat/>
    <w:rsid w:val="00F66B65"/>
    <w:pPr>
      <w:widowControl/>
      <w:spacing w:line="259" w:lineRule="auto"/>
    </w:pPr>
    <w:rPr>
      <w:rFonts w:asciiTheme="minorHAnsi" w:hAnsiTheme="minorHAnsi"/>
      <w:sz w:val="22"/>
    </w:rPr>
  </w:style>
  <w:style w:type="table" w:styleId="af5">
    <w:name w:val="Table Grid"/>
    <w:basedOn w:val="a1"/>
    <w:rsid w:val="00F66B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F66B6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F66B6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6">
    <w:name w:val="טבלת חקיקה"/>
    <w:basedOn w:val="a1"/>
    <w:uiPriority w:val="99"/>
    <w:rsid w:val="00F66B65"/>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F66B65"/>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2FF62C6D-360D-4814-88B8-D5A827826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4AFE3-9455-419C-8851-785A55F44517}">
  <ds:schemaRefs>
    <ds:schemaRef ds:uri="http://www.w3.org/XML/1998/namespace"/>
    <ds:schemaRef ds:uri="http://purl.org/dc/terms/"/>
    <ds:schemaRef ds:uri="http://schemas.microsoft.com/office/2006/metadata/properties"/>
    <ds:schemaRef ds:uri="http://schemas.microsoft.com/office/2006/documentManagement/types"/>
    <ds:schemaRef ds:uri="http://purl.org/dc/elements/1.1/"/>
    <ds:schemaRef ds:uri="290d5b49-c690-4c6f-bbb9-1e50dab33eee"/>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9F8A7856-3E5C-43F1-94A0-C62E44592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2</Pages>
  <Words>645</Words>
  <Characters>3227</Characters>
  <Application>Microsoft Office Word</Application>
  <DocSecurity>0</DocSecurity>
  <Lines>26</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32</cp:revision>
  <cp:lastPrinted>2026-07-05T11:52:00Z</cp:lastPrinted>
  <dcterms:created xsi:type="dcterms:W3CDTF">2015-04-20T09:58:00Z</dcterms:created>
  <dcterms:modified xsi:type="dcterms:W3CDTF">2026-07-05T11:58:00Z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2241135</vt:r8>
  </property>
</Properties>
</file>