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D36D5" w14:textId="77777777" w:rsidR="00CE284B" w:rsidRPr="00E635A2" w:rsidRDefault="00CE284B" w:rsidP="00CE284B">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2244742</w:t>
      </w:r>
      <w:bookmarkEnd w:id="0"/>
    </w:p>
    <w:p w14:paraId="089D7175" w14:textId="77777777" w:rsidR="00CE284B" w:rsidRPr="00DB7060" w:rsidRDefault="00CE284B" w:rsidP="00CE284B">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B165472" w14:textId="77777777" w:rsidR="00CE284B" w:rsidRPr="00F67051" w:rsidRDefault="00CE284B" w:rsidP="00CE284B">
      <w:pPr>
        <w:rPr>
          <w:b/>
          <w:bCs/>
          <w:sz w:val="26"/>
          <w:szCs w:val="26"/>
          <w:rtl/>
        </w:rPr>
      </w:pPr>
    </w:p>
    <w:p w14:paraId="508F7238" w14:textId="6540B62D" w:rsidR="00CE284B" w:rsidRPr="00CF1AA2" w:rsidRDefault="00CE284B" w:rsidP="00DD15F7">
      <w:pPr>
        <w:pStyle w:val="David"/>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נעמה לזימי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2A1DAF87" w14:textId="77777777" w:rsidR="00CE284B" w:rsidRPr="00904591" w:rsidRDefault="00CE284B" w:rsidP="00CE284B">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694DD60F" w14:textId="44741D53" w:rsidR="00CE284B" w:rsidRDefault="00CE284B" w:rsidP="00DD15F7">
      <w:pPr>
        <w:pStyle w:val="David"/>
        <w:spacing w:line="240" w:lineRule="auto"/>
        <w:ind w:left="6424" w:firstLine="56"/>
        <w:rPr>
          <w:rtl/>
        </w:rPr>
      </w:pPr>
      <w:bookmarkStart w:id="6" w:name="Private_Number"/>
      <w:r>
        <w:rPr>
          <w:rFonts w:hint="cs"/>
          <w:rtl/>
        </w:rPr>
        <w:t>פ/6791/25</w:t>
      </w:r>
      <w:bookmarkEnd w:id="6"/>
    </w:p>
    <w:p w14:paraId="6A19F063" w14:textId="77777777" w:rsidR="00CE284B" w:rsidRPr="00F67051" w:rsidRDefault="00CE284B" w:rsidP="00CE284B">
      <w:pPr>
        <w:pStyle w:val="HeadHatzaotHok"/>
        <w:rPr>
          <w:rtl/>
        </w:rPr>
      </w:pPr>
      <w:bookmarkStart w:id="7" w:name="LGS_Subject"/>
      <w:r>
        <w:rPr>
          <w:rFonts w:hint="cs"/>
          <w:rtl/>
        </w:rPr>
        <w:t>הצעת חוק יום ממלכתי לציון הסכמי השלום של מדינת ישראל, התשפ"ו–2026</w:t>
      </w:r>
      <w:bookmarkEnd w:id="7"/>
    </w:p>
    <w:p w14:paraId="0027F83C" w14:textId="77777777" w:rsidR="00CE284B" w:rsidRDefault="00CE284B" w:rsidP="00CE284B">
      <w:pPr>
        <w:pStyle w:val="HeadDivreiHesber"/>
        <w:spacing w:before="0" w:after="0"/>
        <w:rPr>
          <w:rtl/>
        </w:rPr>
      </w:pPr>
    </w:p>
    <w:tbl>
      <w:tblPr>
        <w:bidiVisual/>
        <w:tblW w:w="9637" w:type="dxa"/>
        <w:tblLayout w:type="fixed"/>
        <w:tblCellMar>
          <w:top w:w="57" w:type="dxa"/>
          <w:left w:w="0" w:type="dxa"/>
          <w:bottom w:w="57" w:type="dxa"/>
          <w:right w:w="0" w:type="dxa"/>
        </w:tblCellMar>
        <w:tblLook w:val="01E0" w:firstRow="1" w:lastRow="1" w:firstColumn="1" w:lastColumn="1" w:noHBand="0" w:noVBand="0"/>
      </w:tblPr>
      <w:tblGrid>
        <w:gridCol w:w="1870"/>
        <w:gridCol w:w="624"/>
        <w:gridCol w:w="7143"/>
      </w:tblGrid>
      <w:tr w:rsidR="00CE284B" w14:paraId="6FA75963" w14:textId="77777777" w:rsidTr="00945341">
        <w:trPr>
          <w:cantSplit/>
        </w:trPr>
        <w:tc>
          <w:tcPr>
            <w:tcW w:w="1870" w:type="dxa"/>
          </w:tcPr>
          <w:p w14:paraId="186AC95A" w14:textId="77777777" w:rsidR="00CE284B" w:rsidRDefault="00CE284B" w:rsidP="007D1853">
            <w:pPr>
              <w:pStyle w:val="TableSideHeading"/>
              <w:keepLines w:val="0"/>
            </w:pPr>
            <w:r>
              <w:rPr>
                <w:rFonts w:hint="cs"/>
                <w:rtl/>
              </w:rPr>
              <w:t>יום ממלכתי לציון הסכמי השלום</w:t>
            </w:r>
          </w:p>
        </w:tc>
        <w:tc>
          <w:tcPr>
            <w:tcW w:w="624" w:type="dxa"/>
          </w:tcPr>
          <w:p w14:paraId="53BB33F9" w14:textId="5B9177C7" w:rsidR="00CE284B" w:rsidRDefault="00B74729" w:rsidP="00B74729">
            <w:pPr>
              <w:pStyle w:val="TableText"/>
              <w:keepLines w:val="0"/>
            </w:pPr>
            <w:r>
              <w:rPr>
                <w:rFonts w:hint="cs"/>
                <w:rtl/>
              </w:rPr>
              <w:t>1.</w:t>
            </w:r>
          </w:p>
        </w:tc>
        <w:tc>
          <w:tcPr>
            <w:tcW w:w="7143" w:type="dxa"/>
          </w:tcPr>
          <w:p w14:paraId="4FC5BB18" w14:textId="612F511C" w:rsidR="00CE284B" w:rsidRPr="00C34DE2" w:rsidRDefault="00CE284B" w:rsidP="00945341">
            <w:pPr>
              <w:pStyle w:val="TableBlock"/>
            </w:pPr>
            <w:r>
              <w:rPr>
                <w:rFonts w:hint="cs"/>
                <w:rtl/>
              </w:rPr>
              <w:t>(א)</w:t>
            </w:r>
            <w:r>
              <w:rPr>
                <w:rtl/>
              </w:rPr>
              <w:tab/>
            </w:r>
            <w:r w:rsidRPr="001D2591">
              <w:rPr>
                <w:rFonts w:hint="cs"/>
                <w:rtl/>
              </w:rPr>
              <w:t xml:space="preserve">מדי שנה, </w:t>
            </w:r>
            <w:r w:rsidR="00945341">
              <w:rPr>
                <w:rFonts w:hint="cs"/>
                <w:rtl/>
              </w:rPr>
              <w:t>ביום 21 בספטמבר, יום השלום הבין-</w:t>
            </w:r>
            <w:r w:rsidRPr="001D2591">
              <w:rPr>
                <w:rFonts w:hint="cs"/>
                <w:rtl/>
              </w:rPr>
              <w:t xml:space="preserve">לאומי, </w:t>
            </w:r>
            <w:r>
              <w:rPr>
                <w:rFonts w:hint="cs"/>
                <w:rtl/>
              </w:rPr>
              <w:t xml:space="preserve">יקוים </w:t>
            </w:r>
            <w:r w:rsidRPr="001D2591">
              <w:rPr>
                <w:rFonts w:hint="cs"/>
                <w:rtl/>
              </w:rPr>
              <w:t>יום</w:t>
            </w:r>
            <w:r>
              <w:rPr>
                <w:rFonts w:hint="cs"/>
                <w:rtl/>
              </w:rPr>
              <w:t xml:space="preserve"> ממלכתי</w:t>
            </w:r>
            <w:r w:rsidRPr="001D2591">
              <w:rPr>
                <w:rFonts w:hint="cs"/>
                <w:rtl/>
              </w:rPr>
              <w:t xml:space="preserve"> </w:t>
            </w:r>
            <w:r>
              <w:rPr>
                <w:rFonts w:hint="cs"/>
                <w:rtl/>
              </w:rPr>
              <w:t>לציון הסכמי השלום של מדינת ישראל, ובכלל זה הסכם השלום בין ישראל למצ</w:t>
            </w:r>
            <w:r w:rsidR="00B74729">
              <w:rPr>
                <w:rFonts w:hint="cs"/>
                <w:rtl/>
              </w:rPr>
              <w:t>רים, הסכם השלום בין ישראל לירדן</w:t>
            </w:r>
            <w:r>
              <w:rPr>
                <w:rFonts w:hint="cs"/>
                <w:rtl/>
              </w:rPr>
              <w:t xml:space="preserve"> </w:t>
            </w:r>
            <w:r w:rsidR="00B74729">
              <w:rPr>
                <w:rFonts w:hint="cs"/>
                <w:rtl/>
              </w:rPr>
              <w:t>ו</w:t>
            </w:r>
            <w:r>
              <w:rPr>
                <w:rFonts w:hint="cs"/>
                <w:rtl/>
              </w:rPr>
              <w:t xml:space="preserve">הסכמי אברהם בין ישראל לאיחוד האמירויות הערביות, בחריין, סודן ומרוקו (בחוק זה </w:t>
            </w:r>
            <w:r>
              <w:rPr>
                <w:rFonts w:hint="eastAsia"/>
                <w:rtl/>
              </w:rPr>
              <w:t>–</w:t>
            </w:r>
            <w:r>
              <w:rPr>
                <w:rFonts w:hint="cs"/>
                <w:rtl/>
              </w:rPr>
              <w:t xml:space="preserve"> יום ממלכתי לציון הסכמי השלום)</w:t>
            </w:r>
            <w:r w:rsidRPr="001D2591">
              <w:rPr>
                <w:rFonts w:hint="cs"/>
                <w:rtl/>
              </w:rPr>
              <w:t>.</w:t>
            </w:r>
          </w:p>
        </w:tc>
      </w:tr>
      <w:tr w:rsidR="00CE284B" w14:paraId="1D664B1F" w14:textId="77777777" w:rsidTr="00945341">
        <w:trPr>
          <w:cantSplit/>
        </w:trPr>
        <w:tc>
          <w:tcPr>
            <w:tcW w:w="1870" w:type="dxa"/>
          </w:tcPr>
          <w:p w14:paraId="021D2AB9" w14:textId="77777777" w:rsidR="00CE284B" w:rsidRDefault="00CE284B" w:rsidP="007D1853">
            <w:pPr>
              <w:pStyle w:val="TableSideHeading"/>
              <w:keepLines w:val="0"/>
              <w:rPr>
                <w:rtl/>
              </w:rPr>
            </w:pPr>
          </w:p>
        </w:tc>
        <w:tc>
          <w:tcPr>
            <w:tcW w:w="624" w:type="dxa"/>
          </w:tcPr>
          <w:p w14:paraId="33FCA325" w14:textId="77777777" w:rsidR="00CE284B" w:rsidRDefault="00CE284B" w:rsidP="007D1853">
            <w:pPr>
              <w:pStyle w:val="TableText"/>
            </w:pPr>
          </w:p>
        </w:tc>
        <w:tc>
          <w:tcPr>
            <w:tcW w:w="7143" w:type="dxa"/>
          </w:tcPr>
          <w:p w14:paraId="7E0B9529" w14:textId="57F13107" w:rsidR="00CE284B" w:rsidRDefault="00CE284B" w:rsidP="00B74729">
            <w:pPr>
              <w:pStyle w:val="TableBlock"/>
              <w:rPr>
                <w:rtl/>
              </w:rPr>
            </w:pPr>
            <w:r>
              <w:rPr>
                <w:rFonts w:hint="cs"/>
                <w:rtl/>
              </w:rPr>
              <w:t>(ב)</w:t>
            </w:r>
            <w:r>
              <w:rPr>
                <w:rtl/>
              </w:rPr>
              <w:tab/>
            </w:r>
            <w:r w:rsidRPr="001D2591">
              <w:rPr>
                <w:rFonts w:hint="cs"/>
                <w:rtl/>
              </w:rPr>
              <w:t xml:space="preserve">חל 21 בספטמבר ביום חג, מנוחה או שבתון, ביום זיכרון או </w:t>
            </w:r>
            <w:r>
              <w:rPr>
                <w:rFonts w:hint="cs"/>
                <w:rtl/>
              </w:rPr>
              <w:t xml:space="preserve">יום </w:t>
            </w:r>
            <w:r w:rsidRPr="001D2591">
              <w:rPr>
                <w:rFonts w:hint="cs"/>
                <w:rtl/>
              </w:rPr>
              <w:t xml:space="preserve">ציון ממלכתי או ביום שלפני אחד הימים כאמור, </w:t>
            </w:r>
            <w:r>
              <w:rPr>
                <w:rFonts w:hint="cs"/>
                <w:rtl/>
              </w:rPr>
              <w:t>יקוים יום ממלכתי לציון הסכמי השלום</w:t>
            </w:r>
            <w:r w:rsidRPr="001D2591">
              <w:rPr>
                <w:rFonts w:hint="cs"/>
                <w:rtl/>
              </w:rPr>
              <w:t xml:space="preserve"> ביום </w:t>
            </w:r>
            <w:r>
              <w:rPr>
                <w:rFonts w:hint="cs"/>
                <w:rtl/>
              </w:rPr>
              <w:t>שלישי</w:t>
            </w:r>
            <w:r w:rsidRPr="001D2591">
              <w:rPr>
                <w:rFonts w:hint="cs"/>
                <w:rtl/>
              </w:rPr>
              <w:t xml:space="preserve"> בשבוע שלאחר מכן.</w:t>
            </w:r>
          </w:p>
        </w:tc>
      </w:tr>
      <w:tr w:rsidR="00CE284B" w14:paraId="315E55FB" w14:textId="77777777" w:rsidTr="00945341">
        <w:trPr>
          <w:cantSplit/>
        </w:trPr>
        <w:tc>
          <w:tcPr>
            <w:tcW w:w="1870" w:type="dxa"/>
          </w:tcPr>
          <w:p w14:paraId="785C963C" w14:textId="77777777" w:rsidR="00CE284B" w:rsidRDefault="00CE284B" w:rsidP="007D1853">
            <w:pPr>
              <w:pStyle w:val="TableSideHeading"/>
              <w:keepLines w:val="0"/>
            </w:pPr>
            <w:r>
              <w:rPr>
                <w:rFonts w:hint="cs"/>
                <w:rtl/>
              </w:rPr>
              <w:t>דרכי קיום</w:t>
            </w:r>
          </w:p>
        </w:tc>
        <w:tc>
          <w:tcPr>
            <w:tcW w:w="624" w:type="dxa"/>
          </w:tcPr>
          <w:p w14:paraId="12FC81EC" w14:textId="791A3009" w:rsidR="00CE284B" w:rsidRDefault="00B74729" w:rsidP="00B74729">
            <w:pPr>
              <w:pStyle w:val="TableText"/>
              <w:keepLines w:val="0"/>
            </w:pPr>
            <w:r>
              <w:rPr>
                <w:rFonts w:hint="cs"/>
                <w:rtl/>
              </w:rPr>
              <w:t>2.</w:t>
            </w:r>
          </w:p>
        </w:tc>
        <w:tc>
          <w:tcPr>
            <w:tcW w:w="7143" w:type="dxa"/>
          </w:tcPr>
          <w:p w14:paraId="7C10F39A" w14:textId="77777777" w:rsidR="00CE284B" w:rsidRPr="00C34DE2" w:rsidRDefault="00CE284B" w:rsidP="00945341">
            <w:pPr>
              <w:pStyle w:val="TableBlock"/>
            </w:pPr>
            <w:r>
              <w:rPr>
                <w:rFonts w:hint="cs"/>
                <w:rtl/>
              </w:rPr>
              <w:t xml:space="preserve">יום ממלכתי לציון הסכמי השלום, יקוים, בין השאר </w:t>
            </w:r>
            <w:r>
              <w:rPr>
                <w:rFonts w:hint="eastAsia"/>
                <w:rtl/>
              </w:rPr>
              <w:t>–</w:t>
            </w:r>
          </w:p>
        </w:tc>
      </w:tr>
      <w:tr w:rsidR="00CE284B" w14:paraId="2A0796AB" w14:textId="77777777" w:rsidTr="00945341">
        <w:trPr>
          <w:cantSplit/>
        </w:trPr>
        <w:tc>
          <w:tcPr>
            <w:tcW w:w="1870" w:type="dxa"/>
          </w:tcPr>
          <w:p w14:paraId="0B153B8E" w14:textId="77777777" w:rsidR="00CE284B" w:rsidRDefault="00CE284B" w:rsidP="007D1853">
            <w:pPr>
              <w:pStyle w:val="TableSideHeading"/>
              <w:keepLines w:val="0"/>
              <w:rPr>
                <w:rtl/>
              </w:rPr>
            </w:pPr>
          </w:p>
        </w:tc>
        <w:tc>
          <w:tcPr>
            <w:tcW w:w="624" w:type="dxa"/>
          </w:tcPr>
          <w:p w14:paraId="489A60FF" w14:textId="77777777" w:rsidR="00CE284B" w:rsidRDefault="00CE284B" w:rsidP="007D1853">
            <w:pPr>
              <w:pStyle w:val="TableText"/>
            </w:pPr>
          </w:p>
        </w:tc>
        <w:tc>
          <w:tcPr>
            <w:tcW w:w="7143" w:type="dxa"/>
          </w:tcPr>
          <w:p w14:paraId="6587E921" w14:textId="5B8BC566" w:rsidR="00CE284B" w:rsidRDefault="00CE284B" w:rsidP="00C754B3">
            <w:pPr>
              <w:pStyle w:val="TableBlock"/>
              <w:rPr>
                <w:rtl/>
              </w:rPr>
            </w:pPr>
            <w:r>
              <w:rPr>
                <w:rFonts w:hint="cs"/>
                <w:rtl/>
              </w:rPr>
              <w:t>(</w:t>
            </w:r>
            <w:r w:rsidR="00C754B3">
              <w:rPr>
                <w:rFonts w:hint="cs"/>
                <w:rtl/>
              </w:rPr>
              <w:t>1</w:t>
            </w:r>
            <w:r>
              <w:rPr>
                <w:rFonts w:hint="cs"/>
                <w:rtl/>
              </w:rPr>
              <w:t>)</w:t>
            </w:r>
            <w:r>
              <w:rPr>
                <w:rtl/>
              </w:rPr>
              <w:tab/>
            </w:r>
            <w:r>
              <w:rPr>
                <w:rFonts w:hint="cs"/>
                <w:rtl/>
              </w:rPr>
              <w:t xml:space="preserve"> בדיון מיוחד בכנסת, במועד האמור בסעיף 1 או במועד סמוך לו; חל המועד האמור בסעיף 1 במהלך פגרת הכנסת, רשאי יושב ראש הכנסת לקבוע מועד אחר לציון יום זה בכנסת;</w:t>
            </w:r>
          </w:p>
        </w:tc>
      </w:tr>
      <w:tr w:rsidR="00CE284B" w14:paraId="66959F81" w14:textId="77777777" w:rsidTr="00945341">
        <w:trPr>
          <w:cantSplit/>
        </w:trPr>
        <w:tc>
          <w:tcPr>
            <w:tcW w:w="1870" w:type="dxa"/>
          </w:tcPr>
          <w:p w14:paraId="002BE562" w14:textId="77777777" w:rsidR="00CE284B" w:rsidRDefault="00CE284B" w:rsidP="007D1853">
            <w:pPr>
              <w:pStyle w:val="TableSideHeading"/>
              <w:keepLines w:val="0"/>
              <w:rPr>
                <w:rtl/>
              </w:rPr>
            </w:pPr>
          </w:p>
        </w:tc>
        <w:tc>
          <w:tcPr>
            <w:tcW w:w="624" w:type="dxa"/>
          </w:tcPr>
          <w:p w14:paraId="2F0B8A1D" w14:textId="77777777" w:rsidR="00CE284B" w:rsidRDefault="00CE284B" w:rsidP="007D1853">
            <w:pPr>
              <w:pStyle w:val="TableText"/>
            </w:pPr>
          </w:p>
        </w:tc>
        <w:tc>
          <w:tcPr>
            <w:tcW w:w="7143" w:type="dxa"/>
          </w:tcPr>
          <w:p w14:paraId="68BE4623" w14:textId="6FAEFE97" w:rsidR="00CE284B" w:rsidRDefault="00CE284B" w:rsidP="00C754B3">
            <w:pPr>
              <w:pStyle w:val="TableBlock"/>
              <w:rPr>
                <w:rtl/>
              </w:rPr>
            </w:pPr>
            <w:r>
              <w:rPr>
                <w:rFonts w:hint="cs"/>
                <w:rtl/>
              </w:rPr>
              <w:t>(</w:t>
            </w:r>
            <w:r w:rsidR="00C754B3">
              <w:rPr>
                <w:rFonts w:hint="cs"/>
                <w:rtl/>
              </w:rPr>
              <w:t>2</w:t>
            </w:r>
            <w:r>
              <w:rPr>
                <w:rFonts w:hint="cs"/>
                <w:rtl/>
              </w:rPr>
              <w:t>)</w:t>
            </w:r>
            <w:r>
              <w:rPr>
                <w:rtl/>
              </w:rPr>
              <w:tab/>
            </w:r>
            <w:r>
              <w:rPr>
                <w:rFonts w:hint="cs"/>
                <w:rtl/>
              </w:rPr>
              <w:t>באירוע בבית הנשיא, כפי שיחליט נשיא המדינה;</w:t>
            </w:r>
          </w:p>
        </w:tc>
      </w:tr>
      <w:tr w:rsidR="00CE284B" w14:paraId="11827082" w14:textId="77777777" w:rsidTr="00945341">
        <w:trPr>
          <w:cantSplit/>
        </w:trPr>
        <w:tc>
          <w:tcPr>
            <w:tcW w:w="1870" w:type="dxa"/>
          </w:tcPr>
          <w:p w14:paraId="1514FC32" w14:textId="77777777" w:rsidR="00CE284B" w:rsidRDefault="00CE284B" w:rsidP="007D1853">
            <w:pPr>
              <w:pStyle w:val="TableSideHeading"/>
              <w:keepLines w:val="0"/>
              <w:rPr>
                <w:rtl/>
              </w:rPr>
            </w:pPr>
          </w:p>
        </w:tc>
        <w:tc>
          <w:tcPr>
            <w:tcW w:w="624" w:type="dxa"/>
          </w:tcPr>
          <w:p w14:paraId="611BC5F5" w14:textId="77777777" w:rsidR="00CE284B" w:rsidRDefault="00CE284B" w:rsidP="007D1853">
            <w:pPr>
              <w:pStyle w:val="TableText"/>
            </w:pPr>
          </w:p>
        </w:tc>
        <w:tc>
          <w:tcPr>
            <w:tcW w:w="7143" w:type="dxa"/>
          </w:tcPr>
          <w:p w14:paraId="01861FE6" w14:textId="019CA83F" w:rsidR="00CE284B" w:rsidRDefault="00CE284B" w:rsidP="00C754B3">
            <w:pPr>
              <w:pStyle w:val="TableBlock"/>
              <w:rPr>
                <w:rtl/>
              </w:rPr>
            </w:pPr>
            <w:r>
              <w:rPr>
                <w:rFonts w:hint="cs"/>
                <w:rtl/>
              </w:rPr>
              <w:t>(</w:t>
            </w:r>
            <w:r w:rsidR="00C754B3">
              <w:rPr>
                <w:rFonts w:hint="cs"/>
                <w:rtl/>
              </w:rPr>
              <w:t>3</w:t>
            </w:r>
            <w:r>
              <w:rPr>
                <w:rFonts w:hint="cs"/>
                <w:rtl/>
              </w:rPr>
              <w:t>)</w:t>
            </w:r>
            <w:r>
              <w:rPr>
                <w:rtl/>
              </w:rPr>
              <w:tab/>
            </w:r>
            <w:r>
              <w:rPr>
                <w:rFonts w:hint="cs"/>
                <w:rtl/>
              </w:rPr>
              <w:t>בפעילות חינוכית</w:t>
            </w:r>
            <w:r w:rsidR="00945341">
              <w:rPr>
                <w:rFonts w:ascii="David" w:hAnsi="David" w:hint="cs"/>
                <w:sz w:val="26"/>
                <w:rtl/>
              </w:rPr>
              <w:t>–</w:t>
            </w:r>
            <w:r w:rsidR="00C754B3">
              <w:rPr>
                <w:rFonts w:hint="cs"/>
                <w:rtl/>
              </w:rPr>
              <w:t>ערכית במחנות צבא הגנה לישראל</w:t>
            </w:r>
            <w:r>
              <w:rPr>
                <w:rFonts w:hint="cs"/>
                <w:rtl/>
              </w:rPr>
              <w:t xml:space="preserve"> ובמוסדות החינוך בנושא הסכמי השלום שמדינת ישראל חתומה עליהם, סיפורם ההיסטורי ו</w:t>
            </w:r>
            <w:r>
              <w:rPr>
                <w:rtl/>
              </w:rPr>
              <w:t>השפעת</w:t>
            </w:r>
            <w:r>
              <w:rPr>
                <w:rFonts w:hint="cs"/>
                <w:rtl/>
              </w:rPr>
              <w:t xml:space="preserve">ם </w:t>
            </w:r>
            <w:r w:rsidRPr="00ED24CF">
              <w:rPr>
                <w:rtl/>
              </w:rPr>
              <w:t>על מדינת ישראל, על גבולותיה ועל זהותה הלאומית והתרבותית</w:t>
            </w:r>
            <w:r>
              <w:rPr>
                <w:rFonts w:hint="cs"/>
                <w:rtl/>
              </w:rPr>
              <w:t xml:space="preserve">. </w:t>
            </w:r>
          </w:p>
        </w:tc>
      </w:tr>
      <w:tr w:rsidR="00CE284B" w14:paraId="65082CAF" w14:textId="77777777" w:rsidTr="00945341">
        <w:trPr>
          <w:cantSplit/>
        </w:trPr>
        <w:tc>
          <w:tcPr>
            <w:tcW w:w="1870" w:type="dxa"/>
          </w:tcPr>
          <w:p w14:paraId="5422D650" w14:textId="77777777" w:rsidR="00CE284B" w:rsidRDefault="00CE284B" w:rsidP="007D1853">
            <w:pPr>
              <w:pStyle w:val="TableSideHeading"/>
              <w:rPr>
                <w:rtl/>
              </w:rPr>
            </w:pPr>
            <w:r>
              <w:rPr>
                <w:rFonts w:hint="cs"/>
                <w:rtl/>
              </w:rPr>
              <w:t>ביצוע</w:t>
            </w:r>
          </w:p>
        </w:tc>
        <w:tc>
          <w:tcPr>
            <w:tcW w:w="624" w:type="dxa"/>
          </w:tcPr>
          <w:p w14:paraId="57848B0C" w14:textId="43B4E2C5" w:rsidR="00CE284B" w:rsidRDefault="00945341" w:rsidP="007D1853">
            <w:pPr>
              <w:pStyle w:val="TableText"/>
              <w:rPr>
                <w:rtl/>
              </w:rPr>
            </w:pPr>
            <w:r>
              <w:rPr>
                <w:rFonts w:hint="cs"/>
                <w:rtl/>
              </w:rPr>
              <w:t>3</w:t>
            </w:r>
            <w:r w:rsidR="00CE284B">
              <w:rPr>
                <w:rFonts w:hint="cs"/>
                <w:rtl/>
              </w:rPr>
              <w:t>.</w:t>
            </w:r>
          </w:p>
        </w:tc>
        <w:tc>
          <w:tcPr>
            <w:tcW w:w="7143" w:type="dxa"/>
          </w:tcPr>
          <w:p w14:paraId="12D73490" w14:textId="77777777" w:rsidR="00CE284B" w:rsidRDefault="00CE284B" w:rsidP="00945341">
            <w:pPr>
              <w:pStyle w:val="TableBlock"/>
              <w:rPr>
                <w:rtl/>
              </w:rPr>
            </w:pPr>
            <w:r w:rsidRPr="00076C60">
              <w:rPr>
                <w:rFonts w:hint="cs"/>
                <w:rtl/>
              </w:rPr>
              <w:t>שר החינוך ממונה על ביצוע חוק זה.</w:t>
            </w:r>
          </w:p>
        </w:tc>
      </w:tr>
    </w:tbl>
    <w:p w14:paraId="05A73482" w14:textId="77777777" w:rsidR="00CE284B" w:rsidRDefault="00CE284B" w:rsidP="00CE284B">
      <w:pPr>
        <w:pStyle w:val="HeadDivreiHesber"/>
        <w:rPr>
          <w:rtl/>
        </w:rPr>
      </w:pPr>
      <w:r w:rsidRPr="0027450A">
        <w:rPr>
          <w:rFonts w:hint="cs"/>
          <w:rtl/>
        </w:rPr>
        <w:t>דברי הסבר</w:t>
      </w:r>
    </w:p>
    <w:p w14:paraId="7A960729" w14:textId="2C672496" w:rsidR="00CE284B" w:rsidRPr="00026BD4" w:rsidRDefault="00CE284B" w:rsidP="00CE284B">
      <w:pPr>
        <w:pStyle w:val="Hesber"/>
        <w:rPr>
          <w:rtl/>
        </w:rPr>
      </w:pPr>
      <w:r w:rsidRPr="00026BD4">
        <w:rPr>
          <w:rtl/>
        </w:rPr>
        <w:t>הסכמי השלום של מדינת ישראל הם מאבני הדרך המרכזיות בתולדות המדינה וביחסיה עם מדינות האזור. הסכם השלום עם מצרים, הסכם השלום עם ירדן והסכמי אברהם עם איחוד האמירויות הערביות, בחריין, מרוקו וסודן, משקפים מהלכים מדיניים בעלי חשיבות היסטורית, ביטחונית, אזורית וחב</w:t>
      </w:r>
      <w:r w:rsidR="00117728">
        <w:rPr>
          <w:rtl/>
        </w:rPr>
        <w:t>רתית. הסכמים אל</w:t>
      </w:r>
      <w:r w:rsidR="00117728">
        <w:rPr>
          <w:rFonts w:hint="cs"/>
          <w:rtl/>
        </w:rPr>
        <w:t>ו</w:t>
      </w:r>
      <w:r w:rsidRPr="00026BD4">
        <w:rPr>
          <w:rtl/>
        </w:rPr>
        <w:t xml:space="preserve"> תרמו לעיצוב גבולותיה של מדינת ישראל, למעמדה הבין־לאומי, לשיתופי פעולה </w:t>
      </w:r>
      <w:r w:rsidR="00117728">
        <w:rPr>
          <w:rtl/>
        </w:rPr>
        <w:lastRenderedPageBreak/>
        <w:t>אזוריים</w:t>
      </w:r>
      <w:r w:rsidRPr="00026BD4">
        <w:rPr>
          <w:rtl/>
        </w:rPr>
        <w:t xml:space="preserve"> ולחיזוק השאיפה לשלום ולשכנות טובה, כפי שבאה לידי ביטוי גם במגילת העצמאות</w:t>
      </w:r>
      <w:r>
        <w:rPr>
          <w:rFonts w:hint="cs"/>
          <w:rtl/>
        </w:rPr>
        <w:t>: "</w:t>
      </w:r>
      <w:r w:rsidRPr="007D1853">
        <w:rPr>
          <w:rtl/>
        </w:rPr>
        <w:t>אנו מושיטים יד שלום ושכנות טובה לכל המדינות השכנות ועמיהן</w:t>
      </w:r>
      <w:r>
        <w:rPr>
          <w:rFonts w:hint="cs"/>
          <w:rtl/>
        </w:rPr>
        <w:t>,</w:t>
      </w:r>
      <w:r w:rsidRPr="007D1853">
        <w:t> </w:t>
      </w:r>
      <w:r w:rsidRPr="007D1853">
        <w:rPr>
          <w:rtl/>
        </w:rPr>
        <w:t>וקוראים להם לשיתוף פעולה ועזרה הדדית עם העם העברי העצמאי בארצו".</w:t>
      </w:r>
    </w:p>
    <w:p w14:paraId="689DA8FA" w14:textId="75D3723C" w:rsidR="00CE284B" w:rsidRPr="00026BD4" w:rsidRDefault="00CE284B" w:rsidP="00CE284B">
      <w:pPr>
        <w:pStyle w:val="Hesber"/>
        <w:rPr>
          <w:rtl/>
        </w:rPr>
      </w:pPr>
      <w:r>
        <w:rPr>
          <w:rFonts w:hint="cs"/>
          <w:rtl/>
        </w:rPr>
        <w:t xml:space="preserve">לכן, </w:t>
      </w:r>
      <w:r w:rsidRPr="00026BD4">
        <w:rPr>
          <w:rtl/>
        </w:rPr>
        <w:t xml:space="preserve">מוצע לקבוע יום ציון ממלכתי להסכמי השלום של מדינת ישראל, שיחול מדי שנה ביום 21 בספטמבר, שבו מצוין יום השלום הבין־לאומי. קביעת יום ציון ממלכתי </w:t>
      </w:r>
      <w:r w:rsidR="00117728">
        <w:rPr>
          <w:rFonts w:hint="cs"/>
          <w:rtl/>
        </w:rPr>
        <w:t xml:space="preserve">כאמור </w:t>
      </w:r>
      <w:r w:rsidRPr="00026BD4">
        <w:rPr>
          <w:rtl/>
        </w:rPr>
        <w:t xml:space="preserve">נועדה לעגן בלוח השנה הציבורי והחינוכי מועד קבוע ללימוד, להוקרה ולהעמקת ההיכרות עם ההסכמים שעליהם חתמה מדינת ישראל, עם הרקע ההיסטורי שהוביל אליהם, עם </w:t>
      </w:r>
      <w:r w:rsidR="00117728">
        <w:rPr>
          <w:rtl/>
        </w:rPr>
        <w:t>המנהיגים והגורמים שפעלו לקידומם ועם השפעתם על מדינת ישראל ו</w:t>
      </w:r>
      <w:r w:rsidRPr="00026BD4">
        <w:rPr>
          <w:rtl/>
        </w:rPr>
        <w:t>האזור.</w:t>
      </w:r>
    </w:p>
    <w:p w14:paraId="03686D0B" w14:textId="19BD3956" w:rsidR="00CE284B" w:rsidRDefault="00CE284B" w:rsidP="00C200D9">
      <w:pPr>
        <w:pStyle w:val="Hesber"/>
        <w:rPr>
          <w:rtl/>
        </w:rPr>
      </w:pPr>
      <w:r>
        <w:rPr>
          <w:rFonts w:hint="cs"/>
          <w:rtl/>
        </w:rPr>
        <w:t>לפי המוצע,</w:t>
      </w:r>
      <w:r w:rsidRPr="00026BD4">
        <w:rPr>
          <w:rtl/>
        </w:rPr>
        <w:t xml:space="preserve"> יום הציון הממלכתי יצוין, בין ה</w:t>
      </w:r>
      <w:r w:rsidR="00C200D9">
        <w:rPr>
          <w:rFonts w:hint="cs"/>
          <w:rtl/>
        </w:rPr>
        <w:t>שאר</w:t>
      </w:r>
      <w:r w:rsidRPr="00026BD4">
        <w:rPr>
          <w:rtl/>
        </w:rPr>
        <w:t xml:space="preserve">, בדיון </w:t>
      </w:r>
      <w:r w:rsidRPr="00236357">
        <w:rPr>
          <w:rtl/>
        </w:rPr>
        <w:t>מיוחד בכנסת</w:t>
      </w:r>
      <w:r>
        <w:rPr>
          <w:rFonts w:hint="cs"/>
          <w:rtl/>
        </w:rPr>
        <w:t xml:space="preserve">, </w:t>
      </w:r>
      <w:r w:rsidRPr="00026BD4">
        <w:rPr>
          <w:rtl/>
        </w:rPr>
        <w:t>באירוע בבי</w:t>
      </w:r>
      <w:r w:rsidR="00C200D9">
        <w:rPr>
          <w:rtl/>
        </w:rPr>
        <w:t>ת הנשיא, כפי שיחליט נשיא המדינה</w:t>
      </w:r>
      <w:r w:rsidRPr="00026BD4">
        <w:rPr>
          <w:rtl/>
        </w:rPr>
        <w:t xml:space="preserve"> וכן בפעילות חינוכית</w:t>
      </w:r>
      <w:r w:rsidR="00945341">
        <w:rPr>
          <w:rFonts w:ascii="David" w:hAnsi="David" w:hint="cs"/>
          <w:sz w:val="26"/>
          <w:rtl/>
        </w:rPr>
        <w:t>–</w:t>
      </w:r>
      <w:r w:rsidRPr="00026BD4">
        <w:rPr>
          <w:rtl/>
        </w:rPr>
        <w:t xml:space="preserve">ערכית במחנות </w:t>
      </w:r>
      <w:r w:rsidR="00C200D9">
        <w:rPr>
          <w:rFonts w:hint="cs"/>
          <w:rtl/>
        </w:rPr>
        <w:t>צבא הגנה לישראל</w:t>
      </w:r>
      <w:r w:rsidRPr="00026BD4">
        <w:rPr>
          <w:rtl/>
        </w:rPr>
        <w:t xml:space="preserve"> ובמוסדות החינוך. פעילות זו תעסוק בהסכמי השלום שמדינת ישרא</w:t>
      </w:r>
      <w:r w:rsidR="00C200D9">
        <w:rPr>
          <w:rtl/>
        </w:rPr>
        <w:t>ל חתומה עליהם, בסיפורם ההיסטורי</w:t>
      </w:r>
      <w:bookmarkStart w:id="8" w:name="_GoBack"/>
      <w:bookmarkEnd w:id="8"/>
      <w:r w:rsidRPr="00026BD4">
        <w:rPr>
          <w:rtl/>
        </w:rPr>
        <w:t xml:space="preserve"> ובהשפעתם על מדינת ישראל, על גבולותיה ועל זהותה הלאומית והתרבותית. לבסוף, מוצע לקבוע כי שר החינוך יהיה ממונה על ביצוע החוק</w:t>
      </w:r>
      <w:r>
        <w:rPr>
          <w:rFonts w:hint="cs"/>
          <w:rtl/>
        </w:rPr>
        <w:t xml:space="preserve">. </w:t>
      </w:r>
    </w:p>
    <w:p w14:paraId="582BF9E3" w14:textId="77777777" w:rsidR="00CE284B" w:rsidRDefault="00CE284B" w:rsidP="00CE284B">
      <w:pPr>
        <w:pStyle w:val="Hesber"/>
        <w:rPr>
          <w:rtl/>
        </w:rPr>
      </w:pPr>
    </w:p>
    <w:p w14:paraId="7F6961CB" w14:textId="77777777" w:rsidR="00E13C27" w:rsidRPr="00CE284B" w:rsidRDefault="00E13C27" w:rsidP="00CE284B">
      <w:pPr>
        <w:rPr>
          <w:rtl/>
        </w:rPr>
      </w:pPr>
    </w:p>
    <w:p w14:paraId="390AF0AB" w14:textId="77777777" w:rsidR="00D039EE" w:rsidRDefault="00945341">
      <w:pPr>
        <w:jc w:val="left"/>
      </w:pPr>
      <w:bookmarkStart w:id="9" w:name="selectedDocDateB"/>
      <w:bookmarkEnd w:id="9"/>
      <w:r>
        <w:rPr>
          <w:rFonts w:eastAsia="David" w:hint="cs"/>
          <w:sz w:val="26"/>
          <w:szCs w:val="26"/>
          <w:rtl/>
        </w:rPr>
        <w:t>--------------------------------</w:t>
      </w:r>
    </w:p>
    <w:p w14:paraId="73BF90C8" w14:textId="77777777" w:rsidR="00D039EE" w:rsidRDefault="00945341">
      <w:pPr>
        <w:jc w:val="left"/>
      </w:pPr>
      <w:r>
        <w:rPr>
          <w:rFonts w:eastAsia="David" w:hint="cs"/>
          <w:sz w:val="26"/>
          <w:szCs w:val="26"/>
          <w:rtl/>
        </w:rPr>
        <w:t>הוגשה ליו"ר הכנסת והסגנים</w:t>
      </w:r>
    </w:p>
    <w:p w14:paraId="17223F7F" w14:textId="77777777" w:rsidR="00D039EE" w:rsidRDefault="00945341">
      <w:pPr>
        <w:jc w:val="left"/>
      </w:pPr>
      <w:r>
        <w:rPr>
          <w:rFonts w:eastAsia="David" w:hint="cs"/>
          <w:sz w:val="26"/>
          <w:szCs w:val="26"/>
          <w:rtl/>
        </w:rPr>
        <w:t>והונחה על שולחן הכנסת ביום</w:t>
      </w:r>
    </w:p>
    <w:p w14:paraId="17EAA1E9" w14:textId="77777777" w:rsidR="00D039EE" w:rsidRDefault="00945341">
      <w:pPr>
        <w:jc w:val="left"/>
      </w:pPr>
      <w:r>
        <w:rPr>
          <w:rFonts w:eastAsia="David" w:hint="cs"/>
          <w:sz w:val="26"/>
          <w:szCs w:val="26"/>
          <w:rtl/>
        </w:rPr>
        <w:t xml:space="preserve">כ"א בתמוז התשפ"ו (06.07.2026) </w:t>
      </w:r>
    </w:p>
    <w:p w14:paraId="2C0438FC" w14:textId="77777777" w:rsidR="00D039EE" w:rsidRDefault="00D039EE">
      <w:pPr>
        <w:spacing w:line="276" w:lineRule="auto"/>
        <w:jc w:val="left"/>
      </w:pPr>
    </w:p>
    <w:sectPr w:rsidR="00D039EE" w:rsidSect="00945341">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10207A3"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C200D9">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17728"/>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C5420"/>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341"/>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4729"/>
    <w:rsid w:val="00B75C91"/>
    <w:rsid w:val="00B975AD"/>
    <w:rsid w:val="00BC45FB"/>
    <w:rsid w:val="00BF148D"/>
    <w:rsid w:val="00C200D9"/>
    <w:rsid w:val="00C23B1A"/>
    <w:rsid w:val="00C310EB"/>
    <w:rsid w:val="00C754B3"/>
    <w:rsid w:val="00C9176A"/>
    <w:rsid w:val="00CE284B"/>
    <w:rsid w:val="00CF1AA2"/>
    <w:rsid w:val="00D039EE"/>
    <w:rsid w:val="00D142D3"/>
    <w:rsid w:val="00D17774"/>
    <w:rsid w:val="00D63620"/>
    <w:rsid w:val="00D8410D"/>
    <w:rsid w:val="00D867D7"/>
    <w:rsid w:val="00DB7060"/>
    <w:rsid w:val="00DD15F7"/>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74FBEEDC-3CEE-4945-832E-7593EB0E6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45341"/>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945341"/>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945341"/>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945341"/>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945341"/>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945341"/>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945341"/>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945341"/>
    <w:rPr>
      <w:sz w:val="36"/>
      <w:szCs w:val="52"/>
    </w:rPr>
  </w:style>
  <w:style w:type="paragraph" w:customStyle="1" w:styleId="Cover3-Haknesset">
    <w:name w:val="Cover 3-Haknesset"/>
    <w:basedOn w:val="Cover1-Reshumot"/>
    <w:rsid w:val="00945341"/>
    <w:rPr>
      <w:b/>
      <w:bCs/>
      <w:spacing w:val="60"/>
    </w:rPr>
  </w:style>
  <w:style w:type="paragraph" w:customStyle="1" w:styleId="Cover4-Date">
    <w:name w:val="Cover 4-Date"/>
    <w:basedOn w:val="a"/>
    <w:rsid w:val="00945341"/>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945341"/>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945341"/>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945341"/>
    <w:pPr>
      <w:spacing w:before="120" w:after="120"/>
    </w:pPr>
    <w:rPr>
      <w:color w:val="FF0000"/>
      <w:w w:val="80"/>
    </w:rPr>
  </w:style>
  <w:style w:type="paragraph" w:styleId="a3">
    <w:name w:val="endnote text"/>
    <w:basedOn w:val="a"/>
    <w:semiHidden/>
    <w:rsid w:val="00945341"/>
    <w:pPr>
      <w:ind w:left="227" w:hanging="227"/>
    </w:pPr>
    <w:rPr>
      <w:sz w:val="14"/>
      <w:szCs w:val="22"/>
    </w:rPr>
  </w:style>
  <w:style w:type="paragraph" w:customStyle="1" w:styleId="TableText">
    <w:name w:val="Table Text"/>
    <w:basedOn w:val="a"/>
    <w:rsid w:val="00945341"/>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945341"/>
    <w:pPr>
      <w:outlineLvl w:val="2"/>
    </w:pPr>
  </w:style>
  <w:style w:type="paragraph" w:customStyle="1" w:styleId="TableBlock">
    <w:name w:val="Table Block"/>
    <w:basedOn w:val="TableText"/>
    <w:rsid w:val="00945341"/>
    <w:pPr>
      <w:jc w:val="both"/>
    </w:pPr>
  </w:style>
  <w:style w:type="paragraph" w:customStyle="1" w:styleId="TableHead">
    <w:name w:val="Table Head"/>
    <w:basedOn w:val="TableText"/>
    <w:rsid w:val="00945341"/>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945341"/>
    <w:pPr>
      <w:outlineLvl w:val="9"/>
    </w:pPr>
  </w:style>
  <w:style w:type="paragraph" w:customStyle="1" w:styleId="Hesber">
    <w:name w:val="Hesber"/>
    <w:basedOn w:val="a"/>
    <w:rsid w:val="00945341"/>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945341"/>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945341"/>
    <w:rPr>
      <w:vertAlign w:val="superscript"/>
    </w:rPr>
  </w:style>
  <w:style w:type="paragraph" w:customStyle="1" w:styleId="HesberHeading">
    <w:name w:val="Hesber Heading"/>
    <w:basedOn w:val="Hesber"/>
    <w:rsid w:val="00945341"/>
    <w:pPr>
      <w:tabs>
        <w:tab w:val="left" w:pos="624"/>
        <w:tab w:val="left" w:pos="1247"/>
      </w:tabs>
    </w:pPr>
    <w:rPr>
      <w:b/>
      <w:bCs/>
    </w:rPr>
  </w:style>
  <w:style w:type="paragraph" w:customStyle="1" w:styleId="HesberWriters">
    <w:name w:val="Hesber Writers"/>
    <w:basedOn w:val="Hesber"/>
    <w:rsid w:val="00945341"/>
    <w:pPr>
      <w:spacing w:before="120" w:after="120"/>
      <w:ind w:left="1418"/>
      <w:jc w:val="right"/>
    </w:pPr>
    <w:rPr>
      <w:b/>
      <w:bCs/>
    </w:rPr>
  </w:style>
  <w:style w:type="paragraph" w:customStyle="1" w:styleId="Hesber1st">
    <w:name w:val="Hesber 1st"/>
    <w:basedOn w:val="Hesber"/>
    <w:rsid w:val="00945341"/>
    <w:pPr>
      <w:tabs>
        <w:tab w:val="left" w:pos="680"/>
        <w:tab w:val="left" w:pos="1020"/>
      </w:tabs>
      <w:ind w:firstLine="0"/>
    </w:pPr>
  </w:style>
  <w:style w:type="character" w:styleId="a6">
    <w:name w:val="endnote reference"/>
    <w:basedOn w:val="a0"/>
    <w:semiHidden/>
    <w:rsid w:val="00945341"/>
    <w:rPr>
      <w:vertAlign w:val="superscript"/>
    </w:rPr>
  </w:style>
  <w:style w:type="paragraph" w:customStyle="1" w:styleId="TableBlockOutdent">
    <w:name w:val="Table BlockOutdent"/>
    <w:basedOn w:val="TableBlock"/>
    <w:rsid w:val="00945341"/>
    <w:pPr>
      <w:ind w:left="624" w:hanging="624"/>
    </w:pPr>
  </w:style>
  <w:style w:type="paragraph" w:styleId="a7">
    <w:name w:val="header"/>
    <w:basedOn w:val="a"/>
    <w:rsid w:val="00945341"/>
    <w:pPr>
      <w:tabs>
        <w:tab w:val="center" w:pos="4153"/>
        <w:tab w:val="right" w:pos="8306"/>
      </w:tabs>
    </w:pPr>
  </w:style>
  <w:style w:type="paragraph" w:styleId="a8">
    <w:name w:val="footer"/>
    <w:basedOn w:val="a"/>
    <w:rsid w:val="00945341"/>
    <w:pPr>
      <w:tabs>
        <w:tab w:val="center" w:pos="4153"/>
        <w:tab w:val="right" w:pos="8306"/>
      </w:tabs>
    </w:pPr>
  </w:style>
  <w:style w:type="paragraph" w:customStyle="1" w:styleId="HeadDivreiHesber">
    <w:name w:val="Head DivreiHesber"/>
    <w:basedOn w:val="a"/>
    <w:rsid w:val="00945341"/>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945341"/>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945341"/>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styleId="ad">
    <w:name w:val="Strong"/>
    <w:basedOn w:val="a0"/>
    <w:uiPriority w:val="22"/>
    <w:qFormat/>
    <w:rsid w:val="002C5420"/>
    <w:rPr>
      <w:b/>
      <w:bCs/>
    </w:rPr>
  </w:style>
  <w:style w:type="character" w:styleId="ae">
    <w:name w:val="Emphasis"/>
    <w:basedOn w:val="a0"/>
    <w:uiPriority w:val="20"/>
    <w:qFormat/>
    <w:rsid w:val="002C5420"/>
    <w:rPr>
      <w:i/>
      <w:iCs/>
    </w:rPr>
  </w:style>
  <w:style w:type="character" w:customStyle="1" w:styleId="10">
    <w:name w:val="כותרת 1 תו"/>
    <w:basedOn w:val="a0"/>
    <w:link w:val="1"/>
    <w:uiPriority w:val="9"/>
    <w:rsid w:val="00945341"/>
    <w:rPr>
      <w:rFonts w:asciiTheme="majorHAnsi" w:eastAsiaTheme="majorEastAsia" w:hAnsiTheme="majorHAnsi" w:cs="David"/>
      <w:bCs/>
      <w:sz w:val="32"/>
      <w:szCs w:val="36"/>
    </w:rPr>
  </w:style>
  <w:style w:type="character" w:customStyle="1" w:styleId="20">
    <w:name w:val="כותרת 2 תו"/>
    <w:basedOn w:val="a0"/>
    <w:link w:val="2"/>
    <w:rsid w:val="00945341"/>
    <w:rPr>
      <w:rFonts w:asciiTheme="majorHAnsi" w:eastAsiaTheme="majorEastAsia" w:hAnsiTheme="majorHAnsi" w:cs="David"/>
      <w:bCs/>
      <w:sz w:val="26"/>
      <w:szCs w:val="36"/>
      <w:u w:val="single"/>
    </w:rPr>
  </w:style>
  <w:style w:type="character" w:customStyle="1" w:styleId="30">
    <w:name w:val="כותרת 3 תו"/>
    <w:basedOn w:val="a0"/>
    <w:link w:val="3"/>
    <w:rsid w:val="00945341"/>
    <w:rPr>
      <w:rFonts w:asciiTheme="majorHAnsi" w:eastAsiaTheme="majorEastAsia" w:hAnsiTheme="majorHAnsi" w:cs="David"/>
      <w:sz w:val="24"/>
      <w:szCs w:val="28"/>
      <w:u w:val="double"/>
    </w:rPr>
  </w:style>
  <w:style w:type="character" w:customStyle="1" w:styleId="40">
    <w:name w:val="כותרת 4 תו"/>
    <w:basedOn w:val="a0"/>
    <w:link w:val="4"/>
    <w:uiPriority w:val="9"/>
    <w:rsid w:val="00945341"/>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945341"/>
    <w:rPr>
      <w:rFonts w:ascii="David" w:eastAsiaTheme="minorHAnsi" w:hAnsi="David" w:cs="David"/>
      <w:color w:val="000000" w:themeColor="text1"/>
      <w:sz w:val="24"/>
      <w:szCs w:val="24"/>
    </w:rPr>
  </w:style>
  <w:style w:type="paragraph" w:styleId="af">
    <w:name w:val="TOC Heading"/>
    <w:basedOn w:val="1"/>
    <w:next w:val="a"/>
    <w:uiPriority w:val="39"/>
    <w:unhideWhenUsed/>
    <w:qFormat/>
    <w:rsid w:val="00945341"/>
    <w:pPr>
      <w:widowControl/>
      <w:spacing w:before="120" w:after="120"/>
      <w:outlineLvl w:val="9"/>
    </w:pPr>
    <w:rPr>
      <w:rtl/>
      <w:cs/>
    </w:rPr>
  </w:style>
  <w:style w:type="paragraph" w:styleId="TOC1">
    <w:name w:val="toc 1"/>
    <w:basedOn w:val="a"/>
    <w:next w:val="a"/>
    <w:autoRedefine/>
    <w:uiPriority w:val="39"/>
    <w:unhideWhenUsed/>
    <w:rsid w:val="00945341"/>
    <w:pPr>
      <w:tabs>
        <w:tab w:val="right" w:leader="dot" w:pos="9629"/>
      </w:tabs>
      <w:spacing w:after="100"/>
    </w:pPr>
    <w:rPr>
      <w:bCs/>
      <w:szCs w:val="22"/>
    </w:rPr>
  </w:style>
  <w:style w:type="paragraph" w:styleId="TOC2">
    <w:name w:val="toc 2"/>
    <w:basedOn w:val="a"/>
    <w:next w:val="a"/>
    <w:uiPriority w:val="39"/>
    <w:unhideWhenUsed/>
    <w:rsid w:val="00945341"/>
    <w:pPr>
      <w:tabs>
        <w:tab w:val="right" w:leader="dot" w:pos="9628"/>
      </w:tabs>
      <w:spacing w:after="100"/>
    </w:pPr>
    <w:rPr>
      <w:szCs w:val="22"/>
    </w:rPr>
  </w:style>
  <w:style w:type="character" w:styleId="Hyperlink">
    <w:name w:val="Hyperlink"/>
    <w:basedOn w:val="a0"/>
    <w:uiPriority w:val="99"/>
    <w:unhideWhenUsed/>
    <w:rsid w:val="00945341"/>
    <w:rPr>
      <w:color w:val="0000FF" w:themeColor="hyperlink"/>
      <w:u w:val="single"/>
    </w:rPr>
  </w:style>
  <w:style w:type="paragraph" w:styleId="TOC3">
    <w:name w:val="toc 3"/>
    <w:basedOn w:val="a"/>
    <w:next w:val="a"/>
    <w:uiPriority w:val="39"/>
    <w:unhideWhenUsed/>
    <w:rsid w:val="00945341"/>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945341"/>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945341"/>
    <w:pPr>
      <w:tabs>
        <w:tab w:val="right" w:leader="dot" w:pos="9628"/>
      </w:tabs>
      <w:spacing w:after="100"/>
      <w:ind w:left="567"/>
    </w:pPr>
    <w:rPr>
      <w:szCs w:val="22"/>
    </w:rPr>
  </w:style>
  <w:style w:type="paragraph" w:styleId="TOC6">
    <w:name w:val="toc 6"/>
    <w:basedOn w:val="a"/>
    <w:next w:val="a"/>
    <w:autoRedefine/>
    <w:semiHidden/>
    <w:unhideWhenUsed/>
    <w:rsid w:val="00945341"/>
    <w:pPr>
      <w:spacing w:after="100"/>
      <w:ind w:left="850"/>
    </w:pPr>
  </w:style>
  <w:style w:type="paragraph" w:styleId="TOC7">
    <w:name w:val="toc 7"/>
    <w:basedOn w:val="a"/>
    <w:next w:val="a"/>
    <w:autoRedefine/>
    <w:semiHidden/>
    <w:unhideWhenUsed/>
    <w:rsid w:val="00945341"/>
    <w:pPr>
      <w:spacing w:after="100"/>
      <w:ind w:left="1020"/>
    </w:pPr>
  </w:style>
  <w:style w:type="paragraph" w:styleId="TOC8">
    <w:name w:val="toc 8"/>
    <w:basedOn w:val="a"/>
    <w:next w:val="a"/>
    <w:autoRedefine/>
    <w:semiHidden/>
    <w:unhideWhenUsed/>
    <w:rsid w:val="00945341"/>
    <w:pPr>
      <w:spacing w:after="100"/>
      <w:ind w:left="1190"/>
    </w:pPr>
  </w:style>
  <w:style w:type="paragraph" w:styleId="TOC9">
    <w:name w:val="toc 9"/>
    <w:basedOn w:val="a"/>
    <w:next w:val="a"/>
    <w:autoRedefine/>
    <w:semiHidden/>
    <w:unhideWhenUsed/>
    <w:rsid w:val="00945341"/>
    <w:pPr>
      <w:spacing w:after="100"/>
      <w:ind w:left="1360"/>
    </w:pPr>
  </w:style>
  <w:style w:type="paragraph" w:customStyle="1" w:styleId="TableHead2">
    <w:name w:val="Table Head2"/>
    <w:basedOn w:val="TableHead"/>
    <w:qFormat/>
    <w:rsid w:val="00945341"/>
    <w:pPr>
      <w:outlineLvl w:val="9"/>
    </w:pPr>
  </w:style>
  <w:style w:type="paragraph" w:customStyle="1" w:styleId="TableSideHeading2">
    <w:name w:val="Table SideHeading2"/>
    <w:basedOn w:val="TableSideHeading"/>
    <w:autoRedefine/>
    <w:qFormat/>
    <w:rsid w:val="00945341"/>
    <w:pPr>
      <w:keepLines w:val="0"/>
      <w:outlineLvl w:val="9"/>
    </w:pPr>
  </w:style>
  <w:style w:type="paragraph" w:customStyle="1" w:styleId="0">
    <w:name w:val="סגנון שורה ראשונה:  0  ס''מ"/>
    <w:basedOn w:val="2"/>
    <w:rsid w:val="00945341"/>
    <w:rPr>
      <w:rFonts w:eastAsia="Times New Roman"/>
    </w:rPr>
  </w:style>
  <w:style w:type="paragraph" w:styleId="af0">
    <w:name w:val="List Paragraph"/>
    <w:basedOn w:val="a"/>
    <w:uiPriority w:val="34"/>
    <w:qFormat/>
    <w:rsid w:val="00945341"/>
    <w:pPr>
      <w:widowControl/>
      <w:spacing w:line="259" w:lineRule="auto"/>
    </w:pPr>
    <w:rPr>
      <w:rFonts w:asciiTheme="minorHAnsi" w:hAnsiTheme="minorHAnsi"/>
      <w:sz w:val="22"/>
    </w:rPr>
  </w:style>
  <w:style w:type="table" w:styleId="af1">
    <w:name w:val="Table Grid"/>
    <w:basedOn w:val="a1"/>
    <w:rsid w:val="00945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9453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94534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2">
    <w:name w:val="טבלת חקיקה"/>
    <w:basedOn w:val="a1"/>
    <w:uiPriority w:val="99"/>
    <w:rsid w:val="00945341"/>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945341"/>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www.w3.org/XML/1998/namespace"/>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purl.org/dc/terms/"/>
    <ds:schemaRef ds:uri="290d5b49-c690-4c6f-bbb9-1e50dab33eee"/>
    <ds:schemaRef ds:uri="http://schemas.microsoft.com/office/infopath/2007/PartnerControls"/>
  </ds:schemaRefs>
</ds:datastoreItem>
</file>

<file path=customXml/itemProps3.xml><?xml version="1.0" encoding="utf-8"?>
<ds:datastoreItem xmlns:ds="http://schemas.openxmlformats.org/officeDocument/2006/customXml" ds:itemID="{EA05606F-B360-4643-BBC7-0B32DD210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628BD-3515-4C7A-8B27-97B88B50A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437</Words>
  <Characters>2188</Characters>
  <Application>Microsoft Office Word</Application>
  <DocSecurity>0</DocSecurity>
  <Lines>18</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רשומות</vt:lpstr>
      <vt:lpstr>רשומות</vt:lpstr>
    </vt:vector>
  </TitlesOfParts>
  <Company>Knesset</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11</cp:revision>
  <cp:lastPrinted>2013-07-04T08:25:00Z</cp:lastPrinted>
  <dcterms:created xsi:type="dcterms:W3CDTF">2015-04-20T09:58:00Z</dcterms:created>
  <dcterms:modified xsi:type="dcterms:W3CDTF">2026-07-02T07:19:00Z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2244742</vt:r8>
  </property>
</Properties>
</file>