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409261" w14:textId="77777777" w:rsidR="00E80911" w:rsidRPr="000D3617" w:rsidRDefault="00E80911" w:rsidP="00E80911">
      <w:pPr>
        <w:jc w:val="right"/>
        <w:rPr>
          <w:b/>
          <w:bCs/>
          <w:sz w:val="20"/>
          <w:szCs w:val="20"/>
        </w:rPr>
      </w:pPr>
      <w:r w:rsidRPr="000D3617">
        <w:rPr>
          <w:sz w:val="20"/>
          <w:szCs w:val="20"/>
          <w:rtl/>
        </w:rPr>
        <w:t xml:space="preserve">מספר פנימי: </w:t>
      </w:r>
      <w:bookmarkStart w:id="0" w:name="LGS_Internal_ID"/>
      <w:r w:rsidRPr="000D3617">
        <w:rPr>
          <w:sz w:val="20"/>
          <w:szCs w:val="20"/>
          <w:rtl/>
        </w:rPr>
        <w:t>2243224</w:t>
      </w:r>
      <w:bookmarkEnd w:id="0"/>
    </w:p>
    <w:p w14:paraId="1B3C93E5" w14:textId="77777777" w:rsidR="00E80911" w:rsidRPr="00DB7060" w:rsidRDefault="00E80911" w:rsidP="00E80911">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E026705" w14:textId="77777777" w:rsidR="00E80911" w:rsidRPr="00F67051" w:rsidRDefault="00E80911" w:rsidP="00E80911">
      <w:pPr>
        <w:rPr>
          <w:b/>
          <w:bCs/>
          <w:sz w:val="26"/>
          <w:szCs w:val="26"/>
          <w:rtl/>
        </w:rPr>
      </w:pPr>
    </w:p>
    <w:p w14:paraId="05BFAFEB" w14:textId="05E6FE60" w:rsidR="00E80911" w:rsidRPr="00CF1AA2" w:rsidRDefault="00E80911" w:rsidP="00D72C1E">
      <w:pPr>
        <w:pStyle w:val="David"/>
        <w:ind w:left="3544"/>
        <w:rPr>
          <w:b/>
          <w:bCs/>
          <w:sz w:val="16"/>
          <w:szCs w:val="16"/>
          <w:rtl/>
        </w:rPr>
      </w:pPr>
      <w:bookmarkStart w:id="2" w:name="LGS_Initiators_List"/>
      <w:r>
        <w:rPr>
          <w:b/>
          <w:bCs/>
          <w:rtl/>
        </w:rPr>
        <w:t>יוזמות:      חברות הכנסת</w:t>
      </w:r>
      <w:bookmarkEnd w:id="2"/>
      <w:r w:rsidRPr="00F67051">
        <w:rPr>
          <w:b/>
          <w:bCs/>
        </w:rPr>
        <w:tab/>
      </w:r>
      <w:bookmarkStart w:id="3" w:name="LGS_PM_Names"/>
      <w:r>
        <w:rPr>
          <w:rFonts w:hint="cs"/>
          <w:b/>
          <w:bCs/>
          <w:rtl/>
        </w:rPr>
        <w:t>מירב כהן</w:t>
      </w:r>
      <w:r>
        <w:br/>
      </w:r>
      <w:r>
        <w:rPr>
          <w:rFonts w:hint="cs"/>
          <w:b/>
          <w:bCs/>
          <w:rtl/>
        </w:rPr>
        <w:t xml:space="preserve"> </w:t>
      </w:r>
      <w:r>
        <w:tab/>
      </w:r>
      <w:r>
        <w:tab/>
      </w:r>
      <w:r>
        <w:tab/>
      </w:r>
      <w:r>
        <w:tab/>
      </w:r>
      <w:r>
        <w:rPr>
          <w:rFonts w:hint="cs"/>
          <w:b/>
          <w:bCs/>
          <w:rtl/>
        </w:rPr>
        <w:t>מרב מיכאלי</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25CC815F" w14:textId="77777777" w:rsidR="00E80911" w:rsidRPr="00904591" w:rsidRDefault="00E80911" w:rsidP="00E80911">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318BD96D" w14:textId="44A07208" w:rsidR="00E80911" w:rsidRPr="00E06736" w:rsidRDefault="00E80911" w:rsidP="00D72C1E">
      <w:pPr>
        <w:pStyle w:val="David"/>
        <w:spacing w:line="240" w:lineRule="auto"/>
        <w:ind w:left="6424" w:firstLine="56"/>
        <w:rPr>
          <w:rtl/>
        </w:rPr>
      </w:pPr>
      <w:bookmarkStart w:id="6" w:name="Private_Number"/>
      <w:r>
        <w:rPr>
          <w:rFonts w:hint="cs"/>
          <w:rtl/>
        </w:rPr>
        <w:t>פ/6801/25</w:t>
      </w:r>
      <w:bookmarkEnd w:id="6"/>
    </w:p>
    <w:p w14:paraId="5D21021D" w14:textId="77777777" w:rsidR="00E80911" w:rsidRDefault="00E80911" w:rsidP="00E80911">
      <w:pPr>
        <w:ind w:left="2880" w:firstLine="720"/>
        <w:rPr>
          <w:sz w:val="26"/>
          <w:szCs w:val="26"/>
          <w:rtl/>
        </w:rPr>
      </w:pPr>
    </w:p>
    <w:p w14:paraId="565AF25E" w14:textId="2DE7739E" w:rsidR="00E80911" w:rsidRDefault="00E80911" w:rsidP="00E80911">
      <w:pPr>
        <w:pStyle w:val="HeadHatzaotHok"/>
        <w:rPr>
          <w:rtl/>
        </w:rPr>
      </w:pPr>
      <w:bookmarkStart w:id="7" w:name="LGS_Subject"/>
      <w:r>
        <w:rPr>
          <w:rFonts w:hint="cs"/>
          <w:rtl/>
        </w:rPr>
        <w:t>הצעת חוק הגבלת שימוש במקום לשם מניעת ביצוע עבירות (תיקון – הארכת צו בהיעדר התקדמות החקירה), התשפ"ו</w:t>
      </w:r>
      <w:r>
        <w:rPr>
          <w:rFonts w:hint="eastAsia"/>
          <w:rtl/>
        </w:rPr>
        <w:t>–</w:t>
      </w:r>
      <w:r>
        <w:rPr>
          <w:rFonts w:hint="cs"/>
          <w:rtl/>
        </w:rPr>
        <w:t>2026</w:t>
      </w:r>
      <w:bookmarkEnd w:id="7"/>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E80911" w14:paraId="2C9D7C28" w14:textId="77777777" w:rsidTr="00D27151">
        <w:trPr>
          <w:cantSplit/>
        </w:trPr>
        <w:tc>
          <w:tcPr>
            <w:tcW w:w="1871" w:type="dxa"/>
          </w:tcPr>
          <w:p w14:paraId="755C1B80" w14:textId="77777777" w:rsidR="00E80911" w:rsidRDefault="00E80911" w:rsidP="00FD61A2">
            <w:pPr>
              <w:pStyle w:val="TableSideHeading"/>
              <w:keepLines w:val="0"/>
            </w:pPr>
            <w:r w:rsidRPr="0049001D">
              <w:rPr>
                <w:rtl/>
              </w:rPr>
              <w:t>תיקון סעיף 3א</w:t>
            </w:r>
          </w:p>
        </w:tc>
        <w:tc>
          <w:tcPr>
            <w:tcW w:w="624" w:type="dxa"/>
          </w:tcPr>
          <w:p w14:paraId="6997E9C5" w14:textId="4A310710" w:rsidR="00E80911" w:rsidRDefault="006A3F8B" w:rsidP="006A3F8B">
            <w:pPr>
              <w:pStyle w:val="TableText"/>
              <w:keepLines w:val="0"/>
              <w:tabs>
                <w:tab w:val="clear" w:pos="624"/>
              </w:tabs>
            </w:pPr>
            <w:r>
              <w:rPr>
                <w:rFonts w:hint="cs"/>
                <w:rtl/>
              </w:rPr>
              <w:t>1.</w:t>
            </w:r>
          </w:p>
        </w:tc>
        <w:tc>
          <w:tcPr>
            <w:tcW w:w="7143" w:type="dxa"/>
          </w:tcPr>
          <w:p w14:paraId="03F0168B" w14:textId="77777777" w:rsidR="00E80911" w:rsidRPr="00E042CA" w:rsidRDefault="00E80911" w:rsidP="00D27151">
            <w:pPr>
              <w:pStyle w:val="TableBlock"/>
            </w:pPr>
            <w:r w:rsidRPr="00E042CA">
              <w:rPr>
                <w:rtl/>
              </w:rPr>
              <w:t>בחוק הגבלת שימוש במקום לשם מניעת ביצוע עביר</w:t>
            </w:r>
            <w:r>
              <w:rPr>
                <w:rFonts w:hint="cs"/>
                <w:rtl/>
              </w:rPr>
              <w:t>ות</w:t>
            </w:r>
            <w:r w:rsidRPr="00E042CA">
              <w:rPr>
                <w:rtl/>
              </w:rPr>
              <w:t xml:space="preserve">, </w:t>
            </w:r>
            <w:r w:rsidRPr="004C74B2">
              <w:rPr>
                <w:rtl/>
              </w:rPr>
              <w:t>התשס"ה–2005</w:t>
            </w:r>
            <w:r w:rsidRPr="00D27151">
              <w:rPr>
                <w:rStyle w:val="a6"/>
                <w:rFonts w:ascii="David" w:hAnsi="David"/>
                <w:sz w:val="26"/>
                <w:rtl/>
              </w:rPr>
              <w:footnoteReference w:id="2"/>
            </w:r>
            <w:r>
              <w:rPr>
                <w:rFonts w:hint="cs"/>
                <w:rtl/>
              </w:rPr>
              <w:t xml:space="preserve">, </w:t>
            </w:r>
            <w:r w:rsidRPr="00E042CA">
              <w:rPr>
                <w:rFonts w:hint="cs"/>
                <w:rtl/>
              </w:rPr>
              <w:t>ב</w:t>
            </w:r>
            <w:r w:rsidRPr="00E042CA">
              <w:rPr>
                <w:rtl/>
              </w:rPr>
              <w:t xml:space="preserve">סעיף </w:t>
            </w:r>
            <w:r>
              <w:rPr>
                <w:rFonts w:hint="cs"/>
                <w:rtl/>
              </w:rPr>
              <w:t>3א</w:t>
            </w:r>
            <w:r w:rsidRPr="00E042CA">
              <w:rPr>
                <w:rtl/>
              </w:rPr>
              <w:t>(</w:t>
            </w:r>
            <w:r w:rsidRPr="00E042CA">
              <w:rPr>
                <w:rFonts w:hint="cs"/>
                <w:rtl/>
              </w:rPr>
              <w:t>ב</w:t>
            </w:r>
            <w:r>
              <w:rPr>
                <w:rtl/>
              </w:rPr>
              <w:t>)</w:t>
            </w:r>
            <w:r>
              <w:rPr>
                <w:rFonts w:hint="cs"/>
                <w:rtl/>
              </w:rPr>
              <w:t xml:space="preserve">, המילים </w:t>
            </w:r>
            <w:r w:rsidRPr="0044000F">
              <w:rPr>
                <w:rtl/>
              </w:rPr>
              <w:t>"וכן את התקדמות החקירה בענ</w:t>
            </w:r>
            <w:r>
              <w:rPr>
                <w:rtl/>
              </w:rPr>
              <w:t>יין ביצוע העבירה המנויה בתוספת"</w:t>
            </w:r>
            <w:r>
              <w:rPr>
                <w:rFonts w:hint="cs"/>
                <w:rtl/>
              </w:rPr>
              <w:t xml:space="preserve"> </w:t>
            </w:r>
            <w:r>
              <w:rPr>
                <w:rFonts w:hint="eastAsia"/>
                <w:rtl/>
              </w:rPr>
              <w:t>–</w:t>
            </w:r>
            <w:r>
              <w:rPr>
                <w:rFonts w:hint="cs"/>
                <w:rtl/>
              </w:rPr>
              <w:t xml:space="preserve"> יימחקו.</w:t>
            </w:r>
          </w:p>
        </w:tc>
      </w:tr>
    </w:tbl>
    <w:p w14:paraId="0D2A62B4" w14:textId="77777777" w:rsidR="00E80911" w:rsidRDefault="00E80911" w:rsidP="00E80911">
      <w:pPr>
        <w:pStyle w:val="HeadDivreiHesber"/>
        <w:rPr>
          <w:rtl/>
        </w:rPr>
      </w:pPr>
      <w:r>
        <w:rPr>
          <w:rFonts w:hint="cs"/>
          <w:rtl/>
        </w:rPr>
        <w:t>דברי הסבר</w:t>
      </w:r>
    </w:p>
    <w:p w14:paraId="2E1956E7" w14:textId="77777777" w:rsidR="00E80911" w:rsidRDefault="00E80911" w:rsidP="00D27151">
      <w:pPr>
        <w:pStyle w:val="Hesber"/>
        <w:spacing w:line="276" w:lineRule="auto"/>
        <w:rPr>
          <w:rtl/>
        </w:rPr>
      </w:pPr>
      <w:r w:rsidRPr="00095CDE">
        <w:rPr>
          <w:rFonts w:hint="cs"/>
          <w:rtl/>
        </w:rPr>
        <w:t xml:space="preserve">סעיף </w:t>
      </w:r>
      <w:r>
        <w:rPr>
          <w:rFonts w:hint="cs"/>
          <w:rtl/>
        </w:rPr>
        <w:t>3</w:t>
      </w:r>
      <w:r w:rsidRPr="00095CDE">
        <w:rPr>
          <w:rFonts w:hint="cs"/>
          <w:rtl/>
        </w:rPr>
        <w:t>א</w:t>
      </w:r>
      <w:r>
        <w:rPr>
          <w:rFonts w:hint="cs"/>
          <w:rtl/>
        </w:rPr>
        <w:t>(ב)</w:t>
      </w:r>
      <w:r w:rsidRPr="00095CDE">
        <w:rPr>
          <w:rtl/>
        </w:rPr>
        <w:t xml:space="preserve"> </w:t>
      </w:r>
      <w:r w:rsidRPr="00095CDE">
        <w:rPr>
          <w:rFonts w:hint="cs"/>
          <w:rtl/>
        </w:rPr>
        <w:t xml:space="preserve">לחוק </w:t>
      </w:r>
      <w:r w:rsidRPr="00B6664F">
        <w:rPr>
          <w:rtl/>
        </w:rPr>
        <w:t>הגבלת שימוש במקום לשם מניעת ביצוע עבירות, התשס"ה–2005</w:t>
      </w:r>
      <w:r>
        <w:rPr>
          <w:rFonts w:hint="cs"/>
          <w:rtl/>
        </w:rPr>
        <w:t xml:space="preserve"> (להלן </w:t>
      </w:r>
      <w:r>
        <w:rPr>
          <w:rtl/>
        </w:rPr>
        <w:t>–</w:t>
      </w:r>
      <w:r>
        <w:rPr>
          <w:rFonts w:hint="cs"/>
          <w:rtl/>
        </w:rPr>
        <w:t xml:space="preserve"> החוק)</w:t>
      </w:r>
      <w:r w:rsidRPr="00B6664F">
        <w:rPr>
          <w:rtl/>
        </w:rPr>
        <w:t>,</w:t>
      </w:r>
      <w:r>
        <w:rPr>
          <w:rFonts w:hint="cs"/>
          <w:rtl/>
        </w:rPr>
        <w:t xml:space="preserve"> </w:t>
      </w:r>
      <w:r w:rsidRPr="00B6664F">
        <w:rPr>
          <w:rtl/>
        </w:rPr>
        <w:t xml:space="preserve">קובע כי בבואו להאריך צו הגבלת שימוש במקום, ישקול בית המשפט בין </w:t>
      </w:r>
      <w:r>
        <w:rPr>
          <w:rFonts w:hint="cs"/>
          <w:rtl/>
        </w:rPr>
        <w:t>השאר</w:t>
      </w:r>
      <w:r w:rsidRPr="00B6664F">
        <w:rPr>
          <w:rtl/>
        </w:rPr>
        <w:t>, את "התקדמות החקירה בעניין ביצוע העבירה המנויה בתוספת</w:t>
      </w:r>
      <w:r>
        <w:rPr>
          <w:rFonts w:hint="cs"/>
          <w:rtl/>
        </w:rPr>
        <w:t>"</w:t>
      </w:r>
      <w:r w:rsidRPr="00B6664F">
        <w:rPr>
          <w:rtl/>
        </w:rPr>
        <w:t>. הוראה זו יוצרת זיקה בין האפשרות להאריך את תוקפו של הצו לבין קצב התקדמותה של החקירה הפלילית, גם במקרים שבהם קיימות ראיות המלמדות כי המקום ממשיך לשמש לביצוע עבירות או שקיים חשש ממשי להמשך ביצוען</w:t>
      </w:r>
      <w:r>
        <w:rPr>
          <w:rFonts w:hint="cs"/>
          <w:rtl/>
        </w:rPr>
        <w:t>.</w:t>
      </w:r>
    </w:p>
    <w:p w14:paraId="1D27A8A6" w14:textId="41C869A3" w:rsidR="00E80911" w:rsidRDefault="00E80911" w:rsidP="006A3F8B">
      <w:pPr>
        <w:pStyle w:val="Hesber"/>
        <w:spacing w:line="276" w:lineRule="auto"/>
        <w:rPr>
          <w:rtl/>
        </w:rPr>
      </w:pPr>
      <w:r>
        <w:rPr>
          <w:rtl/>
        </w:rPr>
        <w:t>מצב זה מייצר כשל חמור</w:t>
      </w:r>
      <w:r>
        <w:rPr>
          <w:rFonts w:hint="cs"/>
          <w:rtl/>
        </w:rPr>
        <w:t xml:space="preserve"> </w:t>
      </w:r>
      <w:r>
        <w:rPr>
          <w:rFonts w:hint="eastAsia"/>
          <w:rtl/>
        </w:rPr>
        <w:t>–</w:t>
      </w:r>
      <w:r>
        <w:rPr>
          <w:rFonts w:hint="cs"/>
          <w:rtl/>
        </w:rPr>
        <w:t xml:space="preserve"> </w:t>
      </w:r>
      <w:r w:rsidRPr="004C74B2">
        <w:rPr>
          <w:rtl/>
        </w:rPr>
        <w:t xml:space="preserve">במקומות שבהם מבוצעים פשעים קשים, הצווים </w:t>
      </w:r>
      <w:r>
        <w:rPr>
          <w:rFonts w:hint="cs"/>
          <w:rtl/>
        </w:rPr>
        <w:t>לא יוארכו</w:t>
      </w:r>
      <w:r w:rsidRPr="004C74B2">
        <w:rPr>
          <w:rtl/>
        </w:rPr>
        <w:t xml:space="preserve"> רק משום שהחקירה הפלילית נקלעה למבוי סתום, מתעכבת או שטרם הוגש כתב אישום. כתוצאה מכך, בתי עסק עברייניים נפתחים מחדש וממשיכים לפעול ולפגוע בשלום הציבור ללא מפריע, חרף הצורך הברור בסגירתם.</w:t>
      </w:r>
    </w:p>
    <w:p w14:paraId="157D9BC9" w14:textId="710ED8BC" w:rsidR="00E80911" w:rsidRDefault="00E80911" w:rsidP="00F44815">
      <w:pPr>
        <w:pStyle w:val="Hesber"/>
        <w:spacing w:line="276" w:lineRule="auto"/>
      </w:pPr>
      <w:r w:rsidRPr="005E5FA7">
        <w:rPr>
          <w:rtl/>
        </w:rPr>
        <w:t xml:space="preserve">מטרת התיקון המוצע היא לחזק את הכלים הנתונים בידי משטרת ישראל ולאפשר התמודדות אפקטיבית יותר עם עבירות המנויות בתוספת לחוק. בהתאם לכך, מוצע להשמיט מסעיף 3א(ב) </w:t>
      </w:r>
      <w:r w:rsidR="00F44815">
        <w:rPr>
          <w:rFonts w:hint="cs"/>
          <w:rtl/>
        </w:rPr>
        <w:t xml:space="preserve">לחוק </w:t>
      </w:r>
      <w:r w:rsidRPr="005E5FA7">
        <w:rPr>
          <w:rtl/>
        </w:rPr>
        <w:t>את המילים "וכן את התקדמות החקירה בעניין ביצוע העבירה המנויה בתוספת"</w:t>
      </w:r>
      <w:r w:rsidR="00F44815">
        <w:rPr>
          <w:rFonts w:hint="cs"/>
          <w:rtl/>
        </w:rPr>
        <w:t>,</w:t>
      </w:r>
      <w:r>
        <w:rPr>
          <w:rFonts w:hint="cs"/>
          <w:rtl/>
        </w:rPr>
        <w:t xml:space="preserve"> כדי לאפשר ל</w:t>
      </w:r>
      <w:r w:rsidRPr="005E5FA7">
        <w:rPr>
          <w:rtl/>
        </w:rPr>
        <w:t>בית המשפט לבחון בקשות להארכת צו הגבלת שימוש במקום על ב</w:t>
      </w:r>
      <w:bookmarkStart w:id="8" w:name="_GoBack"/>
      <w:bookmarkEnd w:id="8"/>
      <w:r w:rsidRPr="005E5FA7">
        <w:rPr>
          <w:rtl/>
        </w:rPr>
        <w:t xml:space="preserve">סיס </w:t>
      </w:r>
      <w:r>
        <w:rPr>
          <w:rFonts w:hint="cs"/>
          <w:rtl/>
        </w:rPr>
        <w:t>הראיות הקיימות ו</w:t>
      </w:r>
      <w:r w:rsidRPr="005E5FA7">
        <w:rPr>
          <w:rtl/>
        </w:rPr>
        <w:t xml:space="preserve">הצורך </w:t>
      </w:r>
      <w:r>
        <w:rPr>
          <w:rFonts w:hint="cs"/>
          <w:rtl/>
        </w:rPr>
        <w:t xml:space="preserve">הממשי </w:t>
      </w:r>
      <w:r w:rsidRPr="005E5FA7">
        <w:rPr>
          <w:rtl/>
        </w:rPr>
        <w:t xml:space="preserve">בהמשך ההגבלה, </w:t>
      </w:r>
      <w:r>
        <w:rPr>
          <w:rtl/>
        </w:rPr>
        <w:t>ולוודא כי הצו יוסיף לשמש כלי אפקטיבי למניעת פעילות עבריינית במקום</w:t>
      </w:r>
      <w:r>
        <w:rPr>
          <w:rFonts w:hint="cs"/>
          <w:rtl/>
        </w:rPr>
        <w:t xml:space="preserve">, </w:t>
      </w:r>
      <w:r w:rsidRPr="005E5FA7">
        <w:rPr>
          <w:rtl/>
        </w:rPr>
        <w:t xml:space="preserve">ללא תלות בהתקדמות החקירה הפלילית. </w:t>
      </w:r>
    </w:p>
    <w:p w14:paraId="7F6961CB" w14:textId="77777777" w:rsidR="00E13C27" w:rsidRPr="00E80911" w:rsidRDefault="00E13C27" w:rsidP="00D27151">
      <w:pPr>
        <w:spacing w:line="276" w:lineRule="auto"/>
        <w:rPr>
          <w:rtl/>
        </w:rPr>
      </w:pPr>
    </w:p>
    <w:p w14:paraId="270EB260" w14:textId="77777777" w:rsidR="00673BE2" w:rsidRDefault="00D27151" w:rsidP="00D27151">
      <w:pPr>
        <w:spacing w:line="276" w:lineRule="auto"/>
        <w:jc w:val="left"/>
      </w:pPr>
      <w:bookmarkStart w:id="9" w:name="selectedDocDateB"/>
      <w:bookmarkEnd w:id="9"/>
      <w:r>
        <w:rPr>
          <w:rFonts w:eastAsia="David" w:hint="cs"/>
          <w:sz w:val="26"/>
          <w:szCs w:val="26"/>
          <w:rtl/>
        </w:rPr>
        <w:t>--------------------------------</w:t>
      </w:r>
    </w:p>
    <w:p w14:paraId="79DDDC39" w14:textId="77777777" w:rsidR="00673BE2" w:rsidRDefault="00D27151" w:rsidP="00D27151">
      <w:pPr>
        <w:spacing w:line="276" w:lineRule="auto"/>
        <w:jc w:val="left"/>
      </w:pPr>
      <w:r>
        <w:rPr>
          <w:rFonts w:eastAsia="David" w:hint="cs"/>
          <w:sz w:val="26"/>
          <w:szCs w:val="26"/>
          <w:rtl/>
        </w:rPr>
        <w:t>הוגשה ליו"ר הכנסת והסגנים</w:t>
      </w:r>
    </w:p>
    <w:p w14:paraId="4F565E42" w14:textId="77777777" w:rsidR="00673BE2" w:rsidRDefault="00D27151" w:rsidP="00D27151">
      <w:pPr>
        <w:spacing w:line="276" w:lineRule="auto"/>
        <w:jc w:val="left"/>
      </w:pPr>
      <w:r>
        <w:rPr>
          <w:rFonts w:eastAsia="David" w:hint="cs"/>
          <w:sz w:val="26"/>
          <w:szCs w:val="26"/>
          <w:rtl/>
        </w:rPr>
        <w:t>והונחה על שולחן הכנסת ביום</w:t>
      </w:r>
    </w:p>
    <w:p w14:paraId="3F6AE504" w14:textId="77777777" w:rsidR="00673BE2" w:rsidRDefault="00D27151" w:rsidP="00D27151">
      <w:pPr>
        <w:spacing w:line="276" w:lineRule="auto"/>
        <w:jc w:val="left"/>
      </w:pPr>
      <w:r>
        <w:rPr>
          <w:rFonts w:eastAsia="David" w:hint="cs"/>
          <w:sz w:val="26"/>
          <w:szCs w:val="26"/>
          <w:rtl/>
        </w:rPr>
        <w:t xml:space="preserve">כ"א בתמוז התשפ"ו (06.07.2026) </w:t>
      </w:r>
    </w:p>
    <w:p w14:paraId="0F07532E" w14:textId="77777777" w:rsidR="00673BE2" w:rsidRDefault="00673BE2">
      <w:pPr>
        <w:spacing w:line="276" w:lineRule="auto"/>
        <w:jc w:val="left"/>
      </w:pPr>
    </w:p>
    <w:sectPr w:rsidR="00673BE2" w:rsidSect="00D27151">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16ED3AEA"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D27151">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D27151">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0ECE1955" w14:textId="77777777" w:rsidR="00E80911" w:rsidRDefault="00E80911" w:rsidP="00E80911">
      <w:pPr>
        <w:pStyle w:val="a4"/>
        <w:rPr>
          <w:rtl/>
        </w:rPr>
      </w:pPr>
      <w:r>
        <w:rPr>
          <w:rStyle w:val="a6"/>
        </w:rPr>
        <w:footnoteRef/>
      </w:r>
      <w:r>
        <w:rPr>
          <w:rtl/>
        </w:rPr>
        <w:t xml:space="preserve"> </w:t>
      </w:r>
      <w:r>
        <w:rPr>
          <w:rFonts w:hint="cs"/>
          <w:rtl/>
        </w:rPr>
        <w:t>ס"ח התשס"ה, עמ' 426.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D3617"/>
    <w:rsid w:val="00102B6B"/>
    <w:rsid w:val="001052D4"/>
    <w:rsid w:val="0010644B"/>
    <w:rsid w:val="001207F8"/>
    <w:rsid w:val="00121924"/>
    <w:rsid w:val="001279A8"/>
    <w:rsid w:val="0014195F"/>
    <w:rsid w:val="00152609"/>
    <w:rsid w:val="00153E1B"/>
    <w:rsid w:val="001A0623"/>
    <w:rsid w:val="001C23B0"/>
    <w:rsid w:val="001D7AAF"/>
    <w:rsid w:val="00203A7F"/>
    <w:rsid w:val="00213534"/>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73BE2"/>
    <w:rsid w:val="006818A9"/>
    <w:rsid w:val="006A2D81"/>
    <w:rsid w:val="006A3F8B"/>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27151"/>
    <w:rsid w:val="00D63620"/>
    <w:rsid w:val="00D72C1E"/>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80911"/>
    <w:rsid w:val="00EA01E6"/>
    <w:rsid w:val="00EA3DE8"/>
    <w:rsid w:val="00EA758F"/>
    <w:rsid w:val="00ED4A6F"/>
    <w:rsid w:val="00EF3A3A"/>
    <w:rsid w:val="00F44815"/>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FEA1B81A-4961-4E63-A32B-F6BB4C42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7151"/>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D27151"/>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D27151"/>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D27151"/>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D27151"/>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D27151"/>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D27151"/>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D27151"/>
    <w:rPr>
      <w:sz w:val="36"/>
      <w:szCs w:val="52"/>
    </w:rPr>
  </w:style>
  <w:style w:type="paragraph" w:customStyle="1" w:styleId="Cover3-Haknesset">
    <w:name w:val="Cover 3-Haknesset"/>
    <w:basedOn w:val="Cover1-Reshumot"/>
    <w:rsid w:val="00D27151"/>
    <w:rPr>
      <w:b/>
      <w:bCs/>
      <w:spacing w:val="60"/>
    </w:rPr>
  </w:style>
  <w:style w:type="paragraph" w:customStyle="1" w:styleId="Cover4-Date">
    <w:name w:val="Cover 4-Date"/>
    <w:basedOn w:val="a"/>
    <w:rsid w:val="00D27151"/>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D27151"/>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D27151"/>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D27151"/>
    <w:pPr>
      <w:spacing w:before="120" w:after="120"/>
    </w:pPr>
    <w:rPr>
      <w:color w:val="FF0000"/>
      <w:w w:val="80"/>
    </w:rPr>
  </w:style>
  <w:style w:type="paragraph" w:styleId="a3">
    <w:name w:val="endnote text"/>
    <w:basedOn w:val="a"/>
    <w:semiHidden/>
    <w:rsid w:val="00D27151"/>
    <w:pPr>
      <w:ind w:left="227" w:hanging="227"/>
    </w:pPr>
    <w:rPr>
      <w:sz w:val="14"/>
      <w:szCs w:val="22"/>
    </w:rPr>
  </w:style>
  <w:style w:type="paragraph" w:customStyle="1" w:styleId="TableText">
    <w:name w:val="Table Text"/>
    <w:basedOn w:val="a"/>
    <w:rsid w:val="00D27151"/>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D27151"/>
    <w:pPr>
      <w:outlineLvl w:val="2"/>
    </w:pPr>
  </w:style>
  <w:style w:type="paragraph" w:customStyle="1" w:styleId="TableBlock">
    <w:name w:val="Table Block"/>
    <w:basedOn w:val="TableText"/>
    <w:rsid w:val="00D27151"/>
    <w:pPr>
      <w:jc w:val="both"/>
    </w:pPr>
  </w:style>
  <w:style w:type="paragraph" w:customStyle="1" w:styleId="TableHead">
    <w:name w:val="Table Head"/>
    <w:basedOn w:val="TableText"/>
    <w:rsid w:val="00D27151"/>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D27151"/>
    <w:pPr>
      <w:outlineLvl w:val="9"/>
    </w:pPr>
  </w:style>
  <w:style w:type="paragraph" w:customStyle="1" w:styleId="Hesber">
    <w:name w:val="Hesber"/>
    <w:basedOn w:val="a"/>
    <w:rsid w:val="00D27151"/>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D27151"/>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D27151"/>
    <w:rPr>
      <w:vertAlign w:val="superscript"/>
    </w:rPr>
  </w:style>
  <w:style w:type="paragraph" w:customStyle="1" w:styleId="HesberHeading">
    <w:name w:val="Hesber Heading"/>
    <w:basedOn w:val="Hesber"/>
    <w:rsid w:val="00D27151"/>
    <w:pPr>
      <w:tabs>
        <w:tab w:val="left" w:pos="624"/>
        <w:tab w:val="left" w:pos="1247"/>
      </w:tabs>
    </w:pPr>
    <w:rPr>
      <w:b/>
      <w:bCs/>
    </w:rPr>
  </w:style>
  <w:style w:type="paragraph" w:customStyle="1" w:styleId="HesberWriters">
    <w:name w:val="Hesber Writers"/>
    <w:basedOn w:val="Hesber"/>
    <w:rsid w:val="00D27151"/>
    <w:pPr>
      <w:spacing w:before="120" w:after="120"/>
      <w:ind w:left="1418"/>
      <w:jc w:val="right"/>
    </w:pPr>
    <w:rPr>
      <w:b/>
      <w:bCs/>
    </w:rPr>
  </w:style>
  <w:style w:type="paragraph" w:customStyle="1" w:styleId="Hesber1st">
    <w:name w:val="Hesber 1st"/>
    <w:basedOn w:val="Hesber"/>
    <w:rsid w:val="00D27151"/>
    <w:pPr>
      <w:tabs>
        <w:tab w:val="left" w:pos="680"/>
        <w:tab w:val="left" w:pos="1020"/>
      </w:tabs>
      <w:ind w:firstLine="0"/>
    </w:pPr>
  </w:style>
  <w:style w:type="character" w:styleId="a7">
    <w:name w:val="endnote reference"/>
    <w:basedOn w:val="a0"/>
    <w:semiHidden/>
    <w:rsid w:val="00D27151"/>
    <w:rPr>
      <w:vertAlign w:val="superscript"/>
    </w:rPr>
  </w:style>
  <w:style w:type="paragraph" w:customStyle="1" w:styleId="TableBlockOutdent">
    <w:name w:val="Table BlockOutdent"/>
    <w:basedOn w:val="TableBlock"/>
    <w:rsid w:val="00D27151"/>
    <w:pPr>
      <w:ind w:left="624" w:hanging="624"/>
    </w:pPr>
  </w:style>
  <w:style w:type="paragraph" w:styleId="a8">
    <w:name w:val="header"/>
    <w:basedOn w:val="a"/>
    <w:rsid w:val="00D27151"/>
    <w:pPr>
      <w:tabs>
        <w:tab w:val="center" w:pos="4153"/>
        <w:tab w:val="right" w:pos="8306"/>
      </w:tabs>
    </w:pPr>
  </w:style>
  <w:style w:type="paragraph" w:styleId="a9">
    <w:name w:val="footer"/>
    <w:basedOn w:val="a"/>
    <w:rsid w:val="00D27151"/>
    <w:pPr>
      <w:tabs>
        <w:tab w:val="center" w:pos="4153"/>
        <w:tab w:val="right" w:pos="8306"/>
      </w:tabs>
    </w:pPr>
  </w:style>
  <w:style w:type="paragraph" w:customStyle="1" w:styleId="HeadDivreiHesber">
    <w:name w:val="Head DivreiHesber"/>
    <w:basedOn w:val="a"/>
    <w:rsid w:val="00D27151"/>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D27151"/>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D27151"/>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E80911"/>
    <w:rPr>
      <w:rFonts w:ascii="Arial" w:eastAsia="Arial Unicode MS" w:hAnsi="Arial" w:cs="David"/>
      <w:snapToGrid w:val="0"/>
      <w:sz w:val="14"/>
    </w:rPr>
  </w:style>
  <w:style w:type="character" w:customStyle="1" w:styleId="10">
    <w:name w:val="כותרת 1 תו"/>
    <w:basedOn w:val="a0"/>
    <w:link w:val="1"/>
    <w:uiPriority w:val="9"/>
    <w:rsid w:val="00D27151"/>
    <w:rPr>
      <w:rFonts w:asciiTheme="majorHAnsi" w:eastAsiaTheme="majorEastAsia" w:hAnsiTheme="majorHAnsi" w:cs="David"/>
      <w:bCs/>
      <w:sz w:val="32"/>
      <w:szCs w:val="36"/>
    </w:rPr>
  </w:style>
  <w:style w:type="character" w:customStyle="1" w:styleId="20">
    <w:name w:val="כותרת 2 תו"/>
    <w:basedOn w:val="a0"/>
    <w:link w:val="2"/>
    <w:rsid w:val="00D27151"/>
    <w:rPr>
      <w:rFonts w:asciiTheme="majorHAnsi" w:eastAsiaTheme="majorEastAsia" w:hAnsiTheme="majorHAnsi" w:cs="David"/>
      <w:bCs/>
      <w:sz w:val="26"/>
      <w:szCs w:val="36"/>
      <w:u w:val="single"/>
    </w:rPr>
  </w:style>
  <w:style w:type="character" w:customStyle="1" w:styleId="30">
    <w:name w:val="כותרת 3 תו"/>
    <w:basedOn w:val="a0"/>
    <w:link w:val="3"/>
    <w:rsid w:val="00D27151"/>
    <w:rPr>
      <w:rFonts w:asciiTheme="majorHAnsi" w:eastAsiaTheme="majorEastAsia" w:hAnsiTheme="majorHAnsi" w:cs="David"/>
      <w:sz w:val="24"/>
      <w:szCs w:val="28"/>
      <w:u w:val="double"/>
    </w:rPr>
  </w:style>
  <w:style w:type="character" w:customStyle="1" w:styleId="40">
    <w:name w:val="כותרת 4 תו"/>
    <w:basedOn w:val="a0"/>
    <w:link w:val="4"/>
    <w:uiPriority w:val="9"/>
    <w:rsid w:val="00D27151"/>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D27151"/>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D27151"/>
    <w:pPr>
      <w:widowControl/>
      <w:spacing w:before="120" w:after="120"/>
      <w:outlineLvl w:val="9"/>
    </w:pPr>
    <w:rPr>
      <w:rtl/>
      <w:cs/>
    </w:rPr>
  </w:style>
  <w:style w:type="paragraph" w:styleId="TOC1">
    <w:name w:val="toc 1"/>
    <w:basedOn w:val="a"/>
    <w:next w:val="a"/>
    <w:autoRedefine/>
    <w:uiPriority w:val="39"/>
    <w:unhideWhenUsed/>
    <w:rsid w:val="00D27151"/>
    <w:pPr>
      <w:tabs>
        <w:tab w:val="right" w:leader="dot" w:pos="9629"/>
      </w:tabs>
      <w:spacing w:after="100"/>
    </w:pPr>
    <w:rPr>
      <w:bCs/>
      <w:szCs w:val="22"/>
    </w:rPr>
  </w:style>
  <w:style w:type="paragraph" w:styleId="TOC2">
    <w:name w:val="toc 2"/>
    <w:basedOn w:val="a"/>
    <w:next w:val="a"/>
    <w:uiPriority w:val="39"/>
    <w:unhideWhenUsed/>
    <w:rsid w:val="00D27151"/>
    <w:pPr>
      <w:tabs>
        <w:tab w:val="right" w:leader="dot" w:pos="9628"/>
      </w:tabs>
      <w:spacing w:after="100"/>
    </w:pPr>
    <w:rPr>
      <w:szCs w:val="22"/>
    </w:rPr>
  </w:style>
  <w:style w:type="character" w:styleId="Hyperlink">
    <w:name w:val="Hyperlink"/>
    <w:basedOn w:val="a0"/>
    <w:uiPriority w:val="99"/>
    <w:unhideWhenUsed/>
    <w:rsid w:val="00D27151"/>
    <w:rPr>
      <w:color w:val="0000FF" w:themeColor="hyperlink"/>
      <w:u w:val="single"/>
    </w:rPr>
  </w:style>
  <w:style w:type="paragraph" w:styleId="TOC3">
    <w:name w:val="toc 3"/>
    <w:basedOn w:val="a"/>
    <w:next w:val="a"/>
    <w:uiPriority w:val="39"/>
    <w:unhideWhenUsed/>
    <w:rsid w:val="00D27151"/>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D27151"/>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D27151"/>
    <w:pPr>
      <w:tabs>
        <w:tab w:val="right" w:leader="dot" w:pos="9628"/>
      </w:tabs>
      <w:spacing w:after="100"/>
      <w:ind w:left="567"/>
    </w:pPr>
    <w:rPr>
      <w:szCs w:val="22"/>
    </w:rPr>
  </w:style>
  <w:style w:type="paragraph" w:styleId="TOC6">
    <w:name w:val="toc 6"/>
    <w:basedOn w:val="a"/>
    <w:next w:val="a"/>
    <w:autoRedefine/>
    <w:semiHidden/>
    <w:unhideWhenUsed/>
    <w:rsid w:val="00D27151"/>
    <w:pPr>
      <w:spacing w:after="100"/>
      <w:ind w:left="850"/>
    </w:pPr>
  </w:style>
  <w:style w:type="paragraph" w:styleId="TOC7">
    <w:name w:val="toc 7"/>
    <w:basedOn w:val="a"/>
    <w:next w:val="a"/>
    <w:autoRedefine/>
    <w:semiHidden/>
    <w:unhideWhenUsed/>
    <w:rsid w:val="00D27151"/>
    <w:pPr>
      <w:spacing w:after="100"/>
      <w:ind w:left="1020"/>
    </w:pPr>
  </w:style>
  <w:style w:type="paragraph" w:styleId="TOC8">
    <w:name w:val="toc 8"/>
    <w:basedOn w:val="a"/>
    <w:next w:val="a"/>
    <w:autoRedefine/>
    <w:semiHidden/>
    <w:unhideWhenUsed/>
    <w:rsid w:val="00D27151"/>
    <w:pPr>
      <w:spacing w:after="100"/>
      <w:ind w:left="1190"/>
    </w:pPr>
  </w:style>
  <w:style w:type="paragraph" w:styleId="TOC9">
    <w:name w:val="toc 9"/>
    <w:basedOn w:val="a"/>
    <w:next w:val="a"/>
    <w:autoRedefine/>
    <w:semiHidden/>
    <w:unhideWhenUsed/>
    <w:rsid w:val="00D27151"/>
    <w:pPr>
      <w:spacing w:after="100"/>
      <w:ind w:left="1360"/>
    </w:pPr>
  </w:style>
  <w:style w:type="paragraph" w:customStyle="1" w:styleId="TableHead2">
    <w:name w:val="Table Head2"/>
    <w:basedOn w:val="TableHead"/>
    <w:qFormat/>
    <w:rsid w:val="00D27151"/>
    <w:pPr>
      <w:outlineLvl w:val="9"/>
    </w:pPr>
  </w:style>
  <w:style w:type="paragraph" w:customStyle="1" w:styleId="TableSideHeading2">
    <w:name w:val="Table SideHeading2"/>
    <w:basedOn w:val="TableSideHeading"/>
    <w:autoRedefine/>
    <w:qFormat/>
    <w:rsid w:val="00D27151"/>
    <w:pPr>
      <w:keepLines w:val="0"/>
      <w:outlineLvl w:val="9"/>
    </w:pPr>
  </w:style>
  <w:style w:type="paragraph" w:customStyle="1" w:styleId="0">
    <w:name w:val="סגנון שורה ראשונה:  0  ס''מ"/>
    <w:basedOn w:val="2"/>
    <w:rsid w:val="00D27151"/>
    <w:rPr>
      <w:rFonts w:eastAsia="Times New Roman"/>
    </w:rPr>
  </w:style>
  <w:style w:type="paragraph" w:styleId="af">
    <w:name w:val="List Paragraph"/>
    <w:basedOn w:val="a"/>
    <w:uiPriority w:val="34"/>
    <w:qFormat/>
    <w:rsid w:val="00D27151"/>
    <w:pPr>
      <w:widowControl/>
      <w:spacing w:line="259" w:lineRule="auto"/>
    </w:pPr>
    <w:rPr>
      <w:rFonts w:asciiTheme="minorHAnsi" w:hAnsiTheme="minorHAnsi"/>
      <w:sz w:val="22"/>
    </w:rPr>
  </w:style>
  <w:style w:type="table" w:styleId="af0">
    <w:name w:val="Table Grid"/>
    <w:basedOn w:val="a1"/>
    <w:rsid w:val="00D27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D2715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D271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D27151"/>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D27151"/>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http://purl.org/dc/terms/"/>
    <ds:schemaRef ds:uri="http://purl.org/dc/dcmitype/"/>
    <ds:schemaRef ds:uri="290d5b49-c690-4c6f-bbb9-1e50dab33eee"/>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67C1DDBF-09F6-42B1-85CE-4B60C1E4A7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107F707A-6F1F-4434-92DC-006712910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278</Words>
  <Characters>1394</Characters>
  <Application>Microsoft Office Word</Application>
  <DocSecurity>0</DocSecurity>
  <Lines>11</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רשומות</vt:lpstr>
      <vt:lpstr>רשומות</vt:lpstr>
    </vt:vector>
  </TitlesOfParts>
  <Company>Knesset</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10</cp:revision>
  <cp:lastPrinted>2013-07-04T08:25:00Z</cp:lastPrinted>
  <dcterms:created xsi:type="dcterms:W3CDTF">2015-04-20T09:58:00Z</dcterms:created>
  <dcterms:modified xsi:type="dcterms:W3CDTF">2026-07-02T09:11:00Z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2243224</vt:r8>
  </property>
</Properties>
</file>