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6961A1" w14:textId="77777777" w:rsidR="002C2E29" w:rsidRPr="00E635A2" w:rsidRDefault="004033D8" w:rsidP="00E635A2">
      <w:pPr>
        <w:jc w:val="right"/>
        <w:rPr>
          <w:rFonts w:cs="David"/>
          <w:b/>
          <w:bCs/>
          <w:sz w:val="20"/>
          <w:szCs w:val="20"/>
        </w:rPr>
      </w:pPr>
      <w:r w:rsidRPr="00E635A2">
        <w:rPr>
          <w:rFonts w:cs="David" w:hint="cs"/>
          <w:sz w:val="20"/>
          <w:szCs w:val="20"/>
          <w:rtl/>
        </w:rPr>
        <w:t xml:space="preserve">מספר פנימי: </w:t>
      </w:r>
      <w:bookmarkStart w:id="0" w:name="LGS_Internal_ID"/>
      <w:r>
        <w:rPr>
          <w:rFonts w:cs="David" w:hint="cs"/>
          <w:sz w:val="20"/>
          <w:szCs w:val="20"/>
          <w:rtl/>
        </w:rPr>
        <w:t>2244737</w:t>
      </w:r>
      <w:bookmarkEnd w:id="0"/>
    </w:p>
    <w:p w14:paraId="7F6961A2" w14:textId="53D639AE" w:rsidR="00E13C27" w:rsidRPr="00DB7060" w:rsidRDefault="00E13C27" w:rsidP="00A443CF">
      <w:pPr>
        <w:pStyle w:val="HeadHatzaotHok"/>
        <w:rPr>
          <w:sz w:val="28"/>
          <w:szCs w:val="28"/>
          <w:rtl/>
        </w:rPr>
      </w:pPr>
      <w:r w:rsidRPr="00DB7060">
        <w:rPr>
          <w:rFonts w:hint="cs"/>
          <w:sz w:val="28"/>
          <w:szCs w:val="28"/>
          <w:rtl/>
        </w:rPr>
        <w:t xml:space="preserve">הכנסת </w:t>
      </w:r>
      <w:bookmarkStart w:id="1" w:name="LGS_Knesset_Num"/>
      <w:r>
        <w:rPr>
          <w:rFonts w:hint="cs"/>
          <w:sz w:val="28"/>
          <w:szCs w:val="28"/>
          <w:rtl/>
        </w:rPr>
        <w:t>העשרים וחמש</w:t>
      </w:r>
      <w:bookmarkEnd w:id="1"/>
    </w:p>
    <w:p w14:paraId="7F6961A3" w14:textId="77777777" w:rsidR="00E13C27" w:rsidRPr="00F67051" w:rsidRDefault="00E13C27" w:rsidP="00E13C27">
      <w:pPr>
        <w:rPr>
          <w:rFonts w:cs="David"/>
          <w:b/>
          <w:bCs/>
          <w:sz w:val="26"/>
          <w:szCs w:val="26"/>
          <w:rtl/>
        </w:rPr>
      </w:pPr>
    </w:p>
    <w:p w14:paraId="7F6961AA" w14:textId="026FDE8E" w:rsidR="00E13C27" w:rsidRPr="00CF1AA2" w:rsidRDefault="008F6665" w:rsidP="00024B95">
      <w:pPr>
        <w:pStyle w:val="David"/>
        <w:spacing w:line="360" w:lineRule="auto"/>
        <w:ind w:left="3544"/>
        <w:rPr>
          <w:b/>
          <w:bCs/>
          <w:sz w:val="16"/>
          <w:szCs w:val="16"/>
          <w:rtl/>
        </w:rPr>
      </w:pPr>
      <w:bookmarkStart w:id="2" w:name="LGS_Initiators_List"/>
      <w:r>
        <w:rPr>
          <w:b/>
          <w:bCs/>
          <w:rtl/>
        </w:rPr>
        <w:t>יוזם:</w:t>
      </w:r>
      <w:r>
        <w:tab/>
      </w:r>
      <w:r>
        <w:rPr>
          <w:b/>
          <w:bCs/>
          <w:rtl/>
        </w:rPr>
        <w:t xml:space="preserve">      חבר הכנסת</w:t>
      </w:r>
      <w:bookmarkEnd w:id="2"/>
      <w:r w:rsidR="00B35784" w:rsidRPr="00F67051">
        <w:rPr>
          <w:b/>
          <w:bCs/>
        </w:rPr>
        <w:tab/>
      </w:r>
      <w:bookmarkStart w:id="3" w:name="LGS_PM_Names"/>
      <w:r>
        <w:rPr>
          <w:rFonts w:hint="cs"/>
          <w:b/>
          <w:bCs/>
          <w:rtl/>
        </w:rPr>
        <w:t>אביחי אברהם בוארון</w:t>
      </w:r>
      <w:bookmarkStart w:id="4" w:name="LGS_Join_List"/>
      <w:bookmarkEnd w:id="3"/>
      <w:r w:rsidR="007D585A">
        <w:rPr>
          <w:rtl/>
        </w:rPr>
        <w:t xml:space="preserve"> </w:t>
      </w:r>
      <w:bookmarkEnd w:id="4"/>
      <w:r w:rsidR="002200A1" w:rsidRPr="00CF1AA2">
        <w:rPr>
          <w:rFonts w:hint="cs"/>
          <w:rtl/>
        </w:rPr>
        <w:tab/>
      </w:r>
      <w:bookmarkStart w:id="5" w:name="LGS_PM_NamesJoin"/>
      <w:r w:rsidR="007D585A">
        <w:rPr>
          <w:rFonts w:hint="cs"/>
          <w:rtl/>
        </w:rPr>
        <w:t xml:space="preserve"> </w:t>
      </w:r>
      <w:bookmarkEnd w:id="5"/>
    </w:p>
    <w:p w14:paraId="34DB4103" w14:textId="77777777" w:rsidR="00904591" w:rsidRPr="00904591" w:rsidRDefault="00266D86" w:rsidP="0036422C">
      <w:pPr>
        <w:pStyle w:val="David"/>
        <w:spacing w:before="0" w:line="360" w:lineRule="auto"/>
        <w:ind w:left="3544"/>
        <w:rPr>
          <w:sz w:val="4"/>
          <w:szCs w:val="4"/>
          <w:rtl/>
        </w:rPr>
      </w:pPr>
      <w:r>
        <w:t>____</w:t>
      </w:r>
      <w:r w:rsidR="00E374F2">
        <w:t>__</w:t>
      </w:r>
      <w:r>
        <w:t>________________________________________</w:t>
      </w:r>
      <w:r w:rsidR="00E06736" w:rsidRPr="00E06736">
        <w:tab/>
      </w:r>
      <w:r w:rsidR="00E13C27" w:rsidRPr="00E06736">
        <w:rPr>
          <w:rFonts w:hint="cs"/>
          <w:rtl/>
        </w:rPr>
        <w:tab/>
      </w:r>
      <w:r w:rsidR="00E13C27" w:rsidRPr="00E06736">
        <w:rPr>
          <w:rFonts w:hint="cs"/>
          <w:rtl/>
        </w:rPr>
        <w:tab/>
      </w:r>
      <w:r w:rsidR="00E13C27" w:rsidRPr="00E06736">
        <w:rPr>
          <w:rFonts w:hint="cs"/>
          <w:rtl/>
        </w:rPr>
        <w:tab/>
      </w:r>
      <w:r w:rsidR="00904591">
        <w:t xml:space="preserve">           </w:t>
      </w:r>
    </w:p>
    <w:p w14:paraId="7F6961AB" w14:textId="67F37FFF" w:rsidR="00E13C27" w:rsidRPr="00E06736" w:rsidRDefault="00904591" w:rsidP="00024B95">
      <w:pPr>
        <w:pStyle w:val="David"/>
        <w:spacing w:before="0" w:line="240" w:lineRule="auto"/>
        <w:ind w:left="6424" w:firstLine="56"/>
        <w:rPr>
          <w:rtl/>
        </w:rPr>
      </w:pPr>
      <w:bookmarkStart w:id="6" w:name="Private_Number"/>
      <w:r>
        <w:rPr>
          <w:rFonts w:hint="cs"/>
          <w:rtl/>
        </w:rPr>
        <w:t>פ/6802/25</w:t>
      </w:r>
      <w:bookmarkEnd w:id="6"/>
    </w:p>
    <w:p w14:paraId="7F6961AC" w14:textId="77777777" w:rsidR="00E13C27" w:rsidRDefault="00E13C27" w:rsidP="00E13C27">
      <w:pPr>
        <w:spacing w:before="0" w:line="360" w:lineRule="auto"/>
        <w:ind w:left="2880" w:firstLine="720"/>
        <w:rPr>
          <w:rFonts w:cs="David"/>
          <w:sz w:val="26"/>
          <w:szCs w:val="26"/>
          <w:rtl/>
        </w:rPr>
      </w:pPr>
    </w:p>
    <w:p w14:paraId="7F6961AD" w14:textId="4A94EB18" w:rsidR="00E13C27" w:rsidRPr="00F67051" w:rsidRDefault="00A443CF" w:rsidP="000D6831">
      <w:pPr>
        <w:pStyle w:val="HeadHatzaotHok"/>
        <w:rPr>
          <w:rtl/>
        </w:rPr>
      </w:pPr>
      <w:bookmarkStart w:id="7" w:name="LGS_Subject"/>
      <w:r>
        <w:rPr>
          <w:rFonts w:hint="cs"/>
          <w:rtl/>
        </w:rPr>
        <w:t xml:space="preserve">הצעת חוק בית הדין לעבודה (תיקון </w:t>
      </w:r>
      <w:r w:rsidR="000D6831">
        <w:rPr>
          <w:rFonts w:hint="cs"/>
          <w:rtl/>
        </w:rPr>
        <w:t>–</w:t>
      </w:r>
      <w:r>
        <w:rPr>
          <w:rFonts w:hint="cs"/>
          <w:rtl/>
        </w:rPr>
        <w:t xml:space="preserve"> סמכותו של בית הדין האזורי לעבודה לדון בתובענות בין ארגוני עובדים או בתובענות בין ארגוני מעסיקים), התשפ"ו–2026</w:t>
      </w:r>
      <w:bookmarkEnd w:id="7"/>
    </w:p>
    <w:p w14:paraId="7F6961AE" w14:textId="77777777" w:rsidR="00E13C27" w:rsidRDefault="00E13C27" w:rsidP="0021633A">
      <w:pPr>
        <w:pStyle w:val="HeadDivreiHesber"/>
        <w:spacing w:before="0" w:after="0"/>
        <w:rPr>
          <w:rtl/>
        </w:rPr>
      </w:pPr>
    </w:p>
    <w:tbl>
      <w:tblPr>
        <w:bidiVisual/>
        <w:tblW w:w="9641" w:type="dxa"/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624"/>
        <w:gridCol w:w="7146"/>
      </w:tblGrid>
      <w:tr w:rsidR="005B4DF9" w:rsidRPr="00716BD7" w14:paraId="7329B146" w14:textId="77777777" w:rsidTr="002A2C41">
        <w:trPr>
          <w:cantSplit/>
          <w:trHeight w:val="60"/>
        </w:trPr>
        <w:tc>
          <w:tcPr>
            <w:tcW w:w="1871" w:type="dxa"/>
            <w:hideMark/>
          </w:tcPr>
          <w:p w14:paraId="35D45CD0" w14:textId="39F2F0D1" w:rsidR="005B4DF9" w:rsidRPr="00716BD7" w:rsidRDefault="003C018D" w:rsidP="00027EA9">
            <w:pPr>
              <w:tabs>
                <w:tab w:val="left" w:pos="624"/>
                <w:tab w:val="left" w:pos="1247"/>
              </w:tabs>
              <w:snapToGrid w:val="0"/>
              <w:spacing w:before="0" w:line="360" w:lineRule="auto"/>
              <w:ind w:right="57" w:firstLine="0"/>
              <w:jc w:val="left"/>
              <w:textAlignment w:val="auto"/>
              <w:rPr>
                <w:rFonts w:ascii="Arial" w:eastAsia="Arial Unicode MS" w:hAnsi="Arial" w:cs="David"/>
                <w:spacing w:val="0"/>
                <w:sz w:val="20"/>
                <w:szCs w:val="26"/>
                <w:rtl/>
              </w:rPr>
            </w:pP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תיקון סעיף 24</w:t>
            </w:r>
          </w:p>
        </w:tc>
        <w:tc>
          <w:tcPr>
            <w:tcW w:w="624" w:type="dxa"/>
            <w:hideMark/>
          </w:tcPr>
          <w:p w14:paraId="2EF95ED2" w14:textId="380D668E" w:rsidR="005B4DF9" w:rsidRPr="00716BD7" w:rsidRDefault="003C018D" w:rsidP="002A2C41">
            <w:pPr>
              <w:tabs>
                <w:tab w:val="left" w:pos="624"/>
                <w:tab w:val="left" w:pos="1247"/>
              </w:tabs>
              <w:snapToGrid w:val="0"/>
              <w:spacing w:before="0" w:line="360" w:lineRule="auto"/>
              <w:ind w:right="57" w:firstLine="0"/>
              <w:jc w:val="left"/>
              <w:textAlignment w:val="auto"/>
              <w:rPr>
                <w:rFonts w:ascii="Arial" w:eastAsia="Arial Unicode MS" w:hAnsi="Arial" w:cs="David"/>
                <w:spacing w:val="0"/>
                <w:sz w:val="20"/>
                <w:szCs w:val="26"/>
              </w:rPr>
            </w:pP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1.</w:t>
            </w:r>
          </w:p>
        </w:tc>
        <w:tc>
          <w:tcPr>
            <w:tcW w:w="7146" w:type="dxa"/>
          </w:tcPr>
          <w:p w14:paraId="3B9C3854" w14:textId="3B4DE37D" w:rsidR="005B4DF9" w:rsidRPr="005B4DF9" w:rsidRDefault="00335990" w:rsidP="00027EA9">
            <w:pPr>
              <w:tabs>
                <w:tab w:val="left" w:pos="624"/>
                <w:tab w:val="left" w:pos="1247"/>
              </w:tabs>
              <w:snapToGrid w:val="0"/>
              <w:spacing w:before="0" w:line="360" w:lineRule="auto"/>
              <w:ind w:firstLine="0"/>
              <w:textAlignment w:val="auto"/>
              <w:rPr>
                <w:rFonts w:ascii="Arial" w:eastAsia="Arial Unicode MS" w:hAnsi="Arial" w:cs="David"/>
                <w:spacing w:val="0"/>
                <w:sz w:val="20"/>
                <w:szCs w:val="26"/>
                <w:rtl/>
              </w:rPr>
            </w:pP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בחוק בית הדין לעבודה, התשכ"ט</w:t>
            </w:r>
            <w:r>
              <w:rPr>
                <w:rFonts w:ascii="Arial" w:eastAsia="Arial Unicode MS" w:hAnsi="Arial" w:cs="David" w:hint="eastAsia"/>
                <w:spacing w:val="0"/>
                <w:sz w:val="20"/>
                <w:szCs w:val="26"/>
                <w:rtl/>
              </w:rPr>
              <w:t>–</w:t>
            </w: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1969</w:t>
            </w:r>
            <w:r>
              <w:rPr>
                <w:rStyle w:val="a5"/>
                <w:rFonts w:ascii="Arial" w:eastAsia="Arial Unicode MS" w:hAnsi="Arial" w:cs="David"/>
                <w:spacing w:val="0"/>
                <w:sz w:val="20"/>
                <w:szCs w:val="26"/>
                <w:rtl/>
              </w:rPr>
              <w:footnoteReference w:id="2"/>
            </w: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 xml:space="preserve"> (להלן</w:t>
            </w:r>
            <w:r>
              <w:rPr>
                <w:rFonts w:ascii="Arial" w:eastAsia="Arial Unicode MS" w:hAnsi="Arial" w:cs="David" w:hint="eastAsia"/>
                <w:spacing w:val="0"/>
                <w:sz w:val="20"/>
                <w:szCs w:val="26"/>
                <w:rtl/>
              </w:rPr>
              <w:t>–</w:t>
            </w: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 xml:space="preserve"> החוק עיקרי)</w:t>
            </w:r>
            <w:r w:rsidR="003C018D"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,</w:t>
            </w:r>
            <w:r w:rsidR="00027EA9"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 xml:space="preserve"> </w:t>
            </w:r>
            <w:r w:rsidR="003C018D"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בסעיף 24</w:t>
            </w:r>
            <w:r w:rsidR="00230711"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,</w:t>
            </w:r>
            <w:r w:rsidR="003C018D"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 xml:space="preserve"> אחרי פסקה (5)</w:t>
            </w:r>
            <w:r w:rsidR="003C018D" w:rsidRPr="003A4CE0"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 xml:space="preserve"> יבוא: </w:t>
            </w:r>
          </w:p>
        </w:tc>
      </w:tr>
      <w:tr w:rsidR="000D6831" w:rsidRPr="00716BD7" w14:paraId="26803C99" w14:textId="77777777" w:rsidTr="00F05BE5">
        <w:trPr>
          <w:cantSplit/>
          <w:trHeight w:val="60"/>
        </w:trPr>
        <w:tc>
          <w:tcPr>
            <w:tcW w:w="1871" w:type="dxa"/>
          </w:tcPr>
          <w:p w14:paraId="33A22B5E" w14:textId="77777777" w:rsidR="000D6831" w:rsidRPr="00716BD7" w:rsidRDefault="000D6831" w:rsidP="002A2C41">
            <w:pPr>
              <w:tabs>
                <w:tab w:val="left" w:pos="624"/>
                <w:tab w:val="left" w:pos="1247"/>
              </w:tabs>
              <w:snapToGrid w:val="0"/>
              <w:spacing w:before="0" w:line="360" w:lineRule="auto"/>
              <w:ind w:right="57" w:firstLine="0"/>
              <w:jc w:val="left"/>
              <w:textAlignment w:val="auto"/>
              <w:rPr>
                <w:rFonts w:ascii="Arial" w:eastAsia="Arial Unicode MS" w:hAnsi="Arial" w:cs="David"/>
                <w:spacing w:val="0"/>
                <w:sz w:val="20"/>
                <w:szCs w:val="26"/>
              </w:rPr>
            </w:pPr>
          </w:p>
        </w:tc>
        <w:tc>
          <w:tcPr>
            <w:tcW w:w="624" w:type="dxa"/>
          </w:tcPr>
          <w:p w14:paraId="6F669461" w14:textId="77777777" w:rsidR="000D6831" w:rsidRPr="00716BD7" w:rsidRDefault="000D6831" w:rsidP="002A2C41">
            <w:pPr>
              <w:tabs>
                <w:tab w:val="left" w:pos="624"/>
                <w:tab w:val="left" w:pos="1247"/>
              </w:tabs>
              <w:snapToGrid w:val="0"/>
              <w:spacing w:before="0" w:line="360" w:lineRule="auto"/>
              <w:ind w:right="57" w:firstLine="0"/>
              <w:jc w:val="left"/>
              <w:textAlignment w:val="auto"/>
              <w:rPr>
                <w:rFonts w:ascii="Arial" w:eastAsia="Arial Unicode MS" w:hAnsi="Arial" w:cs="David"/>
                <w:spacing w:val="0"/>
                <w:sz w:val="20"/>
                <w:szCs w:val="26"/>
              </w:rPr>
            </w:pPr>
          </w:p>
        </w:tc>
        <w:tc>
          <w:tcPr>
            <w:tcW w:w="7146" w:type="dxa"/>
          </w:tcPr>
          <w:p w14:paraId="46E6FCE2" w14:textId="132918AC" w:rsidR="000D6831" w:rsidRPr="003A4CE0" w:rsidRDefault="000D6831" w:rsidP="00230711">
            <w:pPr>
              <w:tabs>
                <w:tab w:val="left" w:pos="624"/>
                <w:tab w:val="left" w:pos="1247"/>
              </w:tabs>
              <w:snapToGrid w:val="0"/>
              <w:spacing w:before="0" w:line="360" w:lineRule="auto"/>
              <w:ind w:firstLine="0"/>
              <w:textAlignment w:val="auto"/>
              <w:rPr>
                <w:rFonts w:ascii="Arial" w:eastAsia="Arial Unicode MS" w:hAnsi="Arial" w:cs="David"/>
                <w:spacing w:val="0"/>
                <w:sz w:val="20"/>
                <w:szCs w:val="26"/>
                <w:rtl/>
              </w:rPr>
            </w:pP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"(6)</w:t>
            </w:r>
            <w:r w:rsidR="00230711">
              <w:rPr>
                <w:rFonts w:ascii="Arial" w:eastAsia="Arial Unicode MS" w:hAnsi="Arial" w:cs="David"/>
                <w:spacing w:val="0"/>
                <w:sz w:val="20"/>
                <w:szCs w:val="26"/>
                <w:rtl/>
              </w:rPr>
              <w:tab/>
            </w:r>
            <w:r w:rsidRPr="005B4DF9">
              <w:rPr>
                <w:rFonts w:ascii="Arial" w:eastAsia="Arial Unicode MS" w:hAnsi="Arial" w:cs="David"/>
                <w:spacing w:val="0"/>
                <w:sz w:val="20"/>
                <w:szCs w:val="26"/>
                <w:rtl/>
              </w:rPr>
              <w:t>בתובענות בין ארגון עובדים לארגון עובדים אחר ותובענות בין ארגון מעבידים לארגון מעבידים אחר</w:t>
            </w: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 xml:space="preserve">, </w:t>
            </w:r>
            <w:r w:rsidRPr="005B4DF9">
              <w:rPr>
                <w:rFonts w:ascii="Arial" w:eastAsia="Arial Unicode MS" w:hAnsi="Arial" w:cs="David"/>
                <w:spacing w:val="0"/>
                <w:sz w:val="20"/>
                <w:szCs w:val="26"/>
                <w:rtl/>
              </w:rPr>
              <w:t>הכ</w:t>
            </w: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ו</w:t>
            </w:r>
            <w:r w:rsidRPr="005B4DF9">
              <w:rPr>
                <w:rFonts w:ascii="Arial" w:eastAsia="Arial Unicode MS" w:hAnsi="Arial" w:cs="David"/>
                <w:spacing w:val="0"/>
                <w:sz w:val="20"/>
                <w:szCs w:val="26"/>
                <w:rtl/>
              </w:rPr>
              <w:t>ל אם התובענות נובעות מעני</w:t>
            </w: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י</w:t>
            </w:r>
            <w:r w:rsidRPr="005B4DF9">
              <w:rPr>
                <w:rFonts w:ascii="Arial" w:eastAsia="Arial Unicode MS" w:hAnsi="Arial" w:cs="David"/>
                <w:spacing w:val="0"/>
                <w:sz w:val="20"/>
                <w:szCs w:val="26"/>
                <w:rtl/>
              </w:rPr>
              <w:t>נים שביחסי עבודה.</w:t>
            </w: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"</w:t>
            </w:r>
          </w:p>
        </w:tc>
      </w:tr>
      <w:tr w:rsidR="00027EA9" w:rsidRPr="00716BD7" w14:paraId="2AD7DF75" w14:textId="77777777" w:rsidTr="004E1E23">
        <w:trPr>
          <w:cantSplit/>
          <w:trHeight w:val="60"/>
        </w:trPr>
        <w:tc>
          <w:tcPr>
            <w:tcW w:w="1871" w:type="dxa"/>
          </w:tcPr>
          <w:p w14:paraId="0E5B4672" w14:textId="2E8918D6" w:rsidR="00027EA9" w:rsidRPr="00716BD7" w:rsidRDefault="00027EA9" w:rsidP="002A2C41">
            <w:pPr>
              <w:tabs>
                <w:tab w:val="left" w:pos="624"/>
                <w:tab w:val="left" w:pos="1247"/>
              </w:tabs>
              <w:snapToGrid w:val="0"/>
              <w:spacing w:before="0" w:line="360" w:lineRule="auto"/>
              <w:ind w:right="57" w:firstLine="0"/>
              <w:jc w:val="left"/>
              <w:textAlignment w:val="auto"/>
              <w:rPr>
                <w:rFonts w:ascii="Arial" w:eastAsia="Arial Unicode MS" w:hAnsi="Arial" w:cs="David"/>
                <w:spacing w:val="0"/>
                <w:sz w:val="20"/>
                <w:szCs w:val="26"/>
              </w:rPr>
            </w:pP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תיקון סעיף 25</w:t>
            </w:r>
          </w:p>
        </w:tc>
        <w:tc>
          <w:tcPr>
            <w:tcW w:w="624" w:type="dxa"/>
          </w:tcPr>
          <w:p w14:paraId="5EAA317E" w14:textId="0668B718" w:rsidR="00027EA9" w:rsidRPr="00716BD7" w:rsidRDefault="003C018D" w:rsidP="00903646">
            <w:pPr>
              <w:pStyle w:val="TableText"/>
            </w:pPr>
            <w:r>
              <w:rPr>
                <w:rFonts w:hint="cs"/>
                <w:rtl/>
              </w:rPr>
              <w:t>2.</w:t>
            </w:r>
          </w:p>
        </w:tc>
        <w:tc>
          <w:tcPr>
            <w:tcW w:w="7146" w:type="dxa"/>
          </w:tcPr>
          <w:p w14:paraId="384E31C3" w14:textId="39BF068E" w:rsidR="00027EA9" w:rsidRPr="005B4DF9" w:rsidRDefault="00027EA9" w:rsidP="00903646">
            <w:pPr>
              <w:tabs>
                <w:tab w:val="left" w:pos="624"/>
                <w:tab w:val="left" w:pos="1247"/>
              </w:tabs>
              <w:snapToGrid w:val="0"/>
              <w:spacing w:before="0" w:line="360" w:lineRule="auto"/>
              <w:ind w:firstLine="0"/>
              <w:textAlignment w:val="auto"/>
              <w:rPr>
                <w:rFonts w:ascii="Arial" w:eastAsia="Arial Unicode MS" w:hAnsi="Arial" w:cs="David"/>
                <w:spacing w:val="0"/>
                <w:sz w:val="20"/>
                <w:szCs w:val="26"/>
                <w:rtl/>
              </w:rPr>
            </w:pP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 xml:space="preserve">בסעיף </w:t>
            </w:r>
            <w:r w:rsidR="003C018D"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25 לחוק העיקרי</w:t>
            </w:r>
            <w:r w:rsidR="00CA312B"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>,</w:t>
            </w: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 xml:space="preserve"> פסקה (2) </w:t>
            </w:r>
            <w:r>
              <w:rPr>
                <w:rFonts w:ascii="Arial" w:eastAsia="Arial Unicode MS" w:hAnsi="Arial" w:cs="David" w:hint="eastAsia"/>
                <w:spacing w:val="0"/>
                <w:sz w:val="20"/>
                <w:szCs w:val="26"/>
                <w:rtl/>
              </w:rPr>
              <w:t>–</w:t>
            </w:r>
            <w:r>
              <w:rPr>
                <w:rFonts w:ascii="Arial" w:eastAsia="Arial Unicode MS" w:hAnsi="Arial" w:cs="David" w:hint="cs"/>
                <w:spacing w:val="0"/>
                <w:sz w:val="20"/>
                <w:szCs w:val="26"/>
                <w:rtl/>
              </w:rPr>
              <w:t xml:space="preserve"> תימחק.</w:t>
            </w:r>
          </w:p>
        </w:tc>
      </w:tr>
    </w:tbl>
    <w:p w14:paraId="7F6961CA" w14:textId="77777777" w:rsidR="002D1EE3" w:rsidRDefault="002D1EE3" w:rsidP="002D1EE3">
      <w:pPr>
        <w:pStyle w:val="HeadDivreiHesber"/>
        <w:rPr>
          <w:rtl/>
        </w:rPr>
      </w:pPr>
      <w:r w:rsidRPr="0027450A">
        <w:rPr>
          <w:rFonts w:hint="cs"/>
          <w:rtl/>
        </w:rPr>
        <w:t>דברי הסבר</w:t>
      </w:r>
    </w:p>
    <w:p w14:paraId="30D7E191" w14:textId="56CDC77D" w:rsidR="005B4DF9" w:rsidRPr="000D6831" w:rsidRDefault="005B4DF9" w:rsidP="00230711">
      <w:pPr>
        <w:pStyle w:val="Hesber"/>
        <w:spacing w:line="276" w:lineRule="auto"/>
        <w:rPr>
          <w:rtl/>
        </w:rPr>
      </w:pPr>
      <w:r w:rsidRPr="000D6831">
        <w:rPr>
          <w:rFonts w:hint="cs"/>
          <w:rtl/>
        </w:rPr>
        <w:t>כיום חוק בית הדין לעבודה, התשכ"ט</w:t>
      </w:r>
      <w:r w:rsidR="000D6831" w:rsidRPr="000D6831">
        <w:rPr>
          <w:rFonts w:hint="cs"/>
          <w:rtl/>
        </w:rPr>
        <w:t xml:space="preserve">–1969, </w:t>
      </w:r>
      <w:r w:rsidRPr="000D6831">
        <w:rPr>
          <w:rFonts w:hint="cs"/>
          <w:rtl/>
        </w:rPr>
        <w:t xml:space="preserve">מסדיר את סמכויותיו של בית הדין האזורי לעבודה </w:t>
      </w:r>
      <w:r w:rsidR="00230711">
        <w:rPr>
          <w:rFonts w:hint="cs"/>
          <w:rtl/>
        </w:rPr>
        <w:t>ו</w:t>
      </w:r>
      <w:r w:rsidRPr="000D6831">
        <w:rPr>
          <w:rFonts w:hint="cs"/>
          <w:rtl/>
        </w:rPr>
        <w:t xml:space="preserve">של בית הדין הארצי לעבודה. החוק קובע כי בתובענות שבין ארגוני עובדים או בתובענות שבין ארגוני </w:t>
      </w:r>
      <w:r w:rsidR="00CA312B" w:rsidRPr="000D6831">
        <w:rPr>
          <w:rFonts w:hint="cs"/>
          <w:rtl/>
        </w:rPr>
        <w:t>מעבידים</w:t>
      </w:r>
      <w:r w:rsidRPr="000D6831">
        <w:rPr>
          <w:rFonts w:hint="cs"/>
          <w:rtl/>
        </w:rPr>
        <w:t xml:space="preserve">, הסמכות לדון בהליכים אלו תהיה נתונה לבית הדין הארצי לעבודה. </w:t>
      </w:r>
    </w:p>
    <w:p w14:paraId="64F54AC5" w14:textId="3813195B" w:rsidR="005B4DF9" w:rsidRPr="000D6831" w:rsidRDefault="005B4DF9" w:rsidP="000D6831">
      <w:pPr>
        <w:pStyle w:val="Hesber"/>
        <w:spacing w:line="276" w:lineRule="auto"/>
        <w:rPr>
          <w:rtl/>
        </w:rPr>
      </w:pPr>
      <w:r w:rsidRPr="000D6831">
        <w:rPr>
          <w:rFonts w:hint="cs"/>
          <w:rtl/>
        </w:rPr>
        <w:t>בשנים האחרונות חלה מגמה בה עובדים רבים במשק מחליטים לנטוש את ארגון העובדים היציג במקום העבודה ולעבור לשורותיו של ארגון עובדים אחר</w:t>
      </w:r>
      <w:r w:rsidR="00A85C3A" w:rsidRPr="000D6831">
        <w:rPr>
          <w:rFonts w:hint="cs"/>
          <w:rtl/>
        </w:rPr>
        <w:t xml:space="preserve"> ו</w:t>
      </w:r>
      <w:r w:rsidRPr="000D6831">
        <w:rPr>
          <w:rFonts w:hint="cs"/>
          <w:rtl/>
        </w:rPr>
        <w:t xml:space="preserve">הסכסוכים הבין-ארגוניים הפכו להיות תדירים יותר. הליכים אלו מטבעם </w:t>
      </w:r>
      <w:r w:rsidR="00CA312B" w:rsidRPr="000D6831">
        <w:rPr>
          <w:rFonts w:hint="cs"/>
          <w:rtl/>
        </w:rPr>
        <w:t xml:space="preserve">הם </w:t>
      </w:r>
      <w:r w:rsidRPr="000D6831">
        <w:rPr>
          <w:rFonts w:hint="cs"/>
          <w:rtl/>
        </w:rPr>
        <w:t>הליכים הדורשים בירור מהיר בשל אופיים הסוער וכן בירור עובדת</w:t>
      </w:r>
      <w:r w:rsidR="00A85C3A" w:rsidRPr="000D6831">
        <w:rPr>
          <w:rFonts w:hint="cs"/>
          <w:rtl/>
        </w:rPr>
        <w:t>י</w:t>
      </w:r>
      <w:r w:rsidRPr="000D6831">
        <w:rPr>
          <w:rFonts w:hint="cs"/>
          <w:rtl/>
        </w:rPr>
        <w:t xml:space="preserve"> מקיף</w:t>
      </w:r>
      <w:r w:rsidR="00A85C3A" w:rsidRPr="000D6831">
        <w:rPr>
          <w:rFonts w:hint="cs"/>
          <w:rtl/>
        </w:rPr>
        <w:t xml:space="preserve">. </w:t>
      </w:r>
      <w:r w:rsidR="00CA312B" w:rsidRPr="000D6831">
        <w:rPr>
          <w:rFonts w:hint="cs"/>
          <w:rtl/>
        </w:rPr>
        <w:t>הסמכות הנתונה כיום ל</w:t>
      </w:r>
      <w:r w:rsidRPr="000D6831">
        <w:rPr>
          <w:rFonts w:hint="cs"/>
          <w:rtl/>
        </w:rPr>
        <w:t xml:space="preserve">בית הדין הארצי לעבודה </w:t>
      </w:r>
      <w:r w:rsidR="00CA312B" w:rsidRPr="000D6831">
        <w:rPr>
          <w:rFonts w:hint="cs"/>
          <w:rtl/>
        </w:rPr>
        <w:t>ל</w:t>
      </w:r>
      <w:r w:rsidRPr="000D6831">
        <w:rPr>
          <w:rFonts w:hint="cs"/>
          <w:rtl/>
        </w:rPr>
        <w:t>ד</w:t>
      </w:r>
      <w:r w:rsidR="00CA312B" w:rsidRPr="000D6831">
        <w:rPr>
          <w:rFonts w:hint="cs"/>
          <w:rtl/>
        </w:rPr>
        <w:t>ו</w:t>
      </w:r>
      <w:r w:rsidRPr="000D6831">
        <w:rPr>
          <w:rFonts w:hint="cs"/>
          <w:rtl/>
        </w:rPr>
        <w:t>ן כערכאה ראשונה (</w:t>
      </w:r>
      <w:r w:rsidRPr="000D6831">
        <w:rPr>
          <w:rFonts w:hint="eastAsia"/>
          <w:rtl/>
        </w:rPr>
        <w:t>ולמעשה</w:t>
      </w:r>
      <w:r w:rsidRPr="000D6831">
        <w:rPr>
          <w:rtl/>
        </w:rPr>
        <w:t xml:space="preserve"> אחרונה) </w:t>
      </w:r>
      <w:r w:rsidRPr="000D6831">
        <w:rPr>
          <w:rFonts w:hint="cs"/>
          <w:rtl/>
        </w:rPr>
        <w:t>בהליכים אלו גורמת עוול לציבור העובדים</w:t>
      </w:r>
      <w:r w:rsidR="00A85C3A" w:rsidRPr="000D6831">
        <w:rPr>
          <w:rFonts w:hint="cs"/>
          <w:rtl/>
        </w:rPr>
        <w:t>,</w:t>
      </w:r>
      <w:r w:rsidRPr="000D6831">
        <w:rPr>
          <w:rFonts w:hint="cs"/>
          <w:rtl/>
        </w:rPr>
        <w:t xml:space="preserve"> הן </w:t>
      </w:r>
      <w:r w:rsidR="00CA312B" w:rsidRPr="000D6831">
        <w:rPr>
          <w:rFonts w:hint="cs"/>
          <w:rtl/>
        </w:rPr>
        <w:t>משום</w:t>
      </w:r>
      <w:r w:rsidRPr="000D6831">
        <w:rPr>
          <w:rFonts w:hint="cs"/>
          <w:rtl/>
        </w:rPr>
        <w:t xml:space="preserve"> </w:t>
      </w:r>
      <w:r w:rsidR="00CA312B" w:rsidRPr="000D6831">
        <w:rPr>
          <w:rFonts w:hint="cs"/>
          <w:rtl/>
        </w:rPr>
        <w:t>ש</w:t>
      </w:r>
      <w:r w:rsidRPr="000D6831">
        <w:rPr>
          <w:rFonts w:hint="cs"/>
          <w:rtl/>
        </w:rPr>
        <w:t xml:space="preserve">הליכים בבית הדין הארצי לעבודה </w:t>
      </w:r>
      <w:r w:rsidR="00CA312B" w:rsidRPr="000D6831">
        <w:rPr>
          <w:rFonts w:hint="cs"/>
          <w:rtl/>
        </w:rPr>
        <w:t xml:space="preserve">ואפילו ההמתנה עד לקביעת הדיון הראשוני, </w:t>
      </w:r>
      <w:r w:rsidRPr="000D6831">
        <w:rPr>
          <w:rFonts w:hint="cs"/>
          <w:rtl/>
        </w:rPr>
        <w:t xml:space="preserve">לוקחים זמן רב, והן </w:t>
      </w:r>
      <w:r w:rsidR="00CA312B" w:rsidRPr="000D6831">
        <w:rPr>
          <w:rFonts w:hint="cs"/>
          <w:rtl/>
        </w:rPr>
        <w:t>משום שמ</w:t>
      </w:r>
      <w:r w:rsidRPr="000D6831">
        <w:rPr>
          <w:rFonts w:hint="cs"/>
          <w:rtl/>
        </w:rPr>
        <w:t xml:space="preserve">דובר בערכאה יחידה הדנה בהליך </w:t>
      </w:r>
      <w:r w:rsidR="00CA312B" w:rsidRPr="000D6831">
        <w:rPr>
          <w:rFonts w:hint="cs"/>
          <w:rtl/>
        </w:rPr>
        <w:t xml:space="preserve">זה. </w:t>
      </w:r>
    </w:p>
    <w:p w14:paraId="7F6961CB" w14:textId="02A35274" w:rsidR="00E13C27" w:rsidRPr="000D6831" w:rsidRDefault="00CA312B" w:rsidP="0017075D">
      <w:pPr>
        <w:pStyle w:val="Hesber"/>
        <w:spacing w:line="276" w:lineRule="auto"/>
        <w:rPr>
          <w:rtl/>
        </w:rPr>
      </w:pPr>
      <w:r w:rsidRPr="000D6831">
        <w:rPr>
          <w:rFonts w:hint="cs"/>
          <w:rtl/>
        </w:rPr>
        <w:t>בעוד</w:t>
      </w:r>
      <w:r w:rsidR="00230711">
        <w:rPr>
          <w:rFonts w:hint="cs"/>
          <w:rtl/>
        </w:rPr>
        <w:t xml:space="preserve"> שקיים רק בית דין ארצי אחד, יש</w:t>
      </w:r>
      <w:r w:rsidR="005B4DF9" w:rsidRPr="000D6831">
        <w:rPr>
          <w:rFonts w:hint="cs"/>
          <w:rtl/>
        </w:rPr>
        <w:t xml:space="preserve"> </w:t>
      </w:r>
      <w:r w:rsidRPr="000D6831">
        <w:rPr>
          <w:rFonts w:hint="cs"/>
          <w:rtl/>
        </w:rPr>
        <w:t xml:space="preserve">חמישה </w:t>
      </w:r>
      <w:r w:rsidR="005B4DF9" w:rsidRPr="000D6831">
        <w:rPr>
          <w:rFonts w:hint="cs"/>
          <w:rtl/>
        </w:rPr>
        <w:t xml:space="preserve">בתי דין אזוריים לעבודה (באר שבע, תל אביב, ירושלים, חיפה ונצרת) </w:t>
      </w:r>
      <w:r w:rsidRPr="000D6831">
        <w:rPr>
          <w:rFonts w:hint="cs"/>
          <w:rtl/>
        </w:rPr>
        <w:t xml:space="preserve">ויש להם את </w:t>
      </w:r>
      <w:r w:rsidR="005B4DF9" w:rsidRPr="000D6831">
        <w:rPr>
          <w:rFonts w:hint="cs"/>
          <w:rtl/>
        </w:rPr>
        <w:t>המומחיות הנדרשת לדון בסכסוכים בין</w:t>
      </w:r>
      <w:r w:rsidR="00230711">
        <w:rPr>
          <w:rFonts w:hint="cs"/>
          <w:rtl/>
        </w:rPr>
        <w:t xml:space="preserve"> </w:t>
      </w:r>
      <w:r w:rsidR="005B4DF9" w:rsidRPr="000D6831">
        <w:rPr>
          <w:rFonts w:hint="cs"/>
          <w:rtl/>
        </w:rPr>
        <w:t xml:space="preserve">ארגוני עובדים וארגוני </w:t>
      </w:r>
      <w:r w:rsidRPr="000D6831">
        <w:rPr>
          <w:rFonts w:hint="cs"/>
          <w:rtl/>
        </w:rPr>
        <w:t xml:space="preserve">מעבידים </w:t>
      </w:r>
      <w:r w:rsidR="005B4DF9" w:rsidRPr="000D6831">
        <w:rPr>
          <w:rFonts w:hint="cs"/>
          <w:rtl/>
        </w:rPr>
        <w:t>כערכאה ראשונה</w:t>
      </w:r>
      <w:r w:rsidRPr="000D6831">
        <w:rPr>
          <w:rFonts w:hint="cs"/>
          <w:rtl/>
        </w:rPr>
        <w:t xml:space="preserve"> </w:t>
      </w:r>
      <w:r w:rsidR="005B4DF9" w:rsidRPr="000D6831">
        <w:rPr>
          <w:rFonts w:hint="cs"/>
          <w:rtl/>
        </w:rPr>
        <w:t>בסדי זמנים מהירים יותר</w:t>
      </w:r>
      <w:r w:rsidRPr="000D6831">
        <w:rPr>
          <w:rFonts w:hint="cs"/>
          <w:rtl/>
        </w:rPr>
        <w:t xml:space="preserve"> ו</w:t>
      </w:r>
      <w:r w:rsidR="005B4DF9" w:rsidRPr="000D6831">
        <w:rPr>
          <w:rFonts w:hint="cs"/>
          <w:rtl/>
        </w:rPr>
        <w:t>לערוך בירור עובדתי מקיף</w:t>
      </w:r>
      <w:r w:rsidRPr="000D6831">
        <w:rPr>
          <w:rFonts w:hint="cs"/>
          <w:rtl/>
        </w:rPr>
        <w:t xml:space="preserve"> ובכך גם תפתח הדרך לערער לערכאה נוספת </w:t>
      </w:r>
      <w:r w:rsidR="005B4DF9" w:rsidRPr="000D6831">
        <w:rPr>
          <w:rFonts w:hint="cs"/>
          <w:rtl/>
        </w:rPr>
        <w:t>כ</w:t>
      </w:r>
      <w:r w:rsidRPr="000D6831">
        <w:rPr>
          <w:rFonts w:hint="cs"/>
          <w:rtl/>
        </w:rPr>
        <w:t>כ</w:t>
      </w:r>
      <w:r w:rsidR="005B4DF9" w:rsidRPr="000D6831">
        <w:rPr>
          <w:rFonts w:hint="cs"/>
          <w:rtl/>
        </w:rPr>
        <w:t>ל שיה</w:t>
      </w:r>
      <w:r w:rsidRPr="000D6831">
        <w:rPr>
          <w:rFonts w:hint="cs"/>
          <w:rtl/>
        </w:rPr>
        <w:t>יה</w:t>
      </w:r>
      <w:r w:rsidR="005B4DF9" w:rsidRPr="000D6831">
        <w:rPr>
          <w:rFonts w:hint="cs"/>
          <w:rtl/>
        </w:rPr>
        <w:t xml:space="preserve"> בכך צורך. </w:t>
      </w:r>
      <w:r w:rsidR="003F127C">
        <w:rPr>
          <w:rFonts w:hint="cs"/>
          <w:rtl/>
        </w:rPr>
        <w:t>משכך, מוצע לקבוע כי בית הדין האזורי יהיה מוסמך לדון בסכסוכים מעין אלו.</w:t>
      </w:r>
      <w:bookmarkStart w:id="8" w:name="_GoBack"/>
      <w:bookmarkEnd w:id="8"/>
    </w:p>
    <w:p w14:paraId="06F0C45F" w14:textId="77777777" w:rsidR="000B2510" w:rsidRDefault="000D6831" w:rsidP="000D6831">
      <w:pPr>
        <w:spacing w:before="0" w:line="276" w:lineRule="auto"/>
        <w:jc w:val="left"/>
      </w:pPr>
      <w:bookmarkStart w:id="9" w:name="selectedDocDateB"/>
      <w:bookmarkEnd w:id="9"/>
      <w:r>
        <w:rPr>
          <w:rFonts w:ascii="David" w:eastAsia="David" w:hAnsi="David" w:cs="David" w:hint="cs"/>
          <w:sz w:val="26"/>
          <w:szCs w:val="26"/>
          <w:rtl/>
        </w:rPr>
        <w:t>--------------------------------</w:t>
      </w:r>
    </w:p>
    <w:p w14:paraId="5DAA2602" w14:textId="77777777" w:rsidR="000B2510" w:rsidRDefault="000D6831" w:rsidP="000D6831">
      <w:pPr>
        <w:spacing w:before="0" w:line="276" w:lineRule="auto"/>
        <w:jc w:val="left"/>
      </w:pPr>
      <w:r>
        <w:rPr>
          <w:rFonts w:ascii="David" w:eastAsia="David" w:hAnsi="David" w:cs="David" w:hint="cs"/>
          <w:sz w:val="26"/>
          <w:szCs w:val="26"/>
          <w:rtl/>
        </w:rPr>
        <w:t>הוגשה ליו"ר הכנסת והסגנים</w:t>
      </w:r>
    </w:p>
    <w:p w14:paraId="63810F17" w14:textId="77777777" w:rsidR="000B2510" w:rsidRDefault="000D6831" w:rsidP="000D6831">
      <w:pPr>
        <w:spacing w:before="0" w:line="276" w:lineRule="auto"/>
        <w:jc w:val="left"/>
      </w:pPr>
      <w:r>
        <w:rPr>
          <w:rFonts w:ascii="David" w:eastAsia="David" w:hAnsi="David" w:cs="David" w:hint="cs"/>
          <w:sz w:val="26"/>
          <w:szCs w:val="26"/>
          <w:rtl/>
        </w:rPr>
        <w:t>והונחה על שולחן הכנסת ביום</w:t>
      </w:r>
    </w:p>
    <w:p w14:paraId="692CC290" w14:textId="77777777" w:rsidR="000B2510" w:rsidRDefault="000D6831" w:rsidP="000D6831">
      <w:pPr>
        <w:spacing w:before="0" w:line="276" w:lineRule="auto"/>
        <w:jc w:val="left"/>
      </w:pPr>
      <w:r>
        <w:rPr>
          <w:rFonts w:ascii="David" w:eastAsia="David" w:hAnsi="David" w:cs="David" w:hint="cs"/>
          <w:sz w:val="26"/>
          <w:szCs w:val="26"/>
          <w:rtl/>
        </w:rPr>
        <w:t xml:space="preserve">כ"א בתמוז התשפ"ו (06.07.2026) </w:t>
      </w:r>
    </w:p>
    <w:p w14:paraId="1684FD29" w14:textId="77777777" w:rsidR="000B2510" w:rsidRDefault="000B2510" w:rsidP="000D6831">
      <w:pPr>
        <w:spacing w:before="0" w:line="276" w:lineRule="auto"/>
        <w:jc w:val="left"/>
      </w:pPr>
    </w:p>
    <w:sectPr w:rsidR="000B2510" w:rsidSect="001207F8">
      <w:footerReference w:type="even" r:id="rId11"/>
      <w:footerReference w:type="default" r:id="rId12"/>
      <w:pgSz w:w="11907" w:h="16840" w:code="9"/>
      <w:pgMar w:top="1134" w:right="1134" w:bottom="1134" w:left="1134" w:header="680" w:footer="680" w:gutter="0"/>
      <w:cols w:space="720"/>
      <w:noEndnote/>
      <w:titlePg/>
      <w:bidi/>
      <w:rtlGutter/>
      <w:docGrid w:linePitch="2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6B4C1" w14:textId="77777777" w:rsidR="00D142D3" w:rsidRDefault="00D142D3">
      <w:r>
        <w:separator/>
      </w:r>
    </w:p>
  </w:endnote>
  <w:endnote w:type="continuationSeparator" w:id="0">
    <w:p w14:paraId="0E546755" w14:textId="77777777" w:rsidR="00D142D3" w:rsidRDefault="00D142D3">
      <w:r>
        <w:continuationSeparator/>
      </w:r>
    </w:p>
  </w:endnote>
  <w:endnote w:type="continuationNotice" w:id="1">
    <w:p w14:paraId="24369900" w14:textId="77777777" w:rsidR="00D142D3" w:rsidRDefault="00D142D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Hadasa Roso SL">
    <w:altName w:val="Times New Roman"/>
    <w:charset w:val="00"/>
    <w:family w:val="roman"/>
    <w:pitch w:val="variable"/>
    <w:sig w:usb0="80001827" w:usb1="5000004A" w:usb2="0000002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961D5" w14:textId="77777777" w:rsidR="002C3041" w:rsidRDefault="002C3041" w:rsidP="001207F8">
    <w:pPr>
      <w:pStyle w:val="a8"/>
      <w:framePr w:wrap="around" w:vAnchor="text" w:hAnchor="text" w:xAlign="center" w:y="1"/>
      <w:rPr>
        <w:rStyle w:val="aa"/>
      </w:rPr>
    </w:pPr>
    <w:r>
      <w:rPr>
        <w:rStyle w:val="aa"/>
        <w:rtl/>
      </w:rPr>
      <w:fldChar w:fldCharType="begin"/>
    </w:r>
    <w:r>
      <w:rPr>
        <w:rStyle w:val="aa"/>
      </w:rPr>
      <w:instrText xml:space="preserve">PAGE  </w:instrText>
    </w:r>
    <w:r>
      <w:rPr>
        <w:rStyle w:val="aa"/>
        <w:rtl/>
      </w:rPr>
      <w:fldChar w:fldCharType="end"/>
    </w:r>
  </w:p>
  <w:p w14:paraId="7F6961D6" w14:textId="77777777" w:rsidR="002C3041" w:rsidRDefault="002C304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961D7" w14:textId="27FF67CB" w:rsidR="002C3041" w:rsidRDefault="002C3041" w:rsidP="001207F8">
    <w:pPr>
      <w:pStyle w:val="a8"/>
      <w:framePr w:wrap="around" w:vAnchor="text" w:hAnchor="text" w:xAlign="center" w:y="1"/>
      <w:rPr>
        <w:rStyle w:val="aa"/>
      </w:rPr>
    </w:pPr>
    <w:r>
      <w:rPr>
        <w:rStyle w:val="aa"/>
        <w:rtl/>
      </w:rPr>
      <w:fldChar w:fldCharType="begin"/>
    </w:r>
    <w:r>
      <w:rPr>
        <w:rStyle w:val="aa"/>
      </w:rPr>
      <w:instrText xml:space="preserve">PAGE  </w:instrText>
    </w:r>
    <w:r>
      <w:rPr>
        <w:rStyle w:val="aa"/>
        <w:rtl/>
      </w:rPr>
      <w:fldChar w:fldCharType="separate"/>
    </w:r>
    <w:r w:rsidR="0017075D">
      <w:rPr>
        <w:rStyle w:val="aa"/>
        <w:noProof/>
        <w:rtl/>
      </w:rPr>
      <w:t>2</w:t>
    </w:r>
    <w:r>
      <w:rPr>
        <w:rStyle w:val="aa"/>
        <w:rtl/>
      </w:rPr>
      <w:fldChar w:fldCharType="end"/>
    </w:r>
  </w:p>
  <w:p w14:paraId="7F6961D8" w14:textId="77777777" w:rsidR="002C3041" w:rsidRDefault="002C304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8674C0" w14:textId="77777777" w:rsidR="00D142D3" w:rsidRDefault="00D142D3">
      <w:r>
        <w:separator/>
      </w:r>
    </w:p>
  </w:footnote>
  <w:footnote w:type="continuationSeparator" w:id="0">
    <w:p w14:paraId="401CF485" w14:textId="77777777" w:rsidR="00D142D3" w:rsidRDefault="00D142D3">
      <w:r>
        <w:continuationSeparator/>
      </w:r>
    </w:p>
  </w:footnote>
  <w:footnote w:type="continuationNotice" w:id="1">
    <w:p w14:paraId="173A6451" w14:textId="77777777" w:rsidR="00D142D3" w:rsidRDefault="00D142D3"/>
  </w:footnote>
  <w:footnote w:id="2">
    <w:p w14:paraId="06CEA0B7" w14:textId="2F146728" w:rsidR="00335990" w:rsidRDefault="00335990">
      <w:pPr>
        <w:pStyle w:val="a4"/>
      </w:pPr>
      <w:r>
        <w:rPr>
          <w:rStyle w:val="a5"/>
        </w:rPr>
        <w:footnoteRef/>
      </w:r>
      <w:r>
        <w:rPr>
          <w:rtl/>
        </w:rPr>
        <w:t xml:space="preserve"> </w:t>
      </w:r>
      <w:r w:rsidR="00A85C3A">
        <w:rPr>
          <w:rFonts w:hint="cs"/>
          <w:rtl/>
        </w:rPr>
        <w:t>ס"ח התשכ"ט, עמ' 70.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F6AAD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D5CAE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7E88A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5DA1E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A3056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222F1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406C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BFE925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424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4D08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CDD78F3"/>
    <w:multiLevelType w:val="hybridMultilevel"/>
    <w:tmpl w:val="9E4C4E42"/>
    <w:lvl w:ilvl="0" w:tplc="861C87C0">
      <w:start w:val="1"/>
      <w:numFmt w:val="decimal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B0598A"/>
    <w:multiLevelType w:val="hybridMultilevel"/>
    <w:tmpl w:val="746CCEE6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3C544D"/>
    <w:multiLevelType w:val="hybridMultilevel"/>
    <w:tmpl w:val="B170A16C"/>
    <w:lvl w:ilvl="0" w:tplc="746489A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858E4"/>
    <w:multiLevelType w:val="hybridMultilevel"/>
    <w:tmpl w:val="882C6ED4"/>
    <w:lvl w:ilvl="0" w:tplc="4112A21E">
      <w:start w:val="1"/>
      <w:numFmt w:val="hebrew1"/>
      <w:lvlRestart w:val="0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49082BE6">
      <w:start w:val="1"/>
      <w:numFmt w:val="decimal"/>
      <w:lvlRestart w:val="0"/>
      <w:lvlText w:val="(%2)"/>
      <w:lvlJc w:val="left"/>
      <w:pPr>
        <w:tabs>
          <w:tab w:val="num" w:pos="1704"/>
        </w:tabs>
        <w:ind w:left="1080" w:firstLine="0"/>
      </w:pPr>
      <w:rPr>
        <w:rFonts w:hint="default"/>
      </w:rPr>
    </w:lvl>
    <w:lvl w:ilvl="2" w:tplc="48C06176">
      <w:start w:val="1"/>
      <w:numFmt w:val="decimal"/>
      <w:lvlRestart w:val="0"/>
      <w:lvlText w:val="(%3)"/>
      <w:lvlJc w:val="left"/>
      <w:pPr>
        <w:tabs>
          <w:tab w:val="num" w:pos="2604"/>
        </w:tabs>
        <w:ind w:left="1980" w:firstLine="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0002" w:allStyles="0" w:customStyles="1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riginalName" w:val="tmp482240lsCopyOriginal.docx"/>
    <w:docVar w:name="StartMode" w:val="2"/>
  </w:docVars>
  <w:rsids>
    <w:rsidRoot w:val="00DB7060"/>
    <w:rsid w:val="0000131B"/>
    <w:rsid w:val="00015B27"/>
    <w:rsid w:val="00024B95"/>
    <w:rsid w:val="00027EA9"/>
    <w:rsid w:val="00063A3E"/>
    <w:rsid w:val="00072CAC"/>
    <w:rsid w:val="0007681A"/>
    <w:rsid w:val="000A542E"/>
    <w:rsid w:val="000B2510"/>
    <w:rsid w:val="000D6831"/>
    <w:rsid w:val="00102B6B"/>
    <w:rsid w:val="001052D4"/>
    <w:rsid w:val="0010644B"/>
    <w:rsid w:val="001207F8"/>
    <w:rsid w:val="00121924"/>
    <w:rsid w:val="001279A8"/>
    <w:rsid w:val="0014195F"/>
    <w:rsid w:val="00152609"/>
    <w:rsid w:val="00153E1B"/>
    <w:rsid w:val="0017075D"/>
    <w:rsid w:val="001A0623"/>
    <w:rsid w:val="001C23B0"/>
    <w:rsid w:val="001D7AAF"/>
    <w:rsid w:val="00203A7F"/>
    <w:rsid w:val="0021405D"/>
    <w:rsid w:val="0021633A"/>
    <w:rsid w:val="002200A1"/>
    <w:rsid w:val="00230711"/>
    <w:rsid w:val="002362BF"/>
    <w:rsid w:val="00241B97"/>
    <w:rsid w:val="002425D1"/>
    <w:rsid w:val="00246756"/>
    <w:rsid w:val="00251E58"/>
    <w:rsid w:val="00254605"/>
    <w:rsid w:val="00266D86"/>
    <w:rsid w:val="002728B4"/>
    <w:rsid w:val="0027600C"/>
    <w:rsid w:val="00292712"/>
    <w:rsid w:val="002A16A3"/>
    <w:rsid w:val="002A487D"/>
    <w:rsid w:val="002C2E29"/>
    <w:rsid w:val="002C3041"/>
    <w:rsid w:val="002D1EE3"/>
    <w:rsid w:val="002F1D80"/>
    <w:rsid w:val="003232A2"/>
    <w:rsid w:val="00325C14"/>
    <w:rsid w:val="00335990"/>
    <w:rsid w:val="0036422C"/>
    <w:rsid w:val="003710F6"/>
    <w:rsid w:val="00386E88"/>
    <w:rsid w:val="00396585"/>
    <w:rsid w:val="003C018D"/>
    <w:rsid w:val="003D6E38"/>
    <w:rsid w:val="003D74A0"/>
    <w:rsid w:val="003F127C"/>
    <w:rsid w:val="003F2F65"/>
    <w:rsid w:val="004033D8"/>
    <w:rsid w:val="004073F0"/>
    <w:rsid w:val="00410590"/>
    <w:rsid w:val="00412A7D"/>
    <w:rsid w:val="00416B4D"/>
    <w:rsid w:val="00417CFC"/>
    <w:rsid w:val="004A06DC"/>
    <w:rsid w:val="004B24ED"/>
    <w:rsid w:val="004B6625"/>
    <w:rsid w:val="004D2D82"/>
    <w:rsid w:val="004D3876"/>
    <w:rsid w:val="004E4552"/>
    <w:rsid w:val="004E6CDF"/>
    <w:rsid w:val="005127E2"/>
    <w:rsid w:val="00553C9D"/>
    <w:rsid w:val="00562A66"/>
    <w:rsid w:val="005B064E"/>
    <w:rsid w:val="005B4DF9"/>
    <w:rsid w:val="005D51AE"/>
    <w:rsid w:val="0062674B"/>
    <w:rsid w:val="006363B2"/>
    <w:rsid w:val="00644940"/>
    <w:rsid w:val="006818A9"/>
    <w:rsid w:val="006A2D81"/>
    <w:rsid w:val="006C1D0D"/>
    <w:rsid w:val="0070601E"/>
    <w:rsid w:val="00712C72"/>
    <w:rsid w:val="00735FE9"/>
    <w:rsid w:val="00763CAA"/>
    <w:rsid w:val="00765F66"/>
    <w:rsid w:val="0078664F"/>
    <w:rsid w:val="007A27CE"/>
    <w:rsid w:val="007C3FA6"/>
    <w:rsid w:val="007D585A"/>
    <w:rsid w:val="007D5A12"/>
    <w:rsid w:val="007E59F9"/>
    <w:rsid w:val="00810BCD"/>
    <w:rsid w:val="00812C98"/>
    <w:rsid w:val="00814D92"/>
    <w:rsid w:val="0083181D"/>
    <w:rsid w:val="00837AC7"/>
    <w:rsid w:val="00843EB2"/>
    <w:rsid w:val="008541D5"/>
    <w:rsid w:val="00865572"/>
    <w:rsid w:val="00874BBC"/>
    <w:rsid w:val="00892135"/>
    <w:rsid w:val="00895449"/>
    <w:rsid w:val="00897879"/>
    <w:rsid w:val="008A6870"/>
    <w:rsid w:val="008C2DDC"/>
    <w:rsid w:val="008C7516"/>
    <w:rsid w:val="008E6EC7"/>
    <w:rsid w:val="008F0D63"/>
    <w:rsid w:val="008F1308"/>
    <w:rsid w:val="008F2C35"/>
    <w:rsid w:val="008F6665"/>
    <w:rsid w:val="00903646"/>
    <w:rsid w:val="00904591"/>
    <w:rsid w:val="00905E5F"/>
    <w:rsid w:val="0091204F"/>
    <w:rsid w:val="009203DB"/>
    <w:rsid w:val="00923CD4"/>
    <w:rsid w:val="00930EFE"/>
    <w:rsid w:val="00943386"/>
    <w:rsid w:val="009456B6"/>
    <w:rsid w:val="00957589"/>
    <w:rsid w:val="00966D06"/>
    <w:rsid w:val="00982412"/>
    <w:rsid w:val="00983A8D"/>
    <w:rsid w:val="009A0DB8"/>
    <w:rsid w:val="009A7257"/>
    <w:rsid w:val="009D6E0A"/>
    <w:rsid w:val="009E1E33"/>
    <w:rsid w:val="00A14672"/>
    <w:rsid w:val="00A26BD6"/>
    <w:rsid w:val="00A443CF"/>
    <w:rsid w:val="00A6611D"/>
    <w:rsid w:val="00A82CB7"/>
    <w:rsid w:val="00A85C3A"/>
    <w:rsid w:val="00A942C1"/>
    <w:rsid w:val="00AA2F03"/>
    <w:rsid w:val="00AC36F7"/>
    <w:rsid w:val="00AC63A4"/>
    <w:rsid w:val="00AD239E"/>
    <w:rsid w:val="00B10265"/>
    <w:rsid w:val="00B16A99"/>
    <w:rsid w:val="00B21211"/>
    <w:rsid w:val="00B35784"/>
    <w:rsid w:val="00B733A7"/>
    <w:rsid w:val="00B75C91"/>
    <w:rsid w:val="00B975AD"/>
    <w:rsid w:val="00BC45FB"/>
    <w:rsid w:val="00BF148D"/>
    <w:rsid w:val="00C23B1A"/>
    <w:rsid w:val="00C310EB"/>
    <w:rsid w:val="00C9176A"/>
    <w:rsid w:val="00CA312B"/>
    <w:rsid w:val="00CF1AA2"/>
    <w:rsid w:val="00D142D3"/>
    <w:rsid w:val="00D17774"/>
    <w:rsid w:val="00D63620"/>
    <w:rsid w:val="00D8410D"/>
    <w:rsid w:val="00D867D7"/>
    <w:rsid w:val="00DB7060"/>
    <w:rsid w:val="00DE3153"/>
    <w:rsid w:val="00E06736"/>
    <w:rsid w:val="00E13C27"/>
    <w:rsid w:val="00E33BBD"/>
    <w:rsid w:val="00E374F2"/>
    <w:rsid w:val="00E45103"/>
    <w:rsid w:val="00E55A60"/>
    <w:rsid w:val="00E62778"/>
    <w:rsid w:val="00E635A2"/>
    <w:rsid w:val="00E63D38"/>
    <w:rsid w:val="00E665B9"/>
    <w:rsid w:val="00EA01E6"/>
    <w:rsid w:val="00EA3DE8"/>
    <w:rsid w:val="00EA758F"/>
    <w:rsid w:val="00ED4A6F"/>
    <w:rsid w:val="00EF3A3A"/>
    <w:rsid w:val="00F628D6"/>
    <w:rsid w:val="00F67051"/>
    <w:rsid w:val="00F86A1E"/>
    <w:rsid w:val="00FA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>
      <v:fill color="white" on="f"/>
    </o:shapedefaults>
    <o:shapelayout v:ext="edit">
      <o:idmap v:ext="edit" data="1"/>
    </o:shapelayout>
  </w:shapeDefaults>
  <w:doNotEmbedSmartTags/>
  <w:decimalSymbol w:val="."/>
  <w:listSeparator w:val=","/>
  <w14:docId w14:val="7F6961A1"/>
  <w15:docId w15:val="{BAB3E053-B0BE-458B-A497-FB87E8F8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5AD"/>
    <w:pPr>
      <w:widowControl w:val="0"/>
      <w:autoSpaceDE w:val="0"/>
      <w:autoSpaceDN w:val="0"/>
      <w:bidi/>
      <w:adjustRightInd w:val="0"/>
      <w:spacing w:before="102" w:line="204" w:lineRule="atLeast"/>
      <w:ind w:firstLine="340"/>
      <w:jc w:val="both"/>
      <w:textAlignment w:val="center"/>
    </w:pPr>
    <w:rPr>
      <w:rFonts w:ascii="Hadasa Roso SL" w:hAnsi="Hadasa Roso SL" w:cs="Hadasa Roso SL"/>
      <w:color w:val="000000"/>
      <w:spacing w:val="1"/>
      <w:sz w:val="17"/>
      <w:szCs w:val="17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rsid w:val="00943386"/>
    <w:pPr>
      <w:widowControl w:val="0"/>
      <w:autoSpaceDE w:val="0"/>
      <w:autoSpaceDN w:val="0"/>
      <w:bidi/>
      <w:adjustRightInd w:val="0"/>
      <w:snapToGrid w:val="0"/>
      <w:spacing w:line="360" w:lineRule="auto"/>
      <w:textAlignment w:val="center"/>
    </w:pPr>
    <w:rPr>
      <w:rFonts w:ascii="Arial" w:eastAsia="Arial Unicode MS" w:hAnsi="Arial" w:cs="David"/>
      <w:snapToGrid w:val="0"/>
      <w:color w:val="000000"/>
      <w:szCs w:val="26"/>
      <w:lang w:eastAsia="ja-JP"/>
    </w:rPr>
  </w:style>
  <w:style w:type="paragraph" w:customStyle="1" w:styleId="Cover1-Reshumot">
    <w:name w:val="Cover 1-Reshumot"/>
    <w:basedOn w:val="a"/>
    <w:rsid w:val="00B975AD"/>
    <w:pPr>
      <w:tabs>
        <w:tab w:val="left" w:pos="1191"/>
        <w:tab w:val="left" w:pos="1587"/>
      </w:tabs>
      <w:snapToGrid w:val="0"/>
      <w:spacing w:before="240" w:after="240" w:line="480" w:lineRule="auto"/>
      <w:ind w:firstLine="0"/>
      <w:jc w:val="center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customStyle="1" w:styleId="Cover2-HatzaotHok">
    <w:name w:val="Cover 2-HatzaotHok"/>
    <w:basedOn w:val="Cover1-Reshumot"/>
    <w:rsid w:val="00B975AD"/>
    <w:rPr>
      <w:sz w:val="36"/>
      <w:szCs w:val="52"/>
    </w:rPr>
  </w:style>
  <w:style w:type="paragraph" w:customStyle="1" w:styleId="Cover3-Haknesset">
    <w:name w:val="Cover 3-Haknesset"/>
    <w:basedOn w:val="Cover1-Reshumot"/>
    <w:rsid w:val="00B975AD"/>
    <w:rPr>
      <w:b/>
      <w:bCs/>
      <w:spacing w:val="60"/>
    </w:rPr>
  </w:style>
  <w:style w:type="paragraph" w:customStyle="1" w:styleId="Cover4-Date">
    <w:name w:val="Cover 4-Date"/>
    <w:basedOn w:val="a"/>
    <w:rsid w:val="00B975AD"/>
    <w:pPr>
      <w:pBdr>
        <w:bottom w:val="single" w:sz="4" w:space="0" w:color="auto"/>
      </w:pBdr>
      <w:tabs>
        <w:tab w:val="center" w:pos="4820"/>
        <w:tab w:val="right" w:pos="9639"/>
      </w:tabs>
      <w:snapToGrid w:val="0"/>
      <w:spacing w:before="240" w:after="240" w:line="360" w:lineRule="auto"/>
      <w:ind w:firstLine="0"/>
      <w:jc w:val="left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customStyle="1" w:styleId="TOC">
    <w:name w:val="TOC"/>
    <w:basedOn w:val="Noparagraphstyle"/>
    <w:rsid w:val="00943386"/>
    <w:pPr>
      <w:tabs>
        <w:tab w:val="left" w:leader="dot" w:pos="8789"/>
      </w:tabs>
      <w:spacing w:before="120"/>
      <w:ind w:left="284" w:right="284"/>
    </w:pPr>
  </w:style>
  <w:style w:type="paragraph" w:customStyle="1" w:styleId="TOCpg">
    <w:name w:val="TOC pg"/>
    <w:basedOn w:val="TOC"/>
    <w:rsid w:val="00943386"/>
    <w:pPr>
      <w:spacing w:after="120"/>
      <w:ind w:right="567"/>
      <w:jc w:val="right"/>
    </w:pPr>
  </w:style>
  <w:style w:type="paragraph" w:customStyle="1" w:styleId="HeadMitparsemetBaze">
    <w:name w:val="Head MitparsemetBaze"/>
    <w:basedOn w:val="a"/>
    <w:rsid w:val="00B975AD"/>
    <w:pPr>
      <w:keepNext/>
      <w:keepLines/>
      <w:pageBreakBefore/>
      <w:snapToGrid w:val="0"/>
      <w:spacing w:before="480" w:line="360" w:lineRule="auto"/>
      <w:ind w:firstLine="0"/>
    </w:pPr>
    <w:rPr>
      <w:rFonts w:ascii="Arial" w:eastAsia="Arial Unicode MS" w:hAnsi="Arial" w:cs="David"/>
      <w:b/>
      <w:bCs/>
      <w:snapToGrid w:val="0"/>
      <w:spacing w:val="0"/>
      <w:sz w:val="20"/>
      <w:szCs w:val="26"/>
    </w:rPr>
  </w:style>
  <w:style w:type="paragraph" w:customStyle="1" w:styleId="HeadHatzaotHok">
    <w:name w:val="Head HatzaotHok"/>
    <w:basedOn w:val="a"/>
    <w:rsid w:val="00B975AD"/>
    <w:pPr>
      <w:keepNext/>
      <w:keepLines/>
      <w:snapToGrid w:val="0"/>
      <w:spacing w:before="240" w:line="360" w:lineRule="auto"/>
      <w:ind w:firstLine="0"/>
      <w:jc w:val="center"/>
    </w:pPr>
    <w:rPr>
      <w:rFonts w:ascii="Arial" w:eastAsia="Arial Unicode MS" w:hAnsi="Arial" w:cs="David"/>
      <w:b/>
      <w:bCs/>
      <w:snapToGrid w:val="0"/>
      <w:spacing w:val="0"/>
      <w:sz w:val="20"/>
      <w:szCs w:val="26"/>
    </w:rPr>
  </w:style>
  <w:style w:type="paragraph" w:customStyle="1" w:styleId="HeadHatzaotHok4Futer">
    <w:name w:val="Head HatzaotHok4Futer"/>
    <w:basedOn w:val="HeadHatzaotHok"/>
    <w:rsid w:val="00B975AD"/>
    <w:pPr>
      <w:spacing w:before="120" w:after="120"/>
    </w:pPr>
    <w:rPr>
      <w:color w:val="FF0000"/>
      <w:w w:val="80"/>
    </w:rPr>
  </w:style>
  <w:style w:type="paragraph" w:styleId="a3">
    <w:name w:val="endnote text"/>
    <w:basedOn w:val="a"/>
    <w:semiHidden/>
    <w:rsid w:val="00B975AD"/>
    <w:pPr>
      <w:ind w:left="227" w:hanging="227"/>
    </w:pPr>
    <w:rPr>
      <w:sz w:val="14"/>
      <w:szCs w:val="22"/>
    </w:rPr>
  </w:style>
  <w:style w:type="paragraph" w:customStyle="1" w:styleId="TableText">
    <w:name w:val="Table Text"/>
    <w:basedOn w:val="a"/>
    <w:rsid w:val="00B975AD"/>
    <w:pPr>
      <w:keepLines/>
      <w:tabs>
        <w:tab w:val="left" w:pos="624"/>
        <w:tab w:val="left" w:pos="1247"/>
      </w:tabs>
      <w:snapToGrid w:val="0"/>
      <w:spacing w:before="0" w:line="360" w:lineRule="auto"/>
      <w:ind w:right="57" w:firstLine="0"/>
      <w:jc w:val="left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customStyle="1" w:styleId="TableSideHeading">
    <w:name w:val="Table SideHeading"/>
    <w:basedOn w:val="TableText"/>
    <w:rsid w:val="00B975AD"/>
  </w:style>
  <w:style w:type="paragraph" w:customStyle="1" w:styleId="TableBlock">
    <w:name w:val="Table Block"/>
    <w:basedOn w:val="TableText"/>
    <w:rsid w:val="00B975AD"/>
    <w:pPr>
      <w:ind w:right="0"/>
      <w:jc w:val="both"/>
    </w:pPr>
  </w:style>
  <w:style w:type="paragraph" w:customStyle="1" w:styleId="TableHead">
    <w:name w:val="Table Head"/>
    <w:basedOn w:val="TableText"/>
    <w:rsid w:val="00B975AD"/>
    <w:pPr>
      <w:ind w:right="0"/>
      <w:jc w:val="center"/>
    </w:pPr>
    <w:rPr>
      <w:b/>
      <w:bCs/>
    </w:rPr>
  </w:style>
  <w:style w:type="paragraph" w:customStyle="1" w:styleId="TableText2">
    <w:name w:val="Table Text2"/>
    <w:basedOn w:val="TableText"/>
    <w:rsid w:val="00943386"/>
  </w:style>
  <w:style w:type="paragraph" w:customStyle="1" w:styleId="TableInnerSideHeading">
    <w:name w:val="Table InnerSideHeading"/>
    <w:basedOn w:val="TableSideHeading"/>
    <w:rsid w:val="00B975AD"/>
  </w:style>
  <w:style w:type="paragraph" w:customStyle="1" w:styleId="Hesber">
    <w:name w:val="Hesber"/>
    <w:basedOn w:val="a"/>
    <w:rsid w:val="00B975AD"/>
    <w:pPr>
      <w:snapToGrid w:val="0"/>
      <w:spacing w:before="0" w:line="360" w:lineRule="auto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styleId="a4">
    <w:name w:val="footnote text"/>
    <w:basedOn w:val="a"/>
    <w:autoRedefine/>
    <w:semiHidden/>
    <w:rsid w:val="00B975AD"/>
    <w:pPr>
      <w:snapToGrid w:val="0"/>
      <w:spacing w:before="0" w:line="240" w:lineRule="auto"/>
      <w:ind w:left="227" w:hanging="227"/>
      <w:jc w:val="left"/>
    </w:pPr>
    <w:rPr>
      <w:rFonts w:ascii="Arial" w:eastAsia="Arial Unicode MS" w:hAnsi="Arial" w:cs="David"/>
      <w:snapToGrid w:val="0"/>
      <w:spacing w:val="0"/>
      <w:sz w:val="14"/>
      <w:szCs w:val="20"/>
    </w:rPr>
  </w:style>
  <w:style w:type="character" w:styleId="a5">
    <w:name w:val="footnote reference"/>
    <w:basedOn w:val="a0"/>
    <w:semiHidden/>
    <w:rsid w:val="00B975AD"/>
    <w:rPr>
      <w:vertAlign w:val="superscript"/>
    </w:rPr>
  </w:style>
  <w:style w:type="paragraph" w:customStyle="1" w:styleId="HesberHeading">
    <w:name w:val="Hesber Heading"/>
    <w:basedOn w:val="Hesber"/>
    <w:rsid w:val="00B975AD"/>
    <w:pPr>
      <w:tabs>
        <w:tab w:val="left" w:pos="624"/>
        <w:tab w:val="left" w:pos="1247"/>
      </w:tabs>
      <w:ind w:firstLine="0"/>
    </w:pPr>
    <w:rPr>
      <w:b/>
      <w:bCs/>
    </w:rPr>
  </w:style>
  <w:style w:type="paragraph" w:customStyle="1" w:styleId="HesberWriters">
    <w:name w:val="Hesber Writers"/>
    <w:basedOn w:val="Hesber"/>
    <w:rsid w:val="00B975AD"/>
    <w:pPr>
      <w:spacing w:before="120" w:after="6000"/>
      <w:ind w:left="1418" w:firstLine="0"/>
      <w:jc w:val="right"/>
    </w:pPr>
    <w:rPr>
      <w:b/>
      <w:bCs/>
    </w:rPr>
  </w:style>
  <w:style w:type="paragraph" w:customStyle="1" w:styleId="Hesber1st">
    <w:name w:val="Hesber 1st"/>
    <w:basedOn w:val="Hesber"/>
    <w:rsid w:val="00B975AD"/>
    <w:pPr>
      <w:tabs>
        <w:tab w:val="left" w:pos="680"/>
        <w:tab w:val="left" w:pos="1020"/>
      </w:tabs>
      <w:ind w:firstLine="0"/>
    </w:pPr>
  </w:style>
  <w:style w:type="character" w:styleId="a6">
    <w:name w:val="endnote reference"/>
    <w:basedOn w:val="a0"/>
    <w:semiHidden/>
    <w:rsid w:val="00B975AD"/>
    <w:rPr>
      <w:vertAlign w:val="superscript"/>
    </w:rPr>
  </w:style>
  <w:style w:type="paragraph" w:customStyle="1" w:styleId="TableBlockOutdent">
    <w:name w:val="Table BlockOutdent"/>
    <w:basedOn w:val="TableBlock"/>
    <w:rsid w:val="00B975AD"/>
    <w:pPr>
      <w:ind w:left="624" w:hanging="624"/>
    </w:pPr>
  </w:style>
  <w:style w:type="paragraph" w:styleId="a7">
    <w:name w:val="header"/>
    <w:basedOn w:val="a"/>
    <w:rsid w:val="00B975AD"/>
    <w:pPr>
      <w:tabs>
        <w:tab w:val="center" w:pos="4153"/>
        <w:tab w:val="right" w:pos="8306"/>
      </w:tabs>
    </w:pPr>
  </w:style>
  <w:style w:type="paragraph" w:styleId="a8">
    <w:name w:val="footer"/>
    <w:basedOn w:val="a"/>
    <w:rsid w:val="00B975AD"/>
    <w:pPr>
      <w:tabs>
        <w:tab w:val="center" w:pos="4153"/>
        <w:tab w:val="right" w:pos="8306"/>
      </w:tabs>
    </w:pPr>
  </w:style>
  <w:style w:type="paragraph" w:customStyle="1" w:styleId="HeadDivreiHesber">
    <w:name w:val="Head DivreiHesber"/>
    <w:basedOn w:val="a"/>
    <w:rsid w:val="00B975AD"/>
    <w:pPr>
      <w:snapToGrid w:val="0"/>
      <w:spacing w:before="360" w:after="120" w:line="360" w:lineRule="auto"/>
      <w:ind w:firstLine="0"/>
      <w:jc w:val="center"/>
    </w:pPr>
    <w:rPr>
      <w:rFonts w:ascii="Arial" w:eastAsia="Arial Unicode MS" w:hAnsi="Arial" w:cs="David"/>
      <w:b/>
      <w:snapToGrid w:val="0"/>
      <w:spacing w:val="40"/>
      <w:sz w:val="20"/>
      <w:szCs w:val="26"/>
    </w:rPr>
  </w:style>
  <w:style w:type="paragraph" w:customStyle="1" w:styleId="Ragil">
    <w:name w:val="Ragil"/>
    <w:basedOn w:val="a"/>
    <w:rsid w:val="00B975AD"/>
    <w:pPr>
      <w:snapToGrid w:val="0"/>
      <w:spacing w:before="0" w:line="360" w:lineRule="auto"/>
      <w:jc w:val="left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styleId="a9">
    <w:name w:val="Title"/>
    <w:basedOn w:val="a"/>
    <w:qFormat/>
    <w:rsid w:val="00943386"/>
    <w:pPr>
      <w:jc w:val="center"/>
    </w:pPr>
    <w:rPr>
      <w:rFonts w:cs="David"/>
      <w:b/>
      <w:bCs/>
      <w:sz w:val="28"/>
      <w:szCs w:val="28"/>
      <w:u w:val="single"/>
    </w:rPr>
  </w:style>
  <w:style w:type="character" w:styleId="aa">
    <w:name w:val="page number"/>
    <w:basedOn w:val="a0"/>
    <w:rsid w:val="00B975AD"/>
  </w:style>
  <w:style w:type="paragraph" w:customStyle="1" w:styleId="David">
    <w:name w:val="רגיל + (עברית ושפות אחרות) David"/>
    <w:aliases w:val="‏13 נק',מודגש,אחרי:  6 נק'"/>
    <w:basedOn w:val="a"/>
    <w:rsid w:val="001207F8"/>
    <w:pPr>
      <w:ind w:firstLine="0"/>
      <w:jc w:val="left"/>
    </w:pPr>
    <w:rPr>
      <w:rFonts w:cs="David"/>
      <w:sz w:val="26"/>
      <w:szCs w:val="26"/>
    </w:rPr>
  </w:style>
  <w:style w:type="paragraph" w:styleId="ab">
    <w:name w:val="Balloon Text"/>
    <w:basedOn w:val="a"/>
    <w:link w:val="ac"/>
    <w:semiHidden/>
    <w:unhideWhenUsed/>
    <w:rsid w:val="00325C1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טקסט בלונים תו"/>
    <w:basedOn w:val="a0"/>
    <w:link w:val="ab"/>
    <w:semiHidden/>
    <w:rsid w:val="00325C14"/>
    <w:rPr>
      <w:rFonts w:ascii="Tahoma" w:hAnsi="Tahoma" w:cs="Tahoma"/>
      <w:color w:val="000000"/>
      <w:spacing w:val="1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5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54E21C28B32ECF49ADBB6A5BBBCCB3CD" ma:contentTypeVersion="" ma:contentTypeDescription="צור מסמך חדש." ma:contentTypeScope="" ma:versionID="f81d89568b860eeaa06327f0f2d2f14b">
  <xsd:schema xmlns:xsd="http://www.w3.org/2001/XMLSchema" xmlns:xs="http://www.w3.org/2001/XMLSchema" xmlns:p="http://schemas.microsoft.com/office/2006/metadata/properties" xmlns:ns2="290d5b49-c690-4c6f-bbb9-1e50dab33eee" targetNamespace="http://schemas.microsoft.com/office/2006/metadata/properties" ma:root="true" ma:fieldsID="a6db6e33f8462d87724f237088727803" ns2:_="">
    <xsd:import namespace="290d5b49-c690-4c6f-bbb9-1e50dab33eee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d5b49-c690-4c6f-bbb9-1e50dab33ee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4AFE3-9455-419C-8851-785A55F44517}">
  <ds:schemaRefs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290d5b49-c690-4c6f-bbb9-1e50dab33eee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3CDC32B-DD97-493E-9196-3EF77D6F9C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4DCB1B-D448-468A-8159-FC3FE0E15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0d5b49-c690-4c6f-bbb9-1e50dab33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8F741F-D7E9-49F5-BAFB-A6D8F0A93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311</Words>
  <Characters>1559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רשומות</vt:lpstr>
      <vt:lpstr>רשומות</vt:lpstr>
    </vt:vector>
  </TitlesOfParts>
  <Company>Knesset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רשומות</dc:title>
  <dc:creator>מיקה צור</dc:creator>
  <cp:lastModifiedBy>טליה ווייס עמר</cp:lastModifiedBy>
  <cp:revision>20</cp:revision>
  <cp:lastPrinted>2013-07-04T08:25:00Z</cp:lastPrinted>
  <dcterms:created xsi:type="dcterms:W3CDTF">2015-04-20T09:58:00Z</dcterms:created>
  <dcterms:modified xsi:type="dcterms:W3CDTF">2026-07-02T09:15:00Z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0x01010054E21C28B32ECF49ADBB6A5BBBCCB3CD</vt:lpwstr>
  </property>
  <property fmtid="{D5CDD505-2E9C-101B-9397-08002B2CF9AE}" pid="3" name="_dlc_DocIdItemGuid">
    <vt:lpwstr>8badafff-95aa-4718-b074-a2d35988ffa8</vt:lpwstr>
  </property>
  <property fmtid="{D5CDD505-2E9C-101B-9397-08002B2CF9AE}" pid="4" name="SanhedrinDocumentType">
    <vt:r8>10</vt:r8>
  </property>
  <property fmtid="{D5CDD505-2E9C-101B-9397-08002B2CF9AE}" pid="5" name="SanhedrinItemID">
    <vt:r8>2244737</vt:r8>
  </property>
</Properties>
</file>