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B6F" w:rsidRDefault="00862B6F" w:rsidP="00862B6F">
      <w:pPr>
        <w:ind w:left="360" w:hanging="360"/>
        <w:rPr>
          <w:b/>
          <w:bCs/>
        </w:rPr>
      </w:pPr>
      <w:r>
        <w:rPr>
          <w:b/>
          <w:bCs/>
        </w:rPr>
        <w:t>4/23/2020 Teams Call re: LCC at Mission Rock</w:t>
      </w:r>
    </w:p>
    <w:p w:rsidR="00862B6F" w:rsidRDefault="00862B6F" w:rsidP="00862B6F">
      <w:pPr>
        <w:ind w:left="360" w:hanging="360"/>
        <w:rPr>
          <w:b/>
          <w:bCs/>
        </w:rPr>
      </w:pPr>
      <w:r>
        <w:rPr>
          <w:b/>
          <w:bCs/>
        </w:rPr>
        <w:t xml:space="preserve">City – TAP - MRP </w:t>
      </w:r>
    </w:p>
    <w:p w:rsidR="00862B6F" w:rsidRDefault="00862B6F" w:rsidP="00862B6F">
      <w:pPr>
        <w:pStyle w:val="ListParagraph"/>
        <w:numPr>
          <w:ilvl w:val="0"/>
          <w:numId w:val="1"/>
        </w:numPr>
        <w:ind w:left="360"/>
        <w:rPr>
          <w:rFonts w:eastAsia="Times New Roman"/>
        </w:rPr>
      </w:pPr>
      <w:r>
        <w:rPr>
          <w:rFonts w:eastAsia="Times New Roman"/>
        </w:rPr>
        <w:t>Review of report – Patrick reviewed the organization of the final addendum to the technical review report as outlined last week. Reviewing the Table of Contents, omitted sections are indicated in yellow; new, updated, and revised sections are included in these five volumes; and as the TAP finishes drafting sections, they will be seeded into this framework. There are bookmarks in the .pdf file to help readers navigate quicker to certain sections.</w:t>
      </w:r>
    </w:p>
    <w:p w:rsidR="00862B6F" w:rsidRDefault="00862B6F" w:rsidP="00862B6F">
      <w:pPr>
        <w:pStyle w:val="ListParagraph"/>
        <w:ind w:left="360" w:hanging="360"/>
      </w:pPr>
    </w:p>
    <w:p w:rsidR="00862B6F" w:rsidRDefault="00862B6F" w:rsidP="00862B6F">
      <w:pPr>
        <w:pStyle w:val="ListParagraph"/>
        <w:numPr>
          <w:ilvl w:val="0"/>
          <w:numId w:val="1"/>
        </w:numPr>
        <w:ind w:left="360"/>
        <w:rPr>
          <w:rFonts w:eastAsia="Times New Roman"/>
        </w:rPr>
      </w:pPr>
      <w:r>
        <w:rPr>
          <w:rFonts w:eastAsia="Times New Roman"/>
        </w:rPr>
        <w:t>Factor of Safety (comment #22)</w:t>
      </w:r>
    </w:p>
    <w:p w:rsidR="00862B6F" w:rsidRDefault="00862B6F" w:rsidP="00862B6F">
      <w:pPr>
        <w:pStyle w:val="ListParagraph"/>
        <w:ind w:left="360" w:hanging="360"/>
      </w:pPr>
    </w:p>
    <w:p w:rsidR="00862B6F" w:rsidRPr="007B7E76" w:rsidRDefault="00862B6F" w:rsidP="00862B6F">
      <w:pPr>
        <w:pStyle w:val="ListParagraph"/>
        <w:ind w:left="360"/>
        <w:rPr>
          <w:rFonts w:eastAsia="Times New Roman"/>
        </w:rPr>
      </w:pPr>
      <w:r>
        <w:t>Scott Walker (</w:t>
      </w:r>
      <w:proofErr w:type="spellStart"/>
      <w:r>
        <w:t>Langan</w:t>
      </w:r>
      <w:proofErr w:type="spellEnd"/>
      <w:r>
        <w:t xml:space="preserve">) described how the factor of safety has been updated and oriented to lightweight cellular concrete with changes reflected in the geotechnical report. </w:t>
      </w:r>
      <w:proofErr w:type="gramStart"/>
      <w:r>
        <w:t>The vast majority of</w:t>
      </w:r>
      <w:proofErr w:type="gramEnd"/>
      <w:r>
        <w:t xml:space="preserve"> the project has a factor of safety meeting 1.2 during the expected Sea Level Rise. With Sea Level Rise (66” at year 2100), the factor of safety reduces in small areas at worst case to 1.14. This occurs where thicker layers of Bay Mud or where the improvements are not as heavy at the edges. The elevation, per project datum is 99.5. John Thomas has noted the SLR guidance has changed over time. Scott says elevation 99.5 is about 6” below the finish elevation of Third Street.</w:t>
      </w:r>
    </w:p>
    <w:p w:rsidR="00862B6F" w:rsidRDefault="00862B6F" w:rsidP="00862B6F">
      <w:pPr>
        <w:pStyle w:val="ListParagraph"/>
        <w:ind w:left="360"/>
      </w:pPr>
    </w:p>
    <w:p w:rsidR="00862B6F" w:rsidRDefault="00862B6F" w:rsidP="00862B6F">
      <w:pPr>
        <w:pStyle w:val="ListParagraph"/>
        <w:ind w:left="360"/>
      </w:pPr>
      <w:proofErr w:type="spellStart"/>
      <w:r>
        <w:t>Iqbhal</w:t>
      </w:r>
      <w:proofErr w:type="spellEnd"/>
      <w:r>
        <w:t xml:space="preserve"> discussed whether a higher factor of safety is needed because:</w:t>
      </w:r>
    </w:p>
    <w:p w:rsidR="00862B6F" w:rsidRPr="0087657F" w:rsidRDefault="00862B6F" w:rsidP="00862B6F">
      <w:pPr>
        <w:pStyle w:val="ListParagraph"/>
        <w:numPr>
          <w:ilvl w:val="1"/>
          <w:numId w:val="1"/>
        </w:numPr>
        <w:ind w:left="360" w:firstLine="0"/>
        <w:rPr>
          <w:rFonts w:eastAsia="Times New Roman"/>
        </w:rPr>
      </w:pPr>
      <w:r w:rsidRPr="0087657F">
        <w:rPr>
          <w:rFonts w:eastAsia="Times New Roman"/>
        </w:rPr>
        <w:t xml:space="preserve">Ground water level (94.0) </w:t>
      </w:r>
      <w:r>
        <w:rPr>
          <w:rFonts w:eastAsia="Times New Roman"/>
        </w:rPr>
        <w:t xml:space="preserve">established </w:t>
      </w:r>
      <w:r w:rsidRPr="0087657F">
        <w:rPr>
          <w:rFonts w:eastAsia="Times New Roman"/>
        </w:rPr>
        <w:t>based on 2 summers of data.</w:t>
      </w:r>
      <w:r>
        <w:rPr>
          <w:rFonts w:eastAsia="Times New Roman"/>
        </w:rPr>
        <w:t xml:space="preserve"> E</w:t>
      </w:r>
      <w:r w:rsidRPr="0087657F">
        <w:rPr>
          <w:rFonts w:eastAsia="Times New Roman"/>
        </w:rPr>
        <w:t>xpected to be higher during rainy period</w:t>
      </w:r>
      <w:r>
        <w:rPr>
          <w:rFonts w:eastAsia="Times New Roman"/>
        </w:rPr>
        <w:t>s. Kit Tung states the memo correlates rain with groundwater</w:t>
      </w:r>
    </w:p>
    <w:p w:rsidR="00862B6F" w:rsidRDefault="00862B6F" w:rsidP="00862B6F">
      <w:pPr>
        <w:pStyle w:val="ListParagraph"/>
        <w:numPr>
          <w:ilvl w:val="1"/>
          <w:numId w:val="1"/>
        </w:numPr>
        <w:ind w:left="360" w:firstLine="0"/>
        <w:rPr>
          <w:rFonts w:eastAsia="Times New Roman"/>
        </w:rPr>
      </w:pPr>
      <w:r>
        <w:rPr>
          <w:rFonts w:eastAsia="Times New Roman"/>
        </w:rPr>
        <w:t xml:space="preserve">Most likely SLR is 36” </w:t>
      </w:r>
    </w:p>
    <w:p w:rsidR="00862B6F" w:rsidRDefault="00862B6F" w:rsidP="00862B6F">
      <w:pPr>
        <w:pStyle w:val="ListParagraph"/>
        <w:numPr>
          <w:ilvl w:val="2"/>
          <w:numId w:val="1"/>
        </w:numPr>
        <w:ind w:left="360" w:firstLine="0"/>
        <w:rPr>
          <w:rFonts w:eastAsia="Times New Roman"/>
        </w:rPr>
      </w:pPr>
      <w:r>
        <w:rPr>
          <w:rFonts w:eastAsia="Times New Roman"/>
        </w:rPr>
        <w:t>MRP has 94 + 3 = 97” which meets SLR</w:t>
      </w:r>
    </w:p>
    <w:p w:rsidR="00862B6F" w:rsidRDefault="00862B6F" w:rsidP="00862B6F">
      <w:pPr>
        <w:pStyle w:val="ListParagraph"/>
        <w:numPr>
          <w:ilvl w:val="2"/>
          <w:numId w:val="1"/>
        </w:numPr>
        <w:ind w:left="360" w:firstLine="0"/>
        <w:rPr>
          <w:rFonts w:eastAsia="Times New Roman"/>
        </w:rPr>
      </w:pPr>
      <w:r>
        <w:rPr>
          <w:rFonts w:eastAsia="Times New Roman"/>
        </w:rPr>
        <w:t xml:space="preserve">What about storm surge? Over 100 years, that is 3.5 feet – How will that affect ground water elevation change? </w:t>
      </w:r>
    </w:p>
    <w:p w:rsidR="00862B6F" w:rsidRDefault="00862B6F" w:rsidP="00862B6F">
      <w:pPr>
        <w:ind w:left="360"/>
      </w:pPr>
      <w:r>
        <w:t xml:space="preserve">Scott notes that the factor of safety is very conservative on all numbers. </w:t>
      </w:r>
      <w:proofErr w:type="spellStart"/>
      <w:r>
        <w:t>Langan</w:t>
      </w:r>
      <w:proofErr w:type="spellEnd"/>
      <w:r>
        <w:t xml:space="preserve"> has data from Mission Bay projects and the Pilot. Notes that spikes in elevation dissipate quickly and tidal lags as well. Can </w:t>
      </w:r>
      <w:proofErr w:type="gramStart"/>
      <w:r>
        <w:t>look into</w:t>
      </w:r>
      <w:proofErr w:type="gramEnd"/>
      <w:r>
        <w:t xml:space="preserve"> more data from other sites (Mission Bay). Kit believes the factor of safety figure should account for uncertainties.</w:t>
      </w:r>
    </w:p>
    <w:p w:rsidR="00862B6F" w:rsidRPr="009B6DA3" w:rsidRDefault="00862B6F" w:rsidP="00862B6F">
      <w:pPr>
        <w:ind w:left="360"/>
        <w:rPr>
          <w:rFonts w:eastAsia="Times New Roman"/>
        </w:rPr>
      </w:pPr>
      <w:r w:rsidRPr="00A900C7">
        <w:rPr>
          <w:rFonts w:eastAsia="Times New Roman"/>
        </w:rPr>
        <w:t>Steve Bartlett (TAP member) argues against changing factors of safety that are industry norm</w:t>
      </w:r>
      <w:r>
        <w:rPr>
          <w:rFonts w:eastAsia="Times New Roman"/>
        </w:rPr>
        <w:t xml:space="preserve">. </w:t>
      </w:r>
      <w:r w:rsidRPr="009B6DA3">
        <w:rPr>
          <w:rFonts w:eastAsia="Times New Roman"/>
        </w:rPr>
        <w:t xml:space="preserve">Instead asks </w:t>
      </w:r>
      <w:r>
        <w:rPr>
          <w:rFonts w:eastAsia="Times New Roman"/>
        </w:rPr>
        <w:t>whether</w:t>
      </w:r>
      <w:r w:rsidRPr="009B6DA3">
        <w:rPr>
          <w:rFonts w:eastAsia="Times New Roman"/>
        </w:rPr>
        <w:t xml:space="preserve"> the approach captured the best estimate of capacity/demand and captured the uncertainties</w:t>
      </w:r>
      <w:r>
        <w:rPr>
          <w:rFonts w:eastAsia="Times New Roman"/>
        </w:rPr>
        <w:t xml:space="preserve">. Noted the Pilot demonstrated no buoyancy at elevation 93. During rapid flooding of the pilot, there were no signs of uplift in the most extreme case when raising the elevation to 95. </w:t>
      </w:r>
    </w:p>
    <w:p w:rsidR="00862B6F" w:rsidRDefault="00862B6F" w:rsidP="00862B6F">
      <w:pPr>
        <w:ind w:left="360"/>
      </w:pPr>
      <w:proofErr w:type="spellStart"/>
      <w:r>
        <w:t>Iqbhal</w:t>
      </w:r>
      <w:proofErr w:type="spellEnd"/>
      <w:r>
        <w:t xml:space="preserve"> – 1.1 to 1.2 factor of safety </w:t>
      </w:r>
    </w:p>
    <w:p w:rsidR="00862B6F" w:rsidRDefault="00862B6F" w:rsidP="00862B6F">
      <w:pPr>
        <w:ind w:left="360"/>
      </w:pPr>
      <w:r>
        <w:rPr>
          <w:rFonts w:eastAsia="Times New Roman"/>
        </w:rPr>
        <w:t xml:space="preserve">Ray Lui observed the buoyancy test and is not arguing the uplift. Notes the potential problem is the </w:t>
      </w:r>
      <w:r>
        <w:rPr>
          <w:rFonts w:eastAsia="Times New Roman"/>
          <w:b/>
          <w:bCs/>
        </w:rPr>
        <w:t>transition</w:t>
      </w:r>
      <w:r>
        <w:rPr>
          <w:rFonts w:eastAsia="Times New Roman"/>
        </w:rPr>
        <w:t xml:space="preserve"> zones, where there is not as much weight but the same buoyancy forces. </w:t>
      </w:r>
      <w:r>
        <w:t>Scott provided transition calculations that h</w:t>
      </w:r>
      <w:r>
        <w:rPr>
          <w:rFonts w:eastAsia="Times New Roman"/>
        </w:rPr>
        <w:t xml:space="preserve">ave a factor of safety of 1.3. Ray glanced at that and needs to dive into that </w:t>
      </w:r>
      <w:proofErr w:type="gramStart"/>
      <w:r>
        <w:rPr>
          <w:rFonts w:eastAsia="Times New Roman"/>
        </w:rPr>
        <w:t>analysis</w:t>
      </w:r>
      <w:proofErr w:type="gramEnd"/>
      <w:r>
        <w:rPr>
          <w:rFonts w:eastAsia="Times New Roman"/>
        </w:rPr>
        <w:t xml:space="preserve"> b</w:t>
      </w:r>
      <w:r>
        <w:t xml:space="preserve">ut he is concerned that 50 </w:t>
      </w:r>
      <w:proofErr w:type="spellStart"/>
      <w:r>
        <w:t>pcf</w:t>
      </w:r>
      <w:proofErr w:type="spellEnd"/>
      <w:r>
        <w:t xml:space="preserve"> (saturated </w:t>
      </w:r>
      <w:proofErr w:type="spellStart"/>
      <w:r>
        <w:t>desnisty</w:t>
      </w:r>
      <w:proofErr w:type="spellEnd"/>
      <w:r>
        <w:t>) is the right number.</w:t>
      </w:r>
    </w:p>
    <w:p w:rsidR="00862B6F" w:rsidRPr="00FC0361" w:rsidRDefault="00862B6F" w:rsidP="00862B6F">
      <w:pPr>
        <w:ind w:left="360"/>
        <w:rPr>
          <w:b/>
          <w:bCs/>
          <w:u w:val="single"/>
        </w:rPr>
      </w:pPr>
      <w:r w:rsidRPr="00FC0361">
        <w:rPr>
          <w:b/>
          <w:bCs/>
          <w:u w:val="single"/>
        </w:rPr>
        <w:t xml:space="preserve">TAP needs to opine that 50 is the right number </w:t>
      </w:r>
    </w:p>
    <w:p w:rsidR="00862B6F" w:rsidRPr="0042263A" w:rsidRDefault="00862B6F" w:rsidP="00862B6F">
      <w:pPr>
        <w:ind w:left="360"/>
        <w:rPr>
          <w:rFonts w:eastAsia="Times New Roman"/>
        </w:rPr>
      </w:pPr>
      <w:r w:rsidRPr="0042263A">
        <w:rPr>
          <w:rFonts w:eastAsia="Times New Roman"/>
        </w:rPr>
        <w:t>Pilot data was seemingly all over the place – And saturation data ranged from 30 to 68</w:t>
      </w:r>
    </w:p>
    <w:p w:rsidR="00862B6F" w:rsidRDefault="00862B6F" w:rsidP="00862B6F">
      <w:pPr>
        <w:ind w:left="360"/>
      </w:pPr>
      <w:r>
        <w:lastRenderedPageBreak/>
        <w:t>Stan Peters (TAP member) states the saturated densities were higher than target and tend to be higher in small placements when dialing in and tweaking the initial product. Can control the density very well even though foam voids are variable. Stan e</w:t>
      </w:r>
      <w:r>
        <w:rPr>
          <w:rFonts w:eastAsia="Times New Roman"/>
        </w:rPr>
        <w:t xml:space="preserve">xplains why permeability differs from field testing compared with laboratory testing, saturated density as well. Scott has higher confidence in the laboratory results. </w:t>
      </w:r>
      <w:r>
        <w:t xml:space="preserve"> </w:t>
      </w:r>
    </w:p>
    <w:p w:rsidR="00862B6F" w:rsidRDefault="00862B6F" w:rsidP="00862B6F">
      <w:pPr>
        <w:ind w:left="360"/>
        <w:rPr>
          <w:rFonts w:eastAsia="Times New Roman"/>
        </w:rPr>
      </w:pPr>
      <w:r>
        <w:t xml:space="preserve">Kit reviewing </w:t>
      </w:r>
      <w:r>
        <w:rPr>
          <w:rFonts w:eastAsia="Times New Roman"/>
        </w:rPr>
        <w:t xml:space="preserve">NCHRP report 529 notes is a standard for geofoam and may </w:t>
      </w:r>
      <w:r w:rsidRPr="002610DE">
        <w:rPr>
          <w:rFonts w:eastAsia="Times New Roman"/>
        </w:rPr>
        <w:t xml:space="preserve">not </w:t>
      </w:r>
      <w:r>
        <w:rPr>
          <w:rFonts w:eastAsia="Times New Roman"/>
        </w:rPr>
        <w:t xml:space="preserve">be </w:t>
      </w:r>
      <w:r w:rsidRPr="002610DE">
        <w:rPr>
          <w:rFonts w:eastAsia="Times New Roman"/>
        </w:rPr>
        <w:t>appropriate for LCC</w:t>
      </w:r>
      <w:r>
        <w:rPr>
          <w:rFonts w:eastAsia="Times New Roman"/>
        </w:rPr>
        <w:t xml:space="preserve">. </w:t>
      </w:r>
      <w:r>
        <w:t xml:space="preserve">Steve Bartlett notes that factor of safety is for geofoam but disagrees that a different factor of safety should be used. Steve notes a </w:t>
      </w:r>
      <w:r>
        <w:rPr>
          <w:rFonts w:eastAsia="Times New Roman"/>
        </w:rPr>
        <w:t>1.2 factor of safety for buoyancy has become the standard. Kit asks even though LCC is not as consistent?</w:t>
      </w:r>
    </w:p>
    <w:p w:rsidR="00862B6F" w:rsidRDefault="00862B6F" w:rsidP="00862B6F">
      <w:pPr>
        <w:ind w:left="360"/>
      </w:pPr>
      <w:r w:rsidRPr="00AA7DB3">
        <w:rPr>
          <w:rFonts w:eastAsia="Times New Roman"/>
        </w:rPr>
        <w:t>Steve disagrees that you should change factor of safety based on material</w:t>
      </w:r>
      <w:r>
        <w:rPr>
          <w:rFonts w:eastAsia="Times New Roman"/>
        </w:rPr>
        <w:t xml:space="preserve">. </w:t>
      </w:r>
      <w:r>
        <w:t>Kit found Bartlett paper noting 1.3 Factor of safety. Bartlett notes that the factor of safety is different because of design event, not because of a difference in the material type. Bartlett continues to stand by his opinion.</w:t>
      </w:r>
    </w:p>
    <w:p w:rsidR="00862B6F" w:rsidRPr="00AA7DB3" w:rsidRDefault="00862B6F" w:rsidP="00862B6F">
      <w:pPr>
        <w:ind w:left="360"/>
        <w:rPr>
          <w:b/>
          <w:bCs/>
        </w:rPr>
      </w:pPr>
      <w:r>
        <w:t xml:space="preserve">Scott has calculations to show something helpful about the factor of safety. Scott has calculations in the Supplemental Recommendations 12 Feb 2020 that described the calculation of the 50 </w:t>
      </w:r>
      <w:proofErr w:type="spellStart"/>
      <w:r>
        <w:t>pcf</w:t>
      </w:r>
      <w:proofErr w:type="spellEnd"/>
      <w:r>
        <w:t xml:space="preserve"> and the 68 </w:t>
      </w:r>
      <w:proofErr w:type="spellStart"/>
      <w:r>
        <w:t>pcf</w:t>
      </w:r>
      <w:proofErr w:type="spellEnd"/>
      <w:r>
        <w:t xml:space="preserve"> and that they used 50 </w:t>
      </w:r>
      <w:proofErr w:type="spellStart"/>
      <w:r>
        <w:t>pcf</w:t>
      </w:r>
      <w:proofErr w:type="spellEnd"/>
      <w:r>
        <w:t xml:space="preserve"> taken from the Pilot project test data.</w:t>
      </w:r>
    </w:p>
    <w:p w:rsidR="00862B6F" w:rsidRPr="00AA7DB3" w:rsidRDefault="00862B6F" w:rsidP="00862B6F">
      <w:pPr>
        <w:ind w:left="360"/>
        <w:rPr>
          <w:b/>
          <w:bCs/>
          <w:u w:val="single"/>
        </w:rPr>
      </w:pPr>
      <w:r w:rsidRPr="00AA7DB3">
        <w:rPr>
          <w:b/>
          <w:bCs/>
          <w:u w:val="single"/>
        </w:rPr>
        <w:t xml:space="preserve">What is the rationale or how did they come up with the 50? </w:t>
      </w:r>
    </w:p>
    <w:p w:rsidR="00862B6F" w:rsidRPr="00AA7DB3" w:rsidRDefault="00862B6F" w:rsidP="00862B6F">
      <w:pPr>
        <w:ind w:left="360"/>
        <w:rPr>
          <w:b/>
          <w:bCs/>
          <w:u w:val="single"/>
        </w:rPr>
      </w:pPr>
      <w:r w:rsidRPr="00AA7DB3">
        <w:rPr>
          <w:b/>
          <w:bCs/>
          <w:u w:val="single"/>
        </w:rPr>
        <w:t xml:space="preserve">Same question for the 68? </w:t>
      </w:r>
      <w:r>
        <w:rPr>
          <w:b/>
          <w:bCs/>
          <w:u w:val="single"/>
        </w:rPr>
        <w:t>Show the calculations from the excel tables</w:t>
      </w:r>
    </w:p>
    <w:p w:rsidR="00862B6F" w:rsidRPr="002C3901" w:rsidRDefault="00862B6F" w:rsidP="00862B6F">
      <w:pPr>
        <w:ind w:left="360"/>
        <w:rPr>
          <w:rFonts w:eastAsia="Times New Roman"/>
          <w:b/>
          <w:bCs/>
        </w:rPr>
      </w:pPr>
      <w:r w:rsidRPr="002C3901">
        <w:rPr>
          <w:rFonts w:eastAsia="Times New Roman"/>
        </w:rPr>
        <w:t>Suzanne notes</w:t>
      </w:r>
      <w:r>
        <w:rPr>
          <w:rFonts w:eastAsia="Times New Roman"/>
        </w:rPr>
        <w:t xml:space="preserve"> t</w:t>
      </w:r>
      <w:r w:rsidRPr="002C3901">
        <w:rPr>
          <w:rFonts w:eastAsia="Times New Roman"/>
        </w:rPr>
        <w:t>hey continue to be concerned about the factor of safety</w:t>
      </w:r>
      <w:r>
        <w:rPr>
          <w:rFonts w:eastAsia="Times New Roman"/>
        </w:rPr>
        <w:t>.</w:t>
      </w:r>
      <w:r w:rsidRPr="002C3901">
        <w:rPr>
          <w:rFonts w:eastAsia="Times New Roman"/>
        </w:rPr>
        <w:t xml:space="preserve"> </w:t>
      </w:r>
    </w:p>
    <w:p w:rsidR="00862B6F" w:rsidRDefault="00862B6F" w:rsidP="00862B6F">
      <w:pPr>
        <w:pStyle w:val="ListParagraph"/>
        <w:ind w:left="360" w:hanging="360"/>
        <w:rPr>
          <w:b/>
          <w:bCs/>
        </w:rPr>
      </w:pPr>
    </w:p>
    <w:p w:rsidR="00862B6F" w:rsidRDefault="00862B6F" w:rsidP="00862B6F">
      <w:pPr>
        <w:pStyle w:val="ListParagraph"/>
        <w:numPr>
          <w:ilvl w:val="0"/>
          <w:numId w:val="1"/>
        </w:numPr>
        <w:ind w:left="360"/>
        <w:rPr>
          <w:rFonts w:eastAsia="Times New Roman"/>
        </w:rPr>
      </w:pPr>
      <w:r>
        <w:rPr>
          <w:rFonts w:eastAsia="Times New Roman"/>
        </w:rPr>
        <w:t>Settlement Issue (comment nos. 7 and 31)</w:t>
      </w:r>
    </w:p>
    <w:p w:rsidR="00862B6F" w:rsidRDefault="00862B6F" w:rsidP="00862B6F">
      <w:pPr>
        <w:ind w:left="360"/>
        <w:rPr>
          <w:rFonts w:eastAsia="Times New Roman"/>
        </w:rPr>
      </w:pPr>
      <w:r w:rsidRPr="00006C29">
        <w:rPr>
          <w:rFonts w:eastAsia="Times New Roman"/>
        </w:rPr>
        <w:t xml:space="preserve">Scott states the October </w:t>
      </w:r>
      <w:r>
        <w:rPr>
          <w:rFonts w:eastAsia="Times New Roman"/>
        </w:rPr>
        <w:t xml:space="preserve">2019 </w:t>
      </w:r>
      <w:r w:rsidRPr="00006C29">
        <w:rPr>
          <w:rFonts w:eastAsia="Times New Roman"/>
        </w:rPr>
        <w:t xml:space="preserve">geotechnical report recommends 1.5 inches of heave and 1.5 inches of settlement over the life </w:t>
      </w:r>
      <w:r>
        <w:rPr>
          <w:rFonts w:eastAsia="Times New Roman"/>
        </w:rPr>
        <w:t xml:space="preserve">project wide </w:t>
      </w:r>
      <w:r w:rsidRPr="00006C29">
        <w:rPr>
          <w:rFonts w:eastAsia="Times New Roman"/>
        </w:rPr>
        <w:t xml:space="preserve">(see page 21). </w:t>
      </w:r>
      <w:r>
        <w:rPr>
          <w:rFonts w:eastAsia="Times New Roman"/>
        </w:rPr>
        <w:t>This is needed due to unloading of the Bay Mud due to long term raising of groundwater will result in buoyant forces and rebound swell. In neighboring areas of Mission Bay, one would expect to see in excess of 1 inch of heave.</w:t>
      </w:r>
    </w:p>
    <w:p w:rsidR="00862B6F" w:rsidRPr="00006C29" w:rsidRDefault="00862B6F" w:rsidP="00862B6F">
      <w:pPr>
        <w:ind w:left="360"/>
        <w:rPr>
          <w:rFonts w:eastAsia="Times New Roman"/>
        </w:rPr>
      </w:pPr>
      <w:r>
        <w:rPr>
          <w:rFonts w:eastAsia="Times New Roman"/>
        </w:rPr>
        <w:t xml:space="preserve">Settlement is highly variable. They </w:t>
      </w:r>
      <w:proofErr w:type="gramStart"/>
      <w:r>
        <w:rPr>
          <w:rFonts w:eastAsia="Times New Roman"/>
        </w:rPr>
        <w:t>don’t</w:t>
      </w:r>
      <w:proofErr w:type="gramEnd"/>
      <w:r>
        <w:rPr>
          <w:rFonts w:eastAsia="Times New Roman"/>
        </w:rPr>
        <w:t xml:space="preserve"> expect much settlement but believe 1.5 inches is prudent. James </w:t>
      </w:r>
      <w:proofErr w:type="spellStart"/>
      <w:r>
        <w:rPr>
          <w:rFonts w:eastAsia="Times New Roman"/>
        </w:rPr>
        <w:t>Dallosta</w:t>
      </w:r>
      <w:proofErr w:type="spellEnd"/>
      <w:r>
        <w:rPr>
          <w:rFonts w:eastAsia="Times New Roman"/>
        </w:rPr>
        <w:t xml:space="preserve"> has allowed for 1.5” over 75 feet per the </w:t>
      </w:r>
      <w:proofErr w:type="spellStart"/>
      <w:r>
        <w:rPr>
          <w:rFonts w:eastAsia="Times New Roman"/>
        </w:rPr>
        <w:t>Langan</w:t>
      </w:r>
      <w:proofErr w:type="spellEnd"/>
      <w:r>
        <w:rPr>
          <w:rFonts w:eastAsia="Times New Roman"/>
        </w:rPr>
        <w:t xml:space="preserve"> recommendations. Pipelines are lower and deeper to account for this recommendation. BKF has included considerations for heave and settlement in the design and </w:t>
      </w:r>
      <w:r w:rsidRPr="00006C29">
        <w:rPr>
          <w:rFonts w:eastAsia="Times New Roman"/>
        </w:rPr>
        <w:t>can be accommodated through the gravity flows placement and the flexible connect</w:t>
      </w:r>
      <w:r>
        <w:rPr>
          <w:rFonts w:eastAsia="Times New Roman"/>
        </w:rPr>
        <w:t>ions.</w:t>
      </w:r>
    </w:p>
    <w:p w:rsidR="00862B6F" w:rsidRPr="00A238C0" w:rsidRDefault="00862B6F" w:rsidP="00862B6F">
      <w:pPr>
        <w:ind w:left="360"/>
        <w:rPr>
          <w:rFonts w:eastAsia="Times New Roman"/>
        </w:rPr>
      </w:pPr>
      <w:proofErr w:type="spellStart"/>
      <w:r>
        <w:rPr>
          <w:rFonts w:eastAsia="Times New Roman"/>
        </w:rPr>
        <w:t>Iqbhal</w:t>
      </w:r>
      <w:proofErr w:type="spellEnd"/>
      <w:r>
        <w:rPr>
          <w:rFonts w:eastAsia="Times New Roman"/>
        </w:rPr>
        <w:t xml:space="preserve"> asked if t</w:t>
      </w:r>
      <w:r w:rsidRPr="00292743">
        <w:rPr>
          <w:rFonts w:eastAsia="Times New Roman"/>
        </w:rPr>
        <w:t>here is net unloading? Scott confirmed</w:t>
      </w:r>
      <w:r>
        <w:rPr>
          <w:rFonts w:eastAsia="Times New Roman"/>
        </w:rPr>
        <w:t xml:space="preserve"> yes</w:t>
      </w:r>
      <w:r w:rsidRPr="00292743">
        <w:rPr>
          <w:rFonts w:eastAsia="Times New Roman"/>
        </w:rPr>
        <w:t xml:space="preserve">. </w:t>
      </w:r>
      <w:r w:rsidRPr="00A238C0">
        <w:rPr>
          <w:rFonts w:eastAsia="Times New Roman"/>
        </w:rPr>
        <w:t>And settlement between buildings and streets could be 1.5”</w:t>
      </w:r>
      <w:r>
        <w:rPr>
          <w:rFonts w:eastAsia="Times New Roman"/>
        </w:rPr>
        <w:t xml:space="preserve"> up or down</w:t>
      </w:r>
      <w:r w:rsidRPr="00A238C0">
        <w:rPr>
          <w:rFonts w:eastAsia="Times New Roman"/>
        </w:rPr>
        <w:t>? Scott confirmed</w:t>
      </w:r>
      <w:r>
        <w:rPr>
          <w:rFonts w:eastAsia="Times New Roman"/>
        </w:rPr>
        <w:t xml:space="preserve"> yes</w:t>
      </w:r>
      <w:r w:rsidRPr="00A238C0">
        <w:rPr>
          <w:rFonts w:eastAsia="Times New Roman"/>
        </w:rPr>
        <w:t>.</w:t>
      </w:r>
      <w:r>
        <w:rPr>
          <w:rFonts w:eastAsia="Times New Roman"/>
        </w:rPr>
        <w:t xml:space="preserve"> </w:t>
      </w:r>
      <w:r w:rsidRPr="00A238C0">
        <w:rPr>
          <w:rFonts w:eastAsia="Times New Roman"/>
        </w:rPr>
        <w:t xml:space="preserve">Then will adjustment occur on the private side of ROW? Steve </w:t>
      </w:r>
      <w:r>
        <w:rPr>
          <w:rFonts w:eastAsia="Times New Roman"/>
        </w:rPr>
        <w:t xml:space="preserve">Minden (MRP) </w:t>
      </w:r>
      <w:r w:rsidRPr="00A238C0">
        <w:rPr>
          <w:rFonts w:eastAsia="Times New Roman"/>
        </w:rPr>
        <w:t>confirmed</w:t>
      </w:r>
      <w:r>
        <w:rPr>
          <w:rFonts w:eastAsia="Times New Roman"/>
        </w:rPr>
        <w:t xml:space="preserve"> true</w:t>
      </w:r>
      <w:r w:rsidRPr="00A238C0">
        <w:rPr>
          <w:rFonts w:eastAsia="Times New Roman"/>
        </w:rPr>
        <w:t>, the architects on private buildings will provide 4-6 feet vestibule which could be adjusted by changing the slope or will adjust some other way inside the building</w:t>
      </w:r>
      <w:r>
        <w:rPr>
          <w:rFonts w:eastAsia="Times New Roman"/>
        </w:rPr>
        <w:t>.</w:t>
      </w:r>
      <w:r w:rsidRPr="00A238C0">
        <w:rPr>
          <w:rFonts w:eastAsia="Times New Roman"/>
        </w:rPr>
        <w:t xml:space="preserve"> </w:t>
      </w:r>
    </w:p>
    <w:p w:rsidR="00862B6F" w:rsidRPr="00A238C0" w:rsidRDefault="00862B6F" w:rsidP="00862B6F">
      <w:pPr>
        <w:ind w:left="360"/>
        <w:rPr>
          <w:rFonts w:eastAsia="Times New Roman"/>
        </w:rPr>
      </w:pPr>
      <w:proofErr w:type="spellStart"/>
      <w:r>
        <w:rPr>
          <w:rFonts w:eastAsia="Times New Roman"/>
        </w:rPr>
        <w:t>Iqbhal</w:t>
      </w:r>
      <w:proofErr w:type="spellEnd"/>
      <w:r>
        <w:rPr>
          <w:rFonts w:eastAsia="Times New Roman"/>
        </w:rPr>
        <w:t xml:space="preserve"> asked if crosswalks would potentially have accessibility c</w:t>
      </w:r>
      <w:r w:rsidRPr="00A238C0">
        <w:rPr>
          <w:rFonts w:eastAsia="Times New Roman"/>
        </w:rPr>
        <w:t>oncern</w:t>
      </w:r>
      <w:r>
        <w:rPr>
          <w:rFonts w:eastAsia="Times New Roman"/>
        </w:rPr>
        <w:t xml:space="preserve">s. Streets have ACWS. Without knowing where heave occurs, the maintenance strategy may be </w:t>
      </w:r>
      <w:proofErr w:type="gramStart"/>
      <w:r>
        <w:rPr>
          <w:rFonts w:eastAsia="Times New Roman"/>
        </w:rPr>
        <w:t>grind</w:t>
      </w:r>
      <w:proofErr w:type="gramEnd"/>
      <w:r>
        <w:rPr>
          <w:rFonts w:eastAsia="Times New Roman"/>
        </w:rPr>
        <w:t xml:space="preserve"> and overlay to adjust. Julian Pancoast (MRP) stated the City’s Jurisdictional MOU has the Port responsible for repairs to sidewalks – the Port would contract this out to the Master HOA. Street corners are excluded along with</w:t>
      </w:r>
      <w:r w:rsidRPr="00A238C0">
        <w:rPr>
          <w:rFonts w:eastAsia="Times New Roman"/>
        </w:rPr>
        <w:t xml:space="preserve"> </w:t>
      </w:r>
      <w:r>
        <w:rPr>
          <w:rFonts w:eastAsia="Times New Roman"/>
        </w:rPr>
        <w:t xml:space="preserve">curb </w:t>
      </w:r>
      <w:r w:rsidRPr="00A238C0">
        <w:rPr>
          <w:rFonts w:eastAsia="Times New Roman"/>
        </w:rPr>
        <w:t>ramps</w:t>
      </w:r>
      <w:r>
        <w:rPr>
          <w:rFonts w:eastAsia="Times New Roman"/>
        </w:rPr>
        <w:t>.</w:t>
      </w:r>
      <w:r w:rsidRPr="00A238C0">
        <w:rPr>
          <w:rFonts w:eastAsia="Times New Roman"/>
        </w:rPr>
        <w:t xml:space="preserve"> </w:t>
      </w:r>
    </w:p>
    <w:p w:rsidR="00862B6F" w:rsidRPr="003907CE" w:rsidRDefault="00862B6F" w:rsidP="00862B6F">
      <w:pPr>
        <w:ind w:left="360"/>
        <w:rPr>
          <w:rFonts w:eastAsia="Times New Roman"/>
        </w:rPr>
      </w:pPr>
      <w:r w:rsidRPr="00A238C0">
        <w:rPr>
          <w:rFonts w:eastAsia="Times New Roman"/>
        </w:rPr>
        <w:lastRenderedPageBreak/>
        <w:t>Derek</w:t>
      </w:r>
      <w:r>
        <w:rPr>
          <w:rFonts w:eastAsia="Times New Roman"/>
        </w:rPr>
        <w:t xml:space="preserve"> Adams (SFPUC) states their </w:t>
      </w:r>
      <w:r w:rsidRPr="00A238C0">
        <w:rPr>
          <w:rFonts w:eastAsia="Times New Roman"/>
        </w:rPr>
        <w:t>project</w:t>
      </w:r>
      <w:r>
        <w:rPr>
          <w:rFonts w:eastAsia="Times New Roman"/>
        </w:rPr>
        <w:t>s</w:t>
      </w:r>
      <w:r w:rsidRPr="00A238C0">
        <w:rPr>
          <w:rFonts w:eastAsia="Times New Roman"/>
        </w:rPr>
        <w:t xml:space="preserve"> have a </w:t>
      </w:r>
      <w:proofErr w:type="gramStart"/>
      <w:r w:rsidRPr="00A238C0">
        <w:rPr>
          <w:rFonts w:eastAsia="Times New Roman"/>
        </w:rPr>
        <w:t>0.5 inch</w:t>
      </w:r>
      <w:proofErr w:type="gramEnd"/>
      <w:r w:rsidRPr="00A238C0">
        <w:rPr>
          <w:rFonts w:eastAsia="Times New Roman"/>
        </w:rPr>
        <w:t xml:space="preserve"> settlement</w:t>
      </w:r>
      <w:r>
        <w:rPr>
          <w:rFonts w:eastAsia="Times New Roman"/>
        </w:rPr>
        <w:t xml:space="preserve"> criteria to ensure pipes operate through sagging and keep from breaking. Derek asked if </w:t>
      </w:r>
      <w:proofErr w:type="gramStart"/>
      <w:r>
        <w:rPr>
          <w:rFonts w:eastAsia="Times New Roman"/>
        </w:rPr>
        <w:t>0.5 inch</w:t>
      </w:r>
      <w:proofErr w:type="gramEnd"/>
      <w:r>
        <w:rPr>
          <w:rFonts w:eastAsia="Times New Roman"/>
        </w:rPr>
        <w:t xml:space="preserve"> localized differential settlement is achievable? Steve Bartlett says the practice to calculate differential settlement is to take global settlement of 1.5 inches and divide by 2 to get 0.75 inches. It is hard to know where this type of settlement may occur. </w:t>
      </w:r>
      <w:r w:rsidRPr="003907CE">
        <w:rPr>
          <w:rFonts w:eastAsia="Times New Roman"/>
        </w:rPr>
        <w:t>Scott notes that this project is not like an off the shelf project</w:t>
      </w:r>
      <w:r>
        <w:rPr>
          <w:rFonts w:eastAsia="Times New Roman"/>
        </w:rPr>
        <w:t>.</w:t>
      </w:r>
    </w:p>
    <w:p w:rsidR="00862B6F" w:rsidRDefault="00862B6F" w:rsidP="00862B6F">
      <w:pPr>
        <w:ind w:left="360"/>
      </w:pPr>
      <w:r>
        <w:t xml:space="preserve">Derek asked whether the resiliency built into the project applies to the only the slope of the pipe or helps with things like damage to manholes. Derek notes that he thinks if there was a damaged pipe then MRP would just state that the damage was due to lack of maintenance. Need follow up settlement monitoring program so that if there is settlement and then there is damage there is a way to trigger warranty. Derek would like </w:t>
      </w:r>
      <w:proofErr w:type="gramStart"/>
      <w:r>
        <w:t>0.5 inch</w:t>
      </w:r>
      <w:proofErr w:type="gramEnd"/>
      <w:r>
        <w:t xml:space="preserve"> differential settlement to be the 10 year warranty standard. Not as concerned with localized ponding. This amount is considered damage to the system. Scott asked what is the length over 0.5 inches? </w:t>
      </w:r>
    </w:p>
    <w:p w:rsidR="00862B6F" w:rsidRDefault="00862B6F" w:rsidP="00862B6F">
      <w:pPr>
        <w:ind w:left="360"/>
      </w:pPr>
      <w:r w:rsidRPr="00856F82">
        <w:rPr>
          <w:rFonts w:eastAsia="Times New Roman"/>
        </w:rPr>
        <w:t xml:space="preserve">Suzanne inquired about the calculations for differential settlement – Scott says that there is </w:t>
      </w:r>
      <w:proofErr w:type="spellStart"/>
      <w:r w:rsidRPr="00856F82">
        <w:rPr>
          <w:rFonts w:eastAsia="Times New Roman"/>
        </w:rPr>
        <w:t>not</w:t>
      </w:r>
      <w:proofErr w:type="spellEnd"/>
      <w:r w:rsidRPr="00856F82">
        <w:rPr>
          <w:rFonts w:eastAsia="Times New Roman"/>
        </w:rPr>
        <w:t xml:space="preserve"> way to calculate the 1.5 inches. Suzanne says that her breath was taken away by that statement. Lori notes that there is a calculation in one report showing </w:t>
      </w:r>
      <w:proofErr w:type="gramStart"/>
      <w:r w:rsidRPr="00856F82">
        <w:rPr>
          <w:rFonts w:eastAsia="Times New Roman"/>
        </w:rPr>
        <w:t>1 inch</w:t>
      </w:r>
      <w:proofErr w:type="gramEnd"/>
      <w:r w:rsidRPr="00856F82">
        <w:rPr>
          <w:rFonts w:eastAsia="Times New Roman"/>
        </w:rPr>
        <w:t xml:space="preserve"> settlement. </w:t>
      </w:r>
      <w:r>
        <w:t>Lori Simpson and Scott came up with a 1.5 number due to unknowns and variability. They cannot predict the sub surface conditions every 20 feet Lori notes that disturbing the upper Bay Mud layer needs to be accounted for since the fill layer varies in thickness and composition. Most of the uncertainty is due to SLR stresses. In the event of 10 years of SLR, Lori recommend that the design accounts for differential settlement.</w:t>
      </w:r>
    </w:p>
    <w:p w:rsidR="00862B6F" w:rsidRDefault="00862B6F" w:rsidP="00862B6F">
      <w:pPr>
        <w:ind w:left="360"/>
      </w:pPr>
      <w:r w:rsidRPr="00856F82">
        <w:rPr>
          <w:rFonts w:eastAsia="Times New Roman"/>
        </w:rPr>
        <w:t xml:space="preserve">Julian says that MRP proposed </w:t>
      </w:r>
      <w:r>
        <w:rPr>
          <w:rFonts w:eastAsia="Times New Roman"/>
        </w:rPr>
        <w:t>“</w:t>
      </w:r>
      <w:r w:rsidRPr="00856F82">
        <w:rPr>
          <w:rFonts w:eastAsia="Times New Roman"/>
        </w:rPr>
        <w:t>fail</w:t>
      </w:r>
      <w:r>
        <w:rPr>
          <w:rFonts w:eastAsia="Times New Roman"/>
        </w:rPr>
        <w:t>ure</w:t>
      </w:r>
      <w:r w:rsidRPr="00856F82">
        <w:rPr>
          <w:rFonts w:eastAsia="Times New Roman"/>
        </w:rPr>
        <w:t xml:space="preserve"> </w:t>
      </w:r>
      <w:r>
        <w:rPr>
          <w:rFonts w:eastAsia="Times New Roman"/>
        </w:rPr>
        <w:t>criteria” as</w:t>
      </w:r>
      <w:r w:rsidRPr="00856F82">
        <w:rPr>
          <w:rFonts w:eastAsia="Times New Roman"/>
        </w:rPr>
        <w:t xml:space="preserve"> damage to pipes as </w:t>
      </w:r>
      <w:r>
        <w:rPr>
          <w:rFonts w:eastAsia="Times New Roman"/>
        </w:rPr>
        <w:t xml:space="preserve">the </w:t>
      </w:r>
      <w:r w:rsidRPr="00856F82">
        <w:rPr>
          <w:rFonts w:eastAsia="Times New Roman"/>
        </w:rPr>
        <w:t>criteria</w:t>
      </w:r>
      <w:r>
        <w:rPr>
          <w:rFonts w:eastAsia="Times New Roman"/>
        </w:rPr>
        <w:t xml:space="preserve">. </w:t>
      </w:r>
      <w:r>
        <w:t xml:space="preserve">They do not prefer a settlement figure but would go with 1.5” for the life of the project if they had to select a measurable figure. </w:t>
      </w:r>
    </w:p>
    <w:p w:rsidR="00862B6F" w:rsidRDefault="00862B6F" w:rsidP="00862B6F">
      <w:pPr>
        <w:ind w:left="360"/>
      </w:pPr>
      <w:r w:rsidRPr="00856F82">
        <w:rPr>
          <w:rFonts w:eastAsia="Times New Roman"/>
        </w:rPr>
        <w:t xml:space="preserve">Derek </w:t>
      </w:r>
      <w:r>
        <w:rPr>
          <w:rFonts w:eastAsia="Times New Roman"/>
        </w:rPr>
        <w:t xml:space="preserve">stated </w:t>
      </w:r>
      <w:r w:rsidRPr="00856F82">
        <w:rPr>
          <w:rFonts w:eastAsia="Times New Roman"/>
        </w:rPr>
        <w:t>1.5” is not a great number for 10 years</w:t>
      </w:r>
      <w:r>
        <w:rPr>
          <w:rFonts w:eastAsia="Times New Roman"/>
        </w:rPr>
        <w:t>. There is a</w:t>
      </w:r>
      <w:r>
        <w:t xml:space="preserve">greement that 1.5 is not predicted for 10 years. Scott has calculated less than 0.5 inches for the heave within the </w:t>
      </w:r>
      <w:proofErr w:type="gramStart"/>
      <w:r>
        <w:t>10 year</w:t>
      </w:r>
      <w:proofErr w:type="gramEnd"/>
      <w:r>
        <w:t xml:space="preserve"> window. SFPUC remains concerned about these criteria </w:t>
      </w:r>
    </w:p>
    <w:p w:rsidR="00862B6F" w:rsidRPr="00856F82" w:rsidRDefault="00862B6F" w:rsidP="00862B6F">
      <w:pPr>
        <w:ind w:left="360" w:hanging="360"/>
        <w:rPr>
          <w:rFonts w:eastAsia="Times New Roman"/>
        </w:rPr>
      </w:pPr>
    </w:p>
    <w:p w:rsidR="00862B6F" w:rsidRDefault="00862B6F" w:rsidP="00862B6F">
      <w:pPr>
        <w:pStyle w:val="ListParagraph"/>
        <w:numPr>
          <w:ilvl w:val="0"/>
          <w:numId w:val="1"/>
        </w:numPr>
        <w:ind w:left="360"/>
        <w:rPr>
          <w:rFonts w:eastAsia="Times New Roman"/>
        </w:rPr>
      </w:pPr>
      <w:r>
        <w:rPr>
          <w:rFonts w:eastAsia="Times New Roman"/>
        </w:rPr>
        <w:t xml:space="preserve">Next Steps </w:t>
      </w:r>
    </w:p>
    <w:p w:rsidR="00862B6F" w:rsidRDefault="00862B6F" w:rsidP="00862B6F">
      <w:pPr>
        <w:pStyle w:val="ListParagraph"/>
        <w:numPr>
          <w:ilvl w:val="1"/>
          <w:numId w:val="1"/>
        </w:numPr>
        <w:ind w:left="360"/>
        <w:rPr>
          <w:rFonts w:eastAsia="Times New Roman"/>
        </w:rPr>
      </w:pPr>
      <w:r>
        <w:rPr>
          <w:rFonts w:eastAsia="Times New Roman"/>
        </w:rPr>
        <w:t xml:space="preserve">TAP responses coming – Working towards next Tues for submittal </w:t>
      </w:r>
    </w:p>
    <w:p w:rsidR="00862B6F" w:rsidRDefault="00862B6F" w:rsidP="00862B6F">
      <w:pPr>
        <w:pStyle w:val="ListParagraph"/>
        <w:numPr>
          <w:ilvl w:val="1"/>
          <w:numId w:val="1"/>
        </w:numPr>
        <w:ind w:left="360"/>
        <w:rPr>
          <w:rFonts w:eastAsia="Times New Roman"/>
        </w:rPr>
      </w:pPr>
      <w:r>
        <w:rPr>
          <w:rFonts w:eastAsia="Times New Roman"/>
        </w:rPr>
        <w:t xml:space="preserve">City internal discussion on factor of safety and settlement </w:t>
      </w:r>
    </w:p>
    <w:p w:rsidR="00730414" w:rsidRDefault="00730414"/>
    <w:sectPr w:rsidR="0073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87449"/>
    <w:multiLevelType w:val="hybridMultilevel"/>
    <w:tmpl w:val="68423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6F"/>
    <w:rsid w:val="007260A3"/>
    <w:rsid w:val="00730414"/>
    <w:rsid w:val="0086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455C"/>
  <w15:chartTrackingRefBased/>
  <w15:docId w15:val="{1B90D75F-9615-4E0E-8801-CFAF2050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6F"/>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BFF856CA7A4F4CBB79AC633C50D32A" ma:contentTypeVersion="17" ma:contentTypeDescription="Create a new document." ma:contentTypeScope="" ma:versionID="f6210ca17a8175eb6970b30c3f7f61e0">
  <xsd:schema xmlns:xsd="http://www.w3.org/2001/XMLSchema" xmlns:xs="http://www.w3.org/2001/XMLSchema" xmlns:p="http://schemas.microsoft.com/office/2006/metadata/properties" xmlns:ns2="6506af08-3ee4-41e8-8fae-6e3c64df843e" xmlns:ns3="ea441208-d648-4563-908c-0eca2506a693" targetNamespace="http://schemas.microsoft.com/office/2006/metadata/properties" ma:root="true" ma:fieldsID="2fd25ccab9842fb9031cdbda695a184c" ns2:_="" ns3:_="">
    <xsd:import namespace="6506af08-3ee4-41e8-8fae-6e3c64df843e"/>
    <xsd:import namespace="ea441208-d648-4563-908c-0eca2506a69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Location" minOccurs="0"/>
                <xsd:element ref="ns3:MediaServiceOCR" minOccurs="0"/>
                <xsd:element ref="ns3:Descrip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6af08-3ee4-41e8-8fae-6e3c64df84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c1a0b2b-25fe-4159-bf3e-226af44dfc54}" ma:internalName="TaxCatchAll" ma:showField="CatchAllData" ma:web="6506af08-3ee4-41e8-8fae-6e3c64df843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a441208-d648-4563-908c-0eca2506a69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Description" ma:index="17" nillable="true" ma:displayName="Description" ma:format="Dropdown" ma:internalName="Description">
      <xsd:simpleType>
        <xsd:restriction base="dms:Text">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b278eec-cad9-4ec1-bf87-f68f02c44eb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506af08-3ee4-41e8-8fae-6e3c64df843e" xsi:nil="true"/>
    <lcf76f155ced4ddcb4097134ff3c332f xmlns="ea441208-d648-4563-908c-0eca2506a693">
      <Terms xmlns="http://schemas.microsoft.com/office/infopath/2007/PartnerControls"/>
    </lcf76f155ced4ddcb4097134ff3c332f>
    <SharedWithUsers xmlns="6506af08-3ee4-41e8-8fae-6e3c64df843e">
      <UserInfo>
        <DisplayName/>
        <AccountId xsi:nil="true"/>
        <AccountType/>
      </UserInfo>
    </SharedWithUsers>
    <Description xmlns="ea441208-d648-4563-908c-0eca2506a693" xsi:nil="true"/>
  </documentManagement>
</p:properties>
</file>

<file path=customXml/itemProps1.xml><?xml version="1.0" encoding="utf-8"?>
<ds:datastoreItem xmlns:ds="http://schemas.openxmlformats.org/officeDocument/2006/customXml" ds:itemID="{BA44A166-B28A-40B6-9D63-F3DF2D9FC5C6}"/>
</file>

<file path=customXml/itemProps2.xml><?xml version="1.0" encoding="utf-8"?>
<ds:datastoreItem xmlns:ds="http://schemas.openxmlformats.org/officeDocument/2006/customXml" ds:itemID="{5E9D4D20-581C-4979-A478-E682142D6DD9}"/>
</file>

<file path=customXml/itemProps3.xml><?xml version="1.0" encoding="utf-8"?>
<ds:datastoreItem xmlns:ds="http://schemas.openxmlformats.org/officeDocument/2006/customXml" ds:itemID="{3FAC345F-B912-4F31-A498-C773F58DCBA7}"/>
</file>

<file path=docProps/app.xml><?xml version="1.0" encoding="utf-8"?>
<Properties xmlns="http://schemas.openxmlformats.org/officeDocument/2006/extended-properties" xmlns:vt="http://schemas.openxmlformats.org/officeDocument/2006/docPropsVTypes">
  <Template>Normal</Template>
  <TotalTime>1</TotalTime>
  <Pages>3</Pages>
  <Words>1273</Words>
  <Characters>7258</Characters>
  <Application>Microsoft Office Word</Application>
  <DocSecurity>0</DocSecurity>
  <Lines>60</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Masuda, Kevin (PRT)</dc:creator>
  <cp:keywords/>
  <dc:description/>
  <cp:lastModifiedBy>Masuda, Kevin (PRT)</cp:lastModifiedBy>
  <cp:revision>1</cp:revision>
  <dcterms:created xsi:type="dcterms:W3CDTF">2020-04-28T15:59:00Z</dcterms:created>
  <dcterms:modified xsi:type="dcterms:W3CDTF">2020-04-28T16:00:00Z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0x010100CBBFF856CA7A4F4CBB79AC633C50D32A</vt:lpwstr>
  </property>
  <property fmtid="{D5CDD505-2E9C-101B-9397-08002B2CF9AE}" pid="3" name="MediaServiceImageTags">
    <vt:lpwstr/>
  </property>
  <property fmtid="{D5CDD505-2E9C-101B-9397-08002B2CF9AE}" pid="4" name="Order">
    <vt:r8>9600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City Response">
    <vt:lpwstr>NET</vt:lpwstr>
  </property>
  <property fmtid="{D5CDD505-2E9C-101B-9397-08002B2CF9AE}" pid="12" name="_ExtendedDescription">
    <vt:lpwstr/>
  </property>
  <property fmtid="{D5CDD505-2E9C-101B-9397-08002B2CF9AE}" pid="13" name="TriggerFlowInfo">
    <vt:lpwstr/>
  </property>
</Properties>
</file>