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378" w:rsidP="00CB22CF" w:rsidRDefault="009847FD" w14:paraId="5E4DFBA7" w14:textId="77777777">
      <w:pPr>
        <w:jc w:val="both"/>
      </w:pPr>
      <w:r>
        <w:t>A formal engineering design review process requires that the Engineer of Record (EOR)</w:t>
      </w:r>
      <w:r w:rsidRPr="009847FD">
        <w:rPr>
          <w:vertAlign w:val="superscript"/>
        </w:rPr>
        <w:t>1</w:t>
      </w:r>
      <w:r>
        <w:t xml:space="preserve"> demonstrates that the basis of design (BOD)</w:t>
      </w:r>
      <w:r w:rsidRPr="009847FD">
        <w:rPr>
          <w:vertAlign w:val="superscript"/>
        </w:rPr>
        <w:t>2</w:t>
      </w:r>
      <w:r>
        <w:t xml:space="preserve"> meets the standard of engineering practice</w:t>
      </w:r>
      <w:r w:rsidRPr="009847FD">
        <w:rPr>
          <w:vertAlign w:val="superscript"/>
        </w:rPr>
        <w:t>3</w:t>
      </w:r>
      <w:r>
        <w:t xml:space="preserve">. </w:t>
      </w:r>
    </w:p>
    <w:p w:rsidR="00661378" w:rsidP="00661378" w:rsidRDefault="009847FD" w14:paraId="6C0D693F" w14:textId="6D57D9DE">
      <w:pPr>
        <w:pStyle w:val="ListParagraph"/>
        <w:numPr>
          <w:ilvl w:val="0"/>
          <w:numId w:val="1"/>
        </w:numPr>
        <w:jc w:val="both"/>
      </w:pPr>
      <w:r>
        <w:t>Specifically, t</w:t>
      </w:r>
      <w:r w:rsidR="00CB22CF">
        <w:t>he technical advisory panel (TAP) in its scope of work was requested to “</w:t>
      </w:r>
      <w:r>
        <w:t>e</w:t>
      </w:r>
      <w:r w:rsidR="00CB22CF">
        <w:t xml:space="preserve">valuate the technical viability, performance, safety, maintainability and operability of light-weight cellular concrete (LCC) and the integrated improvements, as specifically proposed for the Mission Rock Project.” </w:t>
      </w:r>
    </w:p>
    <w:p w:rsidR="000719EA" w:rsidP="00661378" w:rsidRDefault="00CB22CF" w14:paraId="115213E5" w14:textId="77777777">
      <w:pPr>
        <w:pStyle w:val="ListParagraph"/>
        <w:numPr>
          <w:ilvl w:val="0"/>
          <w:numId w:val="1"/>
        </w:numPr>
        <w:jc w:val="both"/>
      </w:pPr>
      <w:r>
        <w:t>The TAP was required to make “recommendations to the City on whether the proposed design is reasonable, equivalent to alternative designs, and safe given the site conditions.</w:t>
      </w:r>
      <w:r w:rsidR="009847FD">
        <w:t xml:space="preserve">” In terms of the BOD, </w:t>
      </w:r>
    </w:p>
    <w:p w:rsidR="000719EA" w:rsidP="000719EA" w:rsidRDefault="009847FD" w14:paraId="4360E926" w14:textId="77777777">
      <w:pPr>
        <w:pStyle w:val="ListParagraph"/>
        <w:numPr>
          <w:ilvl w:val="1"/>
          <w:numId w:val="1"/>
        </w:numPr>
        <w:jc w:val="both"/>
      </w:pPr>
      <w:r>
        <w:t xml:space="preserve">“reasonable” design is one that meets the standard of engineering practice. </w:t>
      </w:r>
    </w:p>
    <w:p w:rsidR="000719EA" w:rsidP="000719EA" w:rsidRDefault="009847FD" w14:paraId="523FD945" w14:textId="77777777">
      <w:pPr>
        <w:pStyle w:val="ListParagraph"/>
        <w:numPr>
          <w:ilvl w:val="1"/>
          <w:numId w:val="1"/>
        </w:numPr>
        <w:jc w:val="both"/>
      </w:pPr>
      <w:r>
        <w:t>Likewise, an</w:t>
      </w:r>
      <w:r w:rsidR="000719EA">
        <w:t xml:space="preserve"> </w:t>
      </w:r>
      <w:r>
        <w:t xml:space="preserve">“equivalent” design is one that provides equivalent or similar performance when compared to other alternatives. </w:t>
      </w:r>
    </w:p>
    <w:p w:rsidR="00CB22CF" w:rsidP="000719EA" w:rsidRDefault="009847FD" w14:paraId="6DE2FA77" w14:textId="22B9F02E">
      <w:pPr>
        <w:pStyle w:val="ListParagraph"/>
        <w:numPr>
          <w:ilvl w:val="1"/>
          <w:numId w:val="1"/>
        </w:numPr>
        <w:jc w:val="both"/>
      </w:pPr>
      <w:r>
        <w:t xml:space="preserve">Lastly, “safe” design is one that demonstrates that the BOD meets the required factors of safety or performance goals as embodied in the standard of engineering practice. </w:t>
      </w:r>
    </w:p>
    <w:p w:rsidR="009847FD" w:rsidP="009847FD" w:rsidRDefault="009847FD" w14:paraId="37AFAA0E" w14:textId="5DAAAEBA">
      <w:pPr>
        <w:jc w:val="both"/>
      </w:pPr>
      <w:r w:rsidR="009847FD">
        <w:rPr/>
        <w:t xml:space="preserve">In summary, </w:t>
      </w:r>
      <w:r w:rsidR="0000025E">
        <w:rPr/>
        <w:t xml:space="preserve">the </w:t>
      </w:r>
      <w:r w:rsidR="009847FD">
        <w:rPr/>
        <w:t>TA</w:t>
      </w:r>
      <w:r w:rsidR="0000025E">
        <w:rPr/>
        <w:t>P must</w:t>
      </w:r>
      <w:r w:rsidR="009847FD">
        <w:rPr/>
        <w:t xml:space="preserve"> determine that EOR (</w:t>
      </w:r>
      <w:proofErr w:type="spellStart"/>
      <w:r w:rsidR="009847FD">
        <w:rPr/>
        <w:t>Langan</w:t>
      </w:r>
      <w:proofErr w:type="spellEnd"/>
      <w:r w:rsidR="009847FD">
        <w:rPr/>
        <w:t xml:space="preserve">) has adequately demonstrated and supported the BOD by its evaluations, calculations, and field and laboratory test programs. Further, the BOD </w:t>
      </w:r>
      <w:r w:rsidR="0000025E">
        <w:rPr/>
        <w:t>must be found to be</w:t>
      </w:r>
      <w:r w:rsidR="009847FD">
        <w:rPr/>
        <w:t xml:space="preserve"> sufficiently communicated via design and construction documents to the TAP. </w:t>
      </w:r>
      <w:r w:rsidR="0000025E">
        <w:rPr/>
        <w:t xml:space="preserve">Only after these findings are made, </w:t>
      </w:r>
      <w:r w:rsidR="0000025E">
        <w:rPr/>
        <w:t>will the</w:t>
      </w:r>
      <w:r w:rsidR="009847FD">
        <w:rPr/>
        <w:t xml:space="preserve"> TAP</w:t>
      </w:r>
      <w:r w:rsidR="0000025E">
        <w:rPr/>
        <w:t xml:space="preserve"> </w:t>
      </w:r>
      <w:r w:rsidR="0000025E">
        <w:rPr/>
        <w:t xml:space="preserve">provide an </w:t>
      </w:r>
      <w:r w:rsidR="009847FD">
        <w:rPr/>
        <w:t xml:space="preserve">opinion </w:t>
      </w:r>
      <w:r w:rsidR="0000025E">
        <w:rPr/>
        <w:t xml:space="preserve">as to </w:t>
      </w:r>
      <w:r w:rsidR="009847FD">
        <w:rPr/>
        <w:t xml:space="preserve">the LCC alternative </w:t>
      </w:r>
      <w:r w:rsidR="0000025E">
        <w:rPr/>
        <w:t xml:space="preserve">being </w:t>
      </w:r>
      <w:r w:rsidR="009847FD">
        <w:rPr/>
        <w:t xml:space="preserve">reasonable, equivalent, and a safe alternative for use as engineered fill, backfill </w:t>
      </w:r>
      <w:r w:rsidR="009847FD">
        <w:rPr/>
        <w:t xml:space="preserve">and </w:t>
      </w:r>
      <w:r w:rsidR="004342F9">
        <w:rPr/>
        <w:t xml:space="preserve">pavement subgrade </w:t>
      </w:r>
      <w:r w:rsidR="009847FD">
        <w:rPr/>
        <w:t xml:space="preserve">material for the Mission Rock Project. </w:t>
      </w:r>
      <w:r w:rsidR="0000025E">
        <w:rPr/>
        <w:t>Further opinion will be made as to</w:t>
      </w:r>
      <w:r w:rsidR="009847FD">
        <w:rPr/>
        <w:t xml:space="preserve"> the LCC be</w:t>
      </w:r>
      <w:r w:rsidR="0000025E">
        <w:rPr/>
        <w:t>ing</w:t>
      </w:r>
      <w:r w:rsidR="009847FD">
        <w:rPr/>
        <w:t xml:space="preserve"> functionally and safely integrated with the planned improvements, which are primarily subsurface public utilities planned for the project.</w:t>
      </w:r>
      <w:bookmarkStart w:name="_GoBack" w:id="0"/>
      <w:bookmarkEnd w:id="0"/>
    </w:p>
    <w:p w:rsidR="009847FD" w:rsidRDefault="009847FD" w14:paraId="67D32FF0" w14:textId="77777777">
      <w:pPr>
        <w:rPr>
          <w:vertAlign w:val="superscript"/>
        </w:rPr>
      </w:pPr>
    </w:p>
    <w:p w:rsidR="009847FD" w:rsidRDefault="009847FD" w14:paraId="2BE303A6" w14:textId="77777777">
      <w:pPr>
        <w:rPr>
          <w:vertAlign w:val="superscript"/>
        </w:rPr>
      </w:pPr>
    </w:p>
    <w:p w:rsidR="00CB22CF" w:rsidRDefault="009847FD" w14:paraId="3F0FBBA4" w14:textId="77777777">
      <w:pPr>
        <w:rPr>
          <w:sz w:val="16"/>
          <w:szCs w:val="16"/>
        </w:rPr>
      </w:pPr>
      <w:r w:rsidRPr="009847FD">
        <w:rPr>
          <w:vertAlign w:val="superscript"/>
        </w:rPr>
        <w:t xml:space="preserve">1 </w:t>
      </w:r>
      <w:hyperlink w:history="1" r:id="rId5">
        <w:r w:rsidRPr="009847FD">
          <w:rPr>
            <w:rStyle w:val="Hyperlink"/>
            <w:rFonts w:ascii="Segoe UI" w:hAnsi="Segoe UI" w:cs="Segoe UI"/>
            <w:b/>
            <w:bCs/>
            <w:color w:val="555555"/>
            <w:sz w:val="16"/>
            <w:szCs w:val="16"/>
          </w:rPr>
          <w:t>Engineer of Record</w:t>
        </w:r>
      </w:hyperlink>
      <w:r w:rsidRPr="009847FD"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> means a professional engineer who seals drawings, reports, or documents for a project. The seal shall acknowledge that the professional engineer prepared, coordinated, or had subordinates prepare under the direct supervision of the professional engineer, drawings, reports, or documents for a project.</w:t>
      </w:r>
      <w:r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 xml:space="preserve"> </w:t>
      </w:r>
      <w:r w:rsidRPr="009847FD">
        <w:rPr>
          <w:rFonts w:ascii="Segoe UI" w:hAnsi="Segoe UI" w:cs="Segoe UI"/>
          <w:color w:val="333333"/>
          <w:sz w:val="16"/>
          <w:szCs w:val="16"/>
          <w:shd w:val="clear" w:color="auto" w:fill="FFFFFF"/>
        </w:rPr>
        <w:t xml:space="preserve"> </w:t>
      </w:r>
      <w:hyperlink w:history="1" r:id="rId6">
        <w:r w:rsidRPr="009847FD">
          <w:rPr>
            <w:rStyle w:val="Hyperlink"/>
            <w:sz w:val="16"/>
            <w:szCs w:val="16"/>
          </w:rPr>
          <w:t>https://www.lawinsider.com/dictionary/engineer-of-record</w:t>
        </w:r>
      </w:hyperlink>
    </w:p>
    <w:p w:rsidR="009847FD" w:rsidP="009847FD" w:rsidRDefault="009847FD" w14:paraId="599E4F3B" w14:textId="77777777">
      <w:pPr>
        <w:rPr>
          <w:rFonts w:ascii="Segoe UI" w:hAnsi="Segoe UI" w:cs="Segoe UI"/>
          <w:sz w:val="16"/>
          <w:szCs w:val="16"/>
        </w:rPr>
      </w:pPr>
      <w:r w:rsidRPr="009847FD">
        <w:rPr>
          <w:rFonts w:cstheme="minorHAnsi"/>
          <w:vertAlign w:val="superscript"/>
        </w:rPr>
        <w:t>2</w:t>
      </w:r>
      <w:r w:rsidRPr="009847FD">
        <w:rPr>
          <w:rFonts w:ascii="Segoe UI" w:hAnsi="Segoe UI" w:cs="Segoe UI"/>
          <w:sz w:val="16"/>
          <w:szCs w:val="16"/>
        </w:rPr>
        <w:t xml:space="preserve"> </w:t>
      </w:r>
      <w:r w:rsidRPr="009847FD">
        <w:rPr>
          <w:rFonts w:ascii="Segoe UI" w:hAnsi="Segoe UI" w:cs="Segoe UI"/>
          <w:b/>
          <w:sz w:val="16"/>
          <w:szCs w:val="16"/>
          <w:u w:val="single"/>
        </w:rPr>
        <w:t>Basis of Design</w:t>
      </w:r>
      <w:r>
        <w:rPr>
          <w:rFonts w:ascii="Segoe UI" w:hAnsi="Segoe UI" w:cs="Segoe UI"/>
          <w:sz w:val="16"/>
          <w:szCs w:val="16"/>
        </w:rPr>
        <w:t xml:space="preserve"> constitutes the performance goals, design criteria, and other requirements,</w:t>
      </w:r>
      <w:r w:rsidRPr="009847FD">
        <w:rPr>
          <w:rFonts w:ascii="Segoe UI" w:hAnsi="Segoe UI" w:cs="Segoe UI"/>
          <w:sz w:val="16"/>
          <w:szCs w:val="16"/>
        </w:rPr>
        <w:t xml:space="preserve"> considerations, components, features</w:t>
      </w:r>
      <w:r>
        <w:rPr>
          <w:rFonts w:ascii="Segoe UI" w:hAnsi="Segoe UI" w:cs="Segoe UI"/>
          <w:sz w:val="16"/>
          <w:szCs w:val="16"/>
        </w:rPr>
        <w:t xml:space="preserve">, and primary assumptions </w:t>
      </w:r>
      <w:r w:rsidRPr="009847FD">
        <w:rPr>
          <w:rFonts w:ascii="Segoe UI" w:hAnsi="Segoe UI" w:cs="Segoe UI"/>
          <w:sz w:val="16"/>
          <w:szCs w:val="16"/>
        </w:rPr>
        <w:t xml:space="preserve">evaluated by the </w:t>
      </w:r>
      <w:r>
        <w:rPr>
          <w:rFonts w:ascii="Segoe UI" w:hAnsi="Segoe UI" w:cs="Segoe UI"/>
          <w:sz w:val="16"/>
          <w:szCs w:val="16"/>
        </w:rPr>
        <w:t>Engineer of Record to implement the</w:t>
      </w:r>
      <w:r w:rsidRPr="009847FD">
        <w:rPr>
          <w:rFonts w:ascii="Segoe UI" w:hAnsi="Segoe UI" w:cs="Segoe UI"/>
          <w:sz w:val="16"/>
          <w:szCs w:val="16"/>
        </w:rPr>
        <w:t xml:space="preserve"> design</w:t>
      </w:r>
      <w:r>
        <w:rPr>
          <w:rFonts w:ascii="Segoe UI" w:hAnsi="Segoe UI" w:cs="Segoe UI"/>
          <w:sz w:val="16"/>
          <w:szCs w:val="16"/>
        </w:rPr>
        <w:t xml:space="preserve"> and construction of the engineered feature or work</w:t>
      </w:r>
      <w:r w:rsidRPr="009847FD">
        <w:rPr>
          <w:rFonts w:ascii="Segoe UI" w:hAnsi="Segoe UI" w:cs="Segoe UI"/>
          <w:sz w:val="16"/>
          <w:szCs w:val="16"/>
        </w:rPr>
        <w:t xml:space="preserve">. </w:t>
      </w:r>
      <w:r>
        <w:rPr>
          <w:rFonts w:ascii="Segoe UI" w:hAnsi="Segoe UI" w:cs="Segoe UI"/>
          <w:sz w:val="16"/>
          <w:szCs w:val="16"/>
        </w:rPr>
        <w:t>The basis of design</w:t>
      </w:r>
      <w:r w:rsidRPr="009847FD">
        <w:rPr>
          <w:rFonts w:ascii="Segoe UI" w:hAnsi="Segoe UI" w:cs="Segoe UI"/>
          <w:sz w:val="16"/>
          <w:szCs w:val="16"/>
        </w:rPr>
        <w:t xml:space="preserve"> must be communicated and documented</w:t>
      </w:r>
      <w:r>
        <w:rPr>
          <w:rFonts w:ascii="Segoe UI" w:hAnsi="Segoe UI" w:cs="Segoe UI"/>
          <w:sz w:val="16"/>
          <w:szCs w:val="16"/>
        </w:rPr>
        <w:t>,</w:t>
      </w:r>
      <w:r w:rsidRPr="009847FD">
        <w:rPr>
          <w:rFonts w:ascii="Segoe UI" w:hAnsi="Segoe UI" w:cs="Segoe UI"/>
          <w:sz w:val="16"/>
          <w:szCs w:val="16"/>
        </w:rPr>
        <w:t xml:space="preserve"> and its requirements presented </w:t>
      </w:r>
      <w:r>
        <w:rPr>
          <w:rFonts w:ascii="Segoe UI" w:hAnsi="Segoe UI" w:cs="Segoe UI"/>
          <w:sz w:val="16"/>
          <w:szCs w:val="16"/>
        </w:rPr>
        <w:t xml:space="preserve">in </w:t>
      </w:r>
      <w:r w:rsidRPr="009847FD">
        <w:rPr>
          <w:rFonts w:ascii="Segoe UI" w:hAnsi="Segoe UI" w:cs="Segoe UI"/>
          <w:sz w:val="16"/>
          <w:szCs w:val="16"/>
        </w:rPr>
        <w:t>construction documents via calculations, typical drawings, and details, specifications, special provisions, etc.</w:t>
      </w:r>
    </w:p>
    <w:p w:rsidR="009847FD" w:rsidP="009847FD" w:rsidRDefault="009847FD" w14:paraId="29525D4E" w14:textId="7B1A67B1">
      <w:pPr>
        <w:jc w:val="both"/>
      </w:pPr>
      <w:r w:rsidRPr="009847FD">
        <w:rPr>
          <w:vertAlign w:val="superscript"/>
        </w:rPr>
        <w:t>3</w:t>
      </w:r>
      <w:r>
        <w:rPr>
          <w:vertAlign w:val="superscript"/>
        </w:rPr>
        <w:t xml:space="preserve"> </w:t>
      </w:r>
      <w:r w:rsidRPr="009847FD">
        <w:rPr>
          <w:rFonts w:ascii="Segoe UI" w:hAnsi="Segoe UI" w:cs="Segoe UI"/>
          <w:b/>
          <w:sz w:val="16"/>
          <w:szCs w:val="16"/>
          <w:u w:val="single"/>
        </w:rPr>
        <w:t>Standard of practice</w:t>
      </w:r>
      <w:r>
        <w:t xml:space="preserve"> </w:t>
      </w:r>
      <w:r w:rsidRPr="009847FD">
        <w:rPr>
          <w:rFonts w:ascii="Segoe UI" w:hAnsi="Segoe UI" w:cs="Segoe UI"/>
          <w:sz w:val="16"/>
          <w:szCs w:val="16"/>
        </w:rPr>
        <w:t xml:space="preserve">in terms of code enforcement means that the engineer of record designs or makes calculations and specifications </w:t>
      </w:r>
      <w:r>
        <w:rPr>
          <w:rFonts w:ascii="Segoe UI" w:hAnsi="Segoe UI" w:cs="Segoe UI"/>
          <w:sz w:val="16"/>
          <w:szCs w:val="16"/>
        </w:rPr>
        <w:t>accord</w:t>
      </w:r>
      <w:r w:rsidR="004342F9">
        <w:rPr>
          <w:rFonts w:ascii="Segoe UI" w:hAnsi="Segoe UI" w:cs="Segoe UI"/>
          <w:sz w:val="16"/>
          <w:szCs w:val="16"/>
        </w:rPr>
        <w:t>ing</w:t>
      </w:r>
      <w:r>
        <w:rPr>
          <w:rFonts w:ascii="Segoe UI" w:hAnsi="Segoe UI" w:cs="Segoe UI"/>
          <w:sz w:val="16"/>
          <w:szCs w:val="16"/>
        </w:rPr>
        <w:t xml:space="preserve"> to </w:t>
      </w:r>
      <w:r w:rsidRPr="009847FD">
        <w:rPr>
          <w:rFonts w:ascii="Segoe UI" w:hAnsi="Segoe UI" w:cs="Segoe UI"/>
          <w:sz w:val="16"/>
          <w:szCs w:val="16"/>
        </w:rPr>
        <w:t>acceptable engineering</w:t>
      </w:r>
      <w:r>
        <w:rPr>
          <w:rFonts w:ascii="Segoe UI" w:hAnsi="Segoe UI" w:cs="Segoe UI"/>
          <w:sz w:val="16"/>
          <w:szCs w:val="16"/>
        </w:rPr>
        <w:t xml:space="preserve"> practice,</w:t>
      </w:r>
      <w:r w:rsidRPr="009847FD">
        <w:rPr>
          <w:rFonts w:ascii="Segoe UI" w:hAnsi="Segoe UI" w:cs="Segoe UI"/>
          <w:sz w:val="16"/>
          <w:szCs w:val="16"/>
        </w:rPr>
        <w:t xml:space="preserve"> standards or methods and does so with the stamp of a registered design professional as required by the law of the particular jurisdiction.</w:t>
      </w:r>
      <w:r>
        <w:t xml:space="preserve"> </w:t>
      </w:r>
    </w:p>
    <w:p w:rsidR="009847FD" w:rsidP="009847FD" w:rsidRDefault="009847FD" w14:paraId="57D24F21" w14:textId="77777777"/>
    <w:p w:rsidRPr="009847FD" w:rsidR="009847FD" w:rsidRDefault="009847FD" w14:paraId="3A327E01" w14:textId="77777777">
      <w:pPr>
        <w:rPr>
          <w:rFonts w:ascii="Segoe UI" w:hAnsi="Segoe UI" w:cs="Segoe UI"/>
          <w:sz w:val="16"/>
          <w:szCs w:val="16"/>
        </w:rPr>
      </w:pPr>
    </w:p>
    <w:sectPr w:rsidRPr="009847FD" w:rsidR="009847F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042AD"/>
    <w:multiLevelType w:val="hybridMultilevel"/>
    <w:tmpl w:val="E176FA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MTEyszQ1NbS0MLBU0lEKTi0uzszPAykwqgUAgynf9ywAAAA="/>
  </w:docVars>
  <w:rsids>
    <w:rsidRoot w:val="00CB22CF"/>
    <w:rsid w:val="0000025E"/>
    <w:rsid w:val="000719EA"/>
    <w:rsid w:val="004342F9"/>
    <w:rsid w:val="00587533"/>
    <w:rsid w:val="00661378"/>
    <w:rsid w:val="009847FD"/>
    <w:rsid w:val="00CB22CF"/>
    <w:rsid w:val="00F00510"/>
    <w:rsid w:val="707CC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1887"/>
  <w15:chartTrackingRefBased/>
  <w15:docId w15:val="{4FD9A6E6-D294-45D6-B5BA-D2AE6F23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22C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47F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47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137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137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342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lawinsider.com/dictionary/engineer-of-record" TargetMode="External" Id="rId6" /><Relationship Type="http://schemas.openxmlformats.org/officeDocument/2006/relationships/customXml" Target="../customXml/item3.xml" Id="rId11" /><Relationship Type="http://schemas.openxmlformats.org/officeDocument/2006/relationships/hyperlink" Target="https://www.lawinsider.com/dictionary/engineer-of-record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F856CA7A4F4CBB79AC633C50D32A" ma:contentTypeVersion="17" ma:contentTypeDescription="Create a new document." ma:contentTypeScope="" ma:versionID="f6210ca17a8175eb6970b30c3f7f61e0">
  <xsd:schema xmlns:xsd="http://www.w3.org/2001/XMLSchema" xmlns:xs="http://www.w3.org/2001/XMLSchema" xmlns:p="http://schemas.microsoft.com/office/2006/metadata/properties" xmlns:ns2="6506af08-3ee4-41e8-8fae-6e3c64df843e" xmlns:ns3="ea441208-d648-4563-908c-0eca2506a693" targetNamespace="http://schemas.microsoft.com/office/2006/metadata/properties" ma:root="true" ma:fieldsID="2fd25ccab9842fb9031cdbda695a184c" ns2:_="" ns3:_="">
    <xsd:import namespace="6506af08-3ee4-41e8-8fae-6e3c64df843e"/>
    <xsd:import namespace="ea441208-d648-4563-908c-0eca2506a6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Descrip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6af08-3ee4-41e8-8fae-6e3c64df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c1a0b2b-25fe-4159-bf3e-226af44dfc54}" ma:internalName="TaxCatchAll" ma:showField="CatchAllData" ma:web="6506af08-3ee4-41e8-8fae-6e3c64df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41208-d648-4563-908c-0eca2506a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7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b278eec-cad9-4ec1-bf87-f68f02c44eb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06af08-3ee4-41e8-8fae-6e3c64df843e" xsi:nil="true"/>
    <lcf76f155ced4ddcb4097134ff3c332f xmlns="ea441208-d648-4563-908c-0eca2506a693">
      <Terms xmlns="http://schemas.microsoft.com/office/infopath/2007/PartnerControls"/>
    </lcf76f155ced4ddcb4097134ff3c332f>
    <SharedWithUsers xmlns="6506af08-3ee4-41e8-8fae-6e3c64df843e">
      <UserInfo>
        <DisplayName/>
        <AccountId xsi:nil="true"/>
        <AccountType/>
      </UserInfo>
    </SharedWithUsers>
    <Description xmlns="ea441208-d648-4563-908c-0eca2506a693" xsi:nil="true"/>
  </documentManagement>
</p:properties>
</file>

<file path=customXml/itemProps1.xml><?xml version="1.0" encoding="utf-8"?>
<ds:datastoreItem xmlns:ds="http://schemas.openxmlformats.org/officeDocument/2006/customXml" ds:itemID="{4791CBA0-E018-42CF-B917-0BF45509EA43}"/>
</file>

<file path=customXml/itemProps2.xml><?xml version="1.0" encoding="utf-8"?>
<ds:datastoreItem xmlns:ds="http://schemas.openxmlformats.org/officeDocument/2006/customXml" ds:itemID="{7F74787B-7A62-46A0-8FB1-A0F904CF1A76}"/>
</file>

<file path=customXml/itemProps3.xml><?xml version="1.0" encoding="utf-8"?>
<ds:datastoreItem xmlns:ds="http://schemas.openxmlformats.org/officeDocument/2006/customXml" ds:itemID="{3DD423C3-6C44-435B-9034-D1DBAAF6F4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Bartlett</dc:creator>
  <cp:keywords/>
  <dc:description/>
  <cp:lastModifiedBy>Masuda, Kevin (PRT)</cp:lastModifiedBy>
  <cp:revision>3</cp:revision>
  <dcterms:created xsi:type="dcterms:W3CDTF">2020-04-09T21:13:00Z</dcterms:created>
  <dcterms:modified xsi:type="dcterms:W3CDTF">2020-04-16T21:49:36Z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0x010100CBBFF856CA7A4F4CBB79AC633C50D32A</vt:lpwstr>
  </property>
  <property fmtid="{D5CDD505-2E9C-101B-9397-08002B2CF9AE}" pid="3" name="MediaServiceImageTags">
    <vt:lpwstr/>
  </property>
  <property fmtid="{D5CDD505-2E9C-101B-9397-08002B2CF9AE}" pid="4" name="Order">
    <vt:r8>6800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City Response">
    <vt:lpwstr>NET</vt:lpwstr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