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C243" w14:textId="77777777" w:rsidR="0021244C" w:rsidRDefault="0021244C" w:rsidP="0021244C">
      <w:pPr>
        <w:pStyle w:val="Heading1"/>
        <w:jc w:val="center"/>
      </w:pPr>
      <w:r>
        <w:t>Perspectives on tariffs, international trade and consumer welfare</w:t>
      </w:r>
    </w:p>
    <w:p w14:paraId="72C33F3B" w14:textId="795E60D5" w:rsidR="0021244C" w:rsidRDefault="0021244C" w:rsidP="0021244C">
      <w:pPr>
        <w:jc w:val="center"/>
      </w:pPr>
      <w:r>
        <w:t>Prof. Bartholomew Armah (PhD)</w:t>
      </w:r>
    </w:p>
    <w:p w14:paraId="475DB1CB" w14:textId="77777777" w:rsidR="0021244C" w:rsidRPr="00B053A4" w:rsidRDefault="0021244C" w:rsidP="0021244C">
      <w:pPr>
        <w:spacing w:after="0" w:line="240" w:lineRule="auto"/>
        <w:jc w:val="center"/>
        <w:rPr>
          <w:b/>
          <w:bCs/>
        </w:rPr>
      </w:pPr>
      <w:r w:rsidRPr="00B053A4">
        <w:rPr>
          <w:b/>
          <w:bCs/>
        </w:rPr>
        <w:t>Former Chief of Development Planning United Nations Economic Commission for Africa</w:t>
      </w:r>
    </w:p>
    <w:p w14:paraId="707AA038" w14:textId="77777777" w:rsidR="0021244C" w:rsidRDefault="0021244C" w:rsidP="0021244C">
      <w:pPr>
        <w:spacing w:after="0" w:line="240" w:lineRule="auto"/>
        <w:jc w:val="center"/>
        <w:rPr>
          <w:b/>
          <w:bCs/>
        </w:rPr>
      </w:pPr>
      <w:r w:rsidRPr="00B053A4">
        <w:rPr>
          <w:b/>
          <w:bCs/>
        </w:rPr>
        <w:t>Senior Fellow, African Center for Economic Transformation (ACET, Ghana)</w:t>
      </w:r>
    </w:p>
    <w:p w14:paraId="08F3A5BB" w14:textId="3B5D1961" w:rsidR="00A26004" w:rsidRPr="00B053A4" w:rsidRDefault="00A26004" w:rsidP="0021244C">
      <w:pPr>
        <w:spacing w:after="0" w:line="240" w:lineRule="auto"/>
        <w:jc w:val="center"/>
        <w:rPr>
          <w:b/>
          <w:bCs/>
        </w:rPr>
      </w:pPr>
      <w:r>
        <w:rPr>
          <w:b/>
          <w:bCs/>
        </w:rPr>
        <w:t>Senior Economist</w:t>
      </w:r>
      <w:r w:rsidR="00BD3202">
        <w:rPr>
          <w:b/>
          <w:bCs/>
        </w:rPr>
        <w:t xml:space="preserve"> and Advisor to the CEO, AUDA-NEPAD</w:t>
      </w:r>
    </w:p>
    <w:p w14:paraId="248C2578" w14:textId="77777777" w:rsidR="00D10787" w:rsidRDefault="00D10787" w:rsidP="00D10787"/>
    <w:p w14:paraId="2476B3F2" w14:textId="68333DD6" w:rsidR="00BA272A" w:rsidRDefault="00014D7C" w:rsidP="00014D7C">
      <w:pPr>
        <w:jc w:val="both"/>
      </w:pPr>
      <w:r>
        <w:t xml:space="preserve">Trade wars involving the USA </w:t>
      </w:r>
      <w:r w:rsidR="00BA272A">
        <w:t>date as far back as</w:t>
      </w:r>
      <w:r w:rsidR="00BA272A" w:rsidRPr="00D10787">
        <w:t xml:space="preserve"> the Great Depression, </w:t>
      </w:r>
      <w:r w:rsidR="00BA272A">
        <w:t xml:space="preserve">when </w:t>
      </w:r>
      <w:r w:rsidR="00BA272A" w:rsidRPr="00D10787">
        <w:t>the US enacted the Smoot-Hawley Tariff</w:t>
      </w:r>
      <w:r w:rsidR="00BA272A">
        <w:t xml:space="preserve"> (1930)</w:t>
      </w:r>
      <w:r w:rsidR="00BA272A" w:rsidRPr="00D10787">
        <w:t>, raising import duties on hundreds of products. This led to retaliation from trading partners.</w:t>
      </w:r>
      <w:r w:rsidR="00BA272A">
        <w:t xml:space="preserve"> </w:t>
      </w:r>
      <w:r>
        <w:t xml:space="preserve"> </w:t>
      </w:r>
      <w:r w:rsidR="00D50061" w:rsidRPr="003F3028">
        <w:t xml:space="preserve">Over the course of 2018, the Trump </w:t>
      </w:r>
      <w:r w:rsidR="00452A74">
        <w:t>A</w:t>
      </w:r>
      <w:r w:rsidR="00D50061" w:rsidRPr="003F3028">
        <w:t>dministration</w:t>
      </w:r>
      <w:r w:rsidR="00452A74">
        <w:t xml:space="preserve"> </w:t>
      </w:r>
      <w:r w:rsidR="00D50061" w:rsidRPr="003F3028">
        <w:t>imposed import tariffs on approximately $283 billion of U.S. imports</w:t>
      </w:r>
      <w:r w:rsidR="00D46857">
        <w:t xml:space="preserve"> (12 percent of US imports)</w:t>
      </w:r>
      <w:r w:rsidR="00D50061" w:rsidRPr="003F3028">
        <w:t xml:space="preserve">, with rates ranging between 10% and 50%. </w:t>
      </w:r>
      <w:r w:rsidR="00BA272A">
        <w:t>Ostensibly motivated by</w:t>
      </w:r>
      <w:r w:rsidR="00D46857" w:rsidRPr="00D10787">
        <w:t xml:space="preserve"> national security concerns</w:t>
      </w:r>
      <w:r w:rsidR="007C1041">
        <w:t>,</w:t>
      </w:r>
      <w:r w:rsidR="00D46857">
        <w:t xml:space="preserve"> t</w:t>
      </w:r>
      <w:r w:rsidR="00452A74">
        <w:t>he sweeping tariff measures include</w:t>
      </w:r>
      <w:r w:rsidR="003523C4">
        <w:t>d</w:t>
      </w:r>
      <w:r w:rsidR="00452A74">
        <w:t xml:space="preserve"> </w:t>
      </w:r>
      <w:r w:rsidR="00452A74" w:rsidRPr="00D10787">
        <w:t>tariffs on steel and aluminum imports from the EU, Canada, and Mexico</w:t>
      </w:r>
      <w:r w:rsidR="003523C4">
        <w:t>.</w:t>
      </w:r>
      <w:r w:rsidR="00452A74">
        <w:t xml:space="preserve"> </w:t>
      </w:r>
    </w:p>
    <w:p w14:paraId="5C03A602" w14:textId="7EBFCF46" w:rsidR="003523C4" w:rsidRDefault="003523C4" w:rsidP="00014D7C">
      <w:pPr>
        <w:jc w:val="both"/>
      </w:pPr>
      <w:r>
        <w:t>S</w:t>
      </w:r>
      <w:r w:rsidR="00452A74">
        <w:t xml:space="preserve">imilar tariffs </w:t>
      </w:r>
      <w:r>
        <w:t xml:space="preserve">were imposed </w:t>
      </w:r>
      <w:r w:rsidR="00452A74">
        <w:t>on China targeting the agricultural sector, technology, manufacturing, consumer goods and chemical</w:t>
      </w:r>
      <w:r w:rsidR="007C1041">
        <w:t>s</w:t>
      </w:r>
      <w:r w:rsidR="00452A74">
        <w:t xml:space="preserve"> and plastics. </w:t>
      </w:r>
      <w:r w:rsidR="007C1041">
        <w:t xml:space="preserve">These measures triggered retaliatory responses including from China which levied </w:t>
      </w:r>
      <w:r w:rsidR="00D50061" w:rsidRPr="003F3028">
        <w:t>tariffs averaging 16%</w:t>
      </w:r>
      <w:r w:rsidR="007C1041">
        <w:t>,</w:t>
      </w:r>
      <w:r w:rsidR="00D50061" w:rsidRPr="003F3028">
        <w:t xml:space="preserve"> on approximately $11</w:t>
      </w:r>
      <w:r w:rsidR="00A45654">
        <w:t>3.3</w:t>
      </w:r>
      <w:r w:rsidR="00D50061" w:rsidRPr="003F3028">
        <w:t xml:space="preserve"> billion of U.S. exports</w:t>
      </w:r>
      <w:r w:rsidR="00A45654">
        <w:t xml:space="preserve"> of steel, aluminum, food and agricultural products</w:t>
      </w:r>
      <w:r w:rsidR="00452A74">
        <w:t xml:space="preserve">. </w:t>
      </w:r>
    </w:p>
    <w:p w14:paraId="4FD422E7" w14:textId="6752BC00" w:rsidR="00014D7C" w:rsidRDefault="00D80A9F" w:rsidP="00014D7C">
      <w:pPr>
        <w:jc w:val="both"/>
      </w:pPr>
      <w:r>
        <w:t xml:space="preserve">The outcomes of previous trade wars reveal that </w:t>
      </w:r>
      <w:r w:rsidR="009A6363">
        <w:t>o</w:t>
      </w:r>
      <w:r w:rsidR="009A6363" w:rsidRPr="00D10787">
        <w:t>verall,</w:t>
      </w:r>
      <w:r>
        <w:t xml:space="preserve"> they</w:t>
      </w:r>
      <w:r w:rsidRPr="00D10787">
        <w:t xml:space="preserve"> tend to increase costs for consumers and industries, disrupt global supply chains, and may slow economic growth. </w:t>
      </w:r>
      <w:r>
        <w:t>In effect</w:t>
      </w:r>
      <w:r w:rsidR="003523C4">
        <w:t>,</w:t>
      </w:r>
      <w:r>
        <w:t xml:space="preserve"> at least in the short to medium term, there are no winners in a trade war and consumers tend to be the biggest losers.</w:t>
      </w:r>
      <w:r w:rsidR="006413B1">
        <w:t xml:space="preserve"> Indeed, the evidence suggests that losses in foreign trade with countries that retaliate are </w:t>
      </w:r>
      <w:r w:rsidR="00F253E1" w:rsidRPr="00013920">
        <w:t>USD14.4 billion</w:t>
      </w:r>
      <w:r w:rsidR="006413B1">
        <w:t xml:space="preserve"> higher than the gains from trade with countries that do not retaliate</w:t>
      </w:r>
      <w:r w:rsidR="0021244C">
        <w:t xml:space="preserve"> (Carter A. and Steinbach S. </w:t>
      </w:r>
      <w:r w:rsidR="0021244C" w:rsidRPr="006413B1">
        <w:t>The Impact of Retaliatory Tariffs on Agricultural and Food Trade</w:t>
      </w:r>
      <w:r w:rsidR="0021244C">
        <w:t xml:space="preserve">, </w:t>
      </w:r>
      <w:r w:rsidR="0021244C" w:rsidRPr="006413B1">
        <w:t>NBER Working Paper No. 27147</w:t>
      </w:r>
      <w:r w:rsidR="0021244C">
        <w:t>. May 2020).</w:t>
      </w:r>
      <w:r w:rsidR="006413B1">
        <w:t xml:space="preserve"> </w:t>
      </w:r>
    </w:p>
    <w:p w14:paraId="15A4E710" w14:textId="77777777" w:rsidR="008B31FF" w:rsidRDefault="00584148" w:rsidP="00A45654">
      <w:pPr>
        <w:jc w:val="both"/>
      </w:pPr>
      <w:r>
        <w:t xml:space="preserve">There are at least three parties involved in a tariff war; importers or businesses located in the country imposing the tariff; exporters or businesses </w:t>
      </w:r>
      <w:r w:rsidR="00D80A9F">
        <w:t xml:space="preserve">or sectors </w:t>
      </w:r>
      <w:r>
        <w:t xml:space="preserve">whose commodities have been subjected to the tax; </w:t>
      </w:r>
      <w:r w:rsidR="00A45654">
        <w:t xml:space="preserve">and </w:t>
      </w:r>
      <w:r>
        <w:t>consumers in the importing country</w:t>
      </w:r>
      <w:r w:rsidR="00F86077">
        <w:t xml:space="preserve">. </w:t>
      </w:r>
      <w:r w:rsidR="00E445B4">
        <w:t>Tariffs are essentially a tax on imported goods and services</w:t>
      </w:r>
      <w:r w:rsidR="00D80A9F">
        <w:t>,</w:t>
      </w:r>
      <w:r w:rsidR="00E445B4">
        <w:t xml:space="preserve"> </w:t>
      </w:r>
      <w:r>
        <w:t xml:space="preserve">as a result, </w:t>
      </w:r>
      <w:r w:rsidR="00E445B4">
        <w:t>the immediate impact of the tariff is on importer</w:t>
      </w:r>
      <w:r w:rsidR="00BA272A">
        <w:t>s (i.e., businesses in the country initiating the tariff measure)</w:t>
      </w:r>
      <w:r w:rsidR="00E445B4">
        <w:t>.</w:t>
      </w:r>
      <w:r w:rsidR="00D80A9F">
        <w:t xml:space="preserve"> </w:t>
      </w:r>
      <w:r>
        <w:t xml:space="preserve">It </w:t>
      </w:r>
      <w:r w:rsidR="009A6363">
        <w:t>is,</w:t>
      </w:r>
      <w:r>
        <w:t xml:space="preserve"> however</w:t>
      </w:r>
      <w:r w:rsidR="00F86077">
        <w:t>,</w:t>
      </w:r>
      <w:r>
        <w:t xml:space="preserve"> possible that expo</w:t>
      </w:r>
      <w:r w:rsidR="00F86077">
        <w:t>rter</w:t>
      </w:r>
      <w:r w:rsidR="00BA272A">
        <w:t>s</w:t>
      </w:r>
      <w:r w:rsidR="00F86077">
        <w:t xml:space="preserve"> </w:t>
      </w:r>
      <w:r w:rsidR="00BA272A">
        <w:t>(</w:t>
      </w:r>
      <w:r w:rsidR="00A45654">
        <w:t xml:space="preserve">i.e., firms </w:t>
      </w:r>
      <w:r w:rsidR="00BA272A">
        <w:t xml:space="preserve">in the country targeted by the tariff) </w:t>
      </w:r>
      <w:r w:rsidR="00F86077">
        <w:t>could decide to offset</w:t>
      </w:r>
      <w:r w:rsidR="00CB209B">
        <w:t xml:space="preserve"> or absorb</w:t>
      </w:r>
      <w:r w:rsidR="00F86077">
        <w:t xml:space="preserve"> the tariff by reducing the price of their export</w:t>
      </w:r>
      <w:r w:rsidR="00014D7C">
        <w:t>s</w:t>
      </w:r>
      <w:r w:rsidR="00F86077">
        <w:t xml:space="preserve"> </w:t>
      </w:r>
      <w:r w:rsidR="009A6363">
        <w:t>to</w:t>
      </w:r>
      <w:r w:rsidR="00F86077">
        <w:t xml:space="preserve"> maintain market share. In this case</w:t>
      </w:r>
      <w:r w:rsidR="00A45654">
        <w:t>,</w:t>
      </w:r>
      <w:r w:rsidR="00F86077">
        <w:t xml:space="preserve"> the tariff would </w:t>
      </w:r>
      <w:r w:rsidR="00535E61">
        <w:t>be fully or partially offset depending on how much of it is absorbed by the exporter.</w:t>
      </w:r>
      <w:r w:rsidR="00F82569">
        <w:t xml:space="preserve"> </w:t>
      </w:r>
    </w:p>
    <w:p w14:paraId="3B0B2209" w14:textId="4C3E85EE" w:rsidR="00584148" w:rsidRDefault="00CB209B" w:rsidP="00A45654">
      <w:pPr>
        <w:jc w:val="both"/>
      </w:pPr>
      <w:r>
        <w:t xml:space="preserve">It is only in this </w:t>
      </w:r>
      <w:r w:rsidR="00A45654">
        <w:t>scenario</w:t>
      </w:r>
      <w:r>
        <w:t xml:space="preserve"> that the target country pays the tariff. </w:t>
      </w:r>
      <w:r w:rsidR="00F82569">
        <w:t>But this is rare</w:t>
      </w:r>
      <w:r w:rsidR="00F86077">
        <w:t>. An analysis of the 2018 US trade war reveals that exporters did not absorb the cost of the tariff.</w:t>
      </w:r>
      <w:r w:rsidR="00386CA8">
        <w:t xml:space="preserve"> Similarly, US exporter</w:t>
      </w:r>
      <w:r>
        <w:t>s</w:t>
      </w:r>
      <w:r w:rsidR="00386CA8">
        <w:t xml:space="preserve"> facing retaliatory measures from their Chinese counterparts did not lower their prices either.</w:t>
      </w:r>
      <w:r>
        <w:t xml:space="preserve"> </w:t>
      </w:r>
      <w:r w:rsidR="006413B1">
        <w:t>So,</w:t>
      </w:r>
      <w:r>
        <w:t xml:space="preserve"> in both cases, the burden of the tariff is on consumers in the tariff-originating country.</w:t>
      </w:r>
    </w:p>
    <w:p w14:paraId="748CA58E" w14:textId="77777777" w:rsidR="00684344" w:rsidRDefault="009A6363" w:rsidP="00542A50">
      <w:pPr>
        <w:jc w:val="both"/>
      </w:pPr>
      <w:r>
        <w:t>To the extent that the exporter’s price remains unchanged</w:t>
      </w:r>
      <w:r w:rsidR="00A45654">
        <w:t>,</w:t>
      </w:r>
      <w:r w:rsidR="00F86077">
        <w:t xml:space="preserve"> the US importer is faced with the choice of absorbing the cost of the tariff or passing </w:t>
      </w:r>
      <w:r w:rsidR="00542A50">
        <w:t xml:space="preserve">all or a portion of the cost to the consumer. </w:t>
      </w:r>
      <w:r w:rsidR="00E445B4">
        <w:t xml:space="preserve">Whether the </w:t>
      </w:r>
      <w:r w:rsidR="00584148">
        <w:t xml:space="preserve">importer absorbs the tax or passes it on to the consumer depends on </w:t>
      </w:r>
      <w:r w:rsidR="00A53C35">
        <w:t xml:space="preserve">how sensitive consumers are to price </w:t>
      </w:r>
      <w:r w:rsidR="00A53C35">
        <w:lastRenderedPageBreak/>
        <w:t>changes</w:t>
      </w:r>
      <w:r w:rsidR="00A45654">
        <w:t xml:space="preserve"> of the tariff-targeted product</w:t>
      </w:r>
      <w:r w:rsidR="00A53C35">
        <w:t>. This in turn depends on the ext</w:t>
      </w:r>
      <w:r w:rsidR="00542A50">
        <w:t xml:space="preserve">ent to which there are alternatives </w:t>
      </w:r>
      <w:r w:rsidR="00A53C35">
        <w:t xml:space="preserve">or substitutes </w:t>
      </w:r>
      <w:r w:rsidR="00542A50">
        <w:t>to the tariff-affected product and the mar</w:t>
      </w:r>
      <w:r w:rsidR="00386CA8">
        <w:t>kup</w:t>
      </w:r>
      <w:r w:rsidR="00542A50">
        <w:t xml:space="preserve"> enjoyed by the importer. </w:t>
      </w:r>
      <w:r w:rsidR="00A45654">
        <w:t>Producers with high mark-ups (i.e</w:t>
      </w:r>
      <w:r w:rsidR="00684344">
        <w:t>.</w:t>
      </w:r>
      <w:r w:rsidR="00A45654">
        <w:t xml:space="preserve">, margins) </w:t>
      </w:r>
      <w:r w:rsidR="00684344">
        <w:t xml:space="preserve">are more likely </w:t>
      </w:r>
      <w:r w:rsidR="00A45654">
        <w:t>to absorb the tariff costs than those with smaller mar</w:t>
      </w:r>
      <w:r w:rsidR="00684344">
        <w:t>k-</w:t>
      </w:r>
      <w:r w:rsidR="00A45654">
        <w:t xml:space="preserve">ups. </w:t>
      </w:r>
    </w:p>
    <w:p w14:paraId="6488ABF1" w14:textId="303ECEB4" w:rsidR="003523C4" w:rsidRDefault="00684344" w:rsidP="00542A50">
      <w:pPr>
        <w:jc w:val="both"/>
      </w:pPr>
      <w:r>
        <w:t xml:space="preserve">The evidence from </w:t>
      </w:r>
      <w:r w:rsidR="00542A50">
        <w:t>the 2018-2020 trade war</w:t>
      </w:r>
      <w:r>
        <w:t xml:space="preserve"> however suggests that</w:t>
      </w:r>
      <w:r w:rsidR="00D50061">
        <w:t xml:space="preserve"> </w:t>
      </w:r>
      <w:r w:rsidR="00D50061" w:rsidRPr="00D10787">
        <w:t>the tariffs were almost entirely passed on to American consumers</w:t>
      </w:r>
      <w:r>
        <w:t>, resulting in</w:t>
      </w:r>
      <w:r w:rsidR="00D50061" w:rsidRPr="00D10787">
        <w:t xml:space="preserve"> </w:t>
      </w:r>
      <w:r>
        <w:t>higher</w:t>
      </w:r>
      <w:r w:rsidR="00D50061" w:rsidRPr="00D10787">
        <w:t xml:space="preserve"> prices of goods</w:t>
      </w:r>
      <w:r w:rsidR="00D50061">
        <w:t xml:space="preserve"> and </w:t>
      </w:r>
      <w:r>
        <w:t>lower</w:t>
      </w:r>
      <w:r w:rsidR="00D50061" w:rsidRPr="003F3028">
        <w:t xml:space="preserve"> </w:t>
      </w:r>
      <w:r w:rsidR="00D50061">
        <w:t xml:space="preserve">total </w:t>
      </w:r>
      <w:r w:rsidR="00D50061" w:rsidRPr="003F3028">
        <w:t>U.S.</w:t>
      </w:r>
      <w:r w:rsidR="00D50061">
        <w:t xml:space="preserve"> household</w:t>
      </w:r>
      <w:r w:rsidR="00D50061" w:rsidRPr="003F3028">
        <w:t xml:space="preserve"> real income </w:t>
      </w:r>
      <w:r w:rsidR="00D50061">
        <w:t>by</w:t>
      </w:r>
      <w:r w:rsidR="00386CA8">
        <w:t xml:space="preserve"> an estimated </w:t>
      </w:r>
      <w:r w:rsidR="00D50061" w:rsidRPr="003F3028">
        <w:t>$1.4 billion per month by the end of 2018</w:t>
      </w:r>
      <w:r w:rsidR="00542A50">
        <w:t xml:space="preserve"> </w:t>
      </w:r>
      <w:r w:rsidR="00D50061">
        <w:t>(</w:t>
      </w:r>
      <w:r w:rsidR="00D50061" w:rsidRPr="00D10787">
        <w:t>Amiti, M., Redding, S. J., &amp; Weinstein, D. E. (2019)</w:t>
      </w:r>
      <w:r w:rsidR="00D50061">
        <w:t>)</w:t>
      </w:r>
      <w:r w:rsidR="00D50061" w:rsidRPr="00D10787">
        <w:t>.</w:t>
      </w:r>
      <w:r w:rsidR="009A6363">
        <w:t xml:space="preserve"> </w:t>
      </w:r>
    </w:p>
    <w:p w14:paraId="19AB75D6" w14:textId="51BCDDA3" w:rsidR="00E445B4" w:rsidRDefault="009A6363" w:rsidP="00BC7E30">
      <w:pPr>
        <w:jc w:val="both"/>
      </w:pPr>
      <w:r>
        <w:t xml:space="preserve">Beyond the initial price spike, tariffs can also result in sustained price increases by protecting </w:t>
      </w:r>
      <w:r w:rsidRPr="003F3028">
        <w:t xml:space="preserve">U.S. producers </w:t>
      </w:r>
      <w:r w:rsidRPr="003523C4">
        <w:t>from foreign competition and enabling them to raise prices and markups.</w:t>
      </w:r>
      <w:r w:rsidR="00386CA8">
        <w:t xml:space="preserve"> </w:t>
      </w:r>
      <w:r w:rsidR="00BC7E30">
        <w:t>For instance, in a sector in which a quarter of all domestic sales are by foreign firms, a ten percent tariff on finished products is associated with a 1.3 percent increase in domestic producer prices over 12 months</w:t>
      </w:r>
      <w:r w:rsidR="00684344">
        <w:t xml:space="preserve"> (</w:t>
      </w:r>
      <w:r w:rsidR="00684344" w:rsidRPr="00D10787">
        <w:t>Amiti, M., Redding, S. J., &amp; Weinstein, D. E.</w:t>
      </w:r>
      <w:r w:rsidR="00013920">
        <w:t>,</w:t>
      </w:r>
      <w:r w:rsidR="00684344" w:rsidRPr="00D10787">
        <w:t xml:space="preserve"> 2019</w:t>
      </w:r>
      <w:r w:rsidR="00684344">
        <w:t>)</w:t>
      </w:r>
      <w:r w:rsidR="00BC7E30">
        <w:t xml:space="preserve">. </w:t>
      </w:r>
      <w:r w:rsidR="00386CA8">
        <w:t xml:space="preserve">In effect, by creating barriers to external competition, tariffs can expose consumers to </w:t>
      </w:r>
      <w:r w:rsidR="00BC7E30">
        <w:t xml:space="preserve">higher prices by domestic </w:t>
      </w:r>
      <w:r w:rsidR="00386CA8">
        <w:t>producers.</w:t>
      </w:r>
    </w:p>
    <w:p w14:paraId="366ECF9D" w14:textId="2614F484" w:rsidR="008C1533" w:rsidRDefault="0025205F" w:rsidP="005757FF">
      <w:pPr>
        <w:jc w:val="both"/>
      </w:pPr>
      <w:r>
        <w:t>T</w:t>
      </w:r>
      <w:r w:rsidR="008C1533">
        <w:t xml:space="preserve">ariffs </w:t>
      </w:r>
      <w:r w:rsidR="00F64B65">
        <w:t xml:space="preserve">on imported inputs </w:t>
      </w:r>
      <w:r w:rsidR="00BC7E30">
        <w:t>such as</w:t>
      </w:r>
      <w:r w:rsidR="008C1533">
        <w:t xml:space="preserve"> steel </w:t>
      </w:r>
      <w:r w:rsidR="006413B1">
        <w:t xml:space="preserve">and </w:t>
      </w:r>
      <w:r w:rsidR="004E1076">
        <w:t>aluminum</w:t>
      </w:r>
      <w:r w:rsidR="006413B1">
        <w:t xml:space="preserve"> </w:t>
      </w:r>
      <w:r w:rsidR="00F64B65">
        <w:t xml:space="preserve">can also have an indirect </w:t>
      </w:r>
      <w:r w:rsidR="004E1076">
        <w:t>price-</w:t>
      </w:r>
      <w:r w:rsidR="00F64B65">
        <w:t>impact on consumers</w:t>
      </w:r>
      <w:r w:rsidR="00425520">
        <w:t>.</w:t>
      </w:r>
      <w:r w:rsidR="00340B05">
        <w:t xml:space="preserve"> </w:t>
      </w:r>
      <w:r w:rsidR="00690E7D">
        <w:t xml:space="preserve">It is estimated that for </w:t>
      </w:r>
      <w:r w:rsidR="005757FF">
        <w:t xml:space="preserve">the average firm that imports 15 percent of its </w:t>
      </w:r>
      <w:r w:rsidR="004E1076">
        <w:t>inputs</w:t>
      </w:r>
      <w:r w:rsidR="005757FF">
        <w:t>, a 10 percent higher input tariff causes it to raise its own prices by 2.7 percent. Overall, t</w:t>
      </w:r>
      <w:r w:rsidR="00340B05" w:rsidRPr="0027104D">
        <w:t xml:space="preserve">he </w:t>
      </w:r>
      <w:r w:rsidR="002B505C">
        <w:t xml:space="preserve">2018 </w:t>
      </w:r>
      <w:r w:rsidR="00340B05">
        <w:t>trade war,</w:t>
      </w:r>
      <w:r w:rsidR="00340B05" w:rsidRPr="0027104D">
        <w:t xml:space="preserve"> </w:t>
      </w:r>
      <w:r w:rsidR="00BC7E30">
        <w:t>increased</w:t>
      </w:r>
      <w:r w:rsidR="00340B05" w:rsidRPr="00BC7E30">
        <w:t xml:space="preserve"> the average price of U.S. manufactur</w:t>
      </w:r>
      <w:r w:rsidR="004E1076">
        <w:t xml:space="preserve">ed goods </w:t>
      </w:r>
      <w:r w:rsidR="00340B05" w:rsidRPr="00BC7E30">
        <w:t>by one percentage point</w:t>
      </w:r>
      <w:r w:rsidR="00340B05" w:rsidRPr="0027104D">
        <w:t xml:space="preserve">, which </w:t>
      </w:r>
      <w:r w:rsidR="002B505C">
        <w:t>is substantial considering that producer price inflation rose just over two percentage points over the 1990-2018 period.</w:t>
      </w:r>
    </w:p>
    <w:p w14:paraId="0E79D060" w14:textId="77777777" w:rsidR="00013920" w:rsidRDefault="003523C4" w:rsidP="00CB5137">
      <w:pPr>
        <w:jc w:val="both"/>
      </w:pPr>
      <w:r>
        <w:t xml:space="preserve">An underlying objective of </w:t>
      </w:r>
      <w:r w:rsidR="004E1076">
        <w:t>the</w:t>
      </w:r>
      <w:r>
        <w:t xml:space="preserve"> tariff measures </w:t>
      </w:r>
      <w:r w:rsidR="004E1076">
        <w:t xml:space="preserve">imposed by the USA, </w:t>
      </w:r>
      <w:r>
        <w:t xml:space="preserve">is to address the trade imbalance with key trading partners. </w:t>
      </w:r>
      <w:r w:rsidR="004E1076">
        <w:t>Higher tariffs are expected to curb imports demand relative to exports</w:t>
      </w:r>
      <w:r w:rsidR="00013920">
        <w:t>,</w:t>
      </w:r>
      <w:r w:rsidR="004E1076">
        <w:t xml:space="preserve"> thereby shrinking the trade deficit. Indeed, analysis</w:t>
      </w:r>
      <w:r w:rsidR="00AF5A18">
        <w:t xml:space="preserve"> of the 2018-2020 trade wars </w:t>
      </w:r>
      <w:r w:rsidR="00AF5A18" w:rsidRPr="00B52DE1">
        <w:t>estimate</w:t>
      </w:r>
      <w:r w:rsidR="00AF5A18">
        <w:t>d</w:t>
      </w:r>
      <w:r w:rsidR="00AF5A18" w:rsidRPr="00B52DE1">
        <w:t xml:space="preserve"> that a one percentage point increase in tariffs is associated with a six-percentage point fall in import quantities</w:t>
      </w:r>
      <w:r w:rsidR="00AF5A18">
        <w:t xml:space="preserve"> between the trade-warring countries. </w:t>
      </w:r>
    </w:p>
    <w:p w14:paraId="718297E6" w14:textId="2CB5AAA7" w:rsidR="002F1650" w:rsidRPr="002F1650" w:rsidRDefault="00013701" w:rsidP="00B053A4">
      <w:pPr>
        <w:jc w:val="both"/>
      </w:pPr>
      <w:r>
        <w:t>While tariffs can reduce trade imbalances by curbing imports,</w:t>
      </w:r>
      <w:r w:rsidR="004E1076">
        <w:t xml:space="preserve"> tari</w:t>
      </w:r>
      <w:r>
        <w:t>ffs</w:t>
      </w:r>
      <w:r w:rsidR="004E1076">
        <w:t xml:space="preserve"> </w:t>
      </w:r>
      <w:r w:rsidR="00013920">
        <w:t xml:space="preserve">invariably </w:t>
      </w:r>
      <w:r w:rsidR="004E1076">
        <w:t xml:space="preserve">trigger retaliatory responses which can lead to significant declines in demand for the </w:t>
      </w:r>
      <w:r w:rsidR="00CB5137">
        <w:t>exports of the country imposing the tariff</w:t>
      </w:r>
      <w:r>
        <w:t>, with adverse consequences for the trade deficit</w:t>
      </w:r>
      <w:r w:rsidR="00CB5137">
        <w:t xml:space="preserve">. </w:t>
      </w:r>
      <w:r>
        <w:t>D</w:t>
      </w:r>
      <w:r w:rsidRPr="00013920">
        <w:t>uring the 2018 trade war</w:t>
      </w:r>
      <w:r>
        <w:t>,</w:t>
      </w:r>
      <w:r w:rsidRPr="00013920">
        <w:t xml:space="preserve"> the United States lost more than USD15.6 billion in trade with countries that retaliated with their own tariffs</w:t>
      </w:r>
      <w:r>
        <w:t>. The losses were concentrated in the agricultural sector (i.e., soybean, pork and coarse grains</w:t>
      </w:r>
      <w:r w:rsidR="00DF18FD">
        <w:t>)</w:t>
      </w:r>
      <w:r>
        <w:t xml:space="preserve">, and only partially offset by export increases to countries that did not participate in the trade war, thereby undermining efforts to improve the US trade balance (Carter A. and Steinbach S. </w:t>
      </w:r>
      <w:r w:rsidRPr="006413B1">
        <w:t>The Impact of Retaliatory Tariffs on Agricultural and Food Trade</w:t>
      </w:r>
      <w:r>
        <w:t xml:space="preserve">, </w:t>
      </w:r>
      <w:r w:rsidRPr="006413B1">
        <w:t>NBER Working Paper No. 27147</w:t>
      </w:r>
      <w:r>
        <w:t>. May 2020).</w:t>
      </w:r>
      <w:r w:rsidR="002F1650">
        <w:t xml:space="preserve"> The trade balance can also worsen if the tariff does not lead to substantial reductions in demand for the targeted products due to the absence of desirable substitutes (</w:t>
      </w:r>
      <w:r w:rsidR="002F1650" w:rsidRPr="002F1650">
        <w:t>Grant W. Gardner</w:t>
      </w:r>
      <w:r w:rsidR="002F1650" w:rsidRPr="002F1650">
        <w:rPr>
          <w:i/>
          <w:iCs/>
        </w:rPr>
        <w:t xml:space="preserve"> et al. </w:t>
      </w:r>
      <w:r w:rsidR="002F1650">
        <w:t>1989.</w:t>
      </w:r>
      <w:r w:rsidR="002F1650" w:rsidRPr="002F1650">
        <w:rPr>
          <w:i/>
          <w:iCs/>
        </w:rPr>
        <w:t xml:space="preserve"> </w:t>
      </w:r>
      <w:hyperlink r:id="rId7" w:history="1">
        <w:r w:rsidR="002F1650" w:rsidRPr="002F1650">
          <w:rPr>
            <w:rStyle w:val="Hyperlink"/>
          </w:rPr>
          <w:t>Tariffs, interest rates, and the trade balance in the world economy</w:t>
        </w:r>
      </w:hyperlink>
      <w:r w:rsidR="002F1650">
        <w:t xml:space="preserve">, </w:t>
      </w:r>
      <w:r w:rsidR="002F1650" w:rsidRPr="002F1650">
        <w:t>Journal of International Economics</w:t>
      </w:r>
      <w:r w:rsidR="002F1650">
        <w:t>).</w:t>
      </w:r>
    </w:p>
    <w:p w14:paraId="2A1EC209" w14:textId="7BAD51CF" w:rsidR="00013920" w:rsidRDefault="00CB5137" w:rsidP="00CB5137">
      <w:pPr>
        <w:jc w:val="both"/>
      </w:pPr>
      <w:r>
        <w:t>Furthermore, the uncertainty generated by tariff regimes causes trading partners to redirect their trade to alternative markets to mitigate risks associated with supply chain disruptions. For instance,</w:t>
      </w:r>
      <w:r w:rsidRPr="00013920">
        <w:t xml:space="preserve"> US tariffs on Chinese agricultural products (particularly soybeans, pork products, and coarse grains) resulted in an increase in China’s agricultural trade with the EU. </w:t>
      </w:r>
    </w:p>
    <w:p w14:paraId="3A525EF4" w14:textId="6C60AFCC" w:rsidR="00A27CA9" w:rsidRDefault="00CB5231" w:rsidP="00A27CA9">
      <w:pPr>
        <w:jc w:val="both"/>
      </w:pPr>
      <w:r>
        <w:t xml:space="preserve">Currency movements associated with tariff announcements can strengthen or weaken the potentially inflationary impact of a tariff. </w:t>
      </w:r>
      <w:r w:rsidR="009D470A">
        <w:t>A depreciation of the currency of the tariff</w:t>
      </w:r>
      <w:r w:rsidR="001354A8">
        <w:t>-</w:t>
      </w:r>
      <w:r w:rsidR="009D470A">
        <w:t xml:space="preserve">targeted country </w:t>
      </w:r>
      <w:r>
        <w:t xml:space="preserve">(e.g., China) </w:t>
      </w:r>
      <w:r w:rsidR="009D470A">
        <w:t xml:space="preserve">can </w:t>
      </w:r>
      <w:r w:rsidR="009D470A">
        <w:lastRenderedPageBreak/>
        <w:t xml:space="preserve">reduce the inflationary effect </w:t>
      </w:r>
      <w:r>
        <w:t xml:space="preserve">of the tariff </w:t>
      </w:r>
      <w:r w:rsidR="00F253E1">
        <w:t>on</w:t>
      </w:r>
      <w:r w:rsidR="009D470A">
        <w:t xml:space="preserve"> the importing country </w:t>
      </w:r>
      <w:r>
        <w:t xml:space="preserve">(e.g., USA). If for instance, the renminbi were to depreciate in value following the USA imposed tariff, the price of the targeted Chinese product would be cheaper in dollar terms compared to a situation where the exchange rate was unchanged.  </w:t>
      </w:r>
      <w:r w:rsidR="009D470A">
        <w:t xml:space="preserve"> Ultimately this could defeat </w:t>
      </w:r>
      <w:r w:rsidR="001354A8">
        <w:t>efforts to address trade imbalances</w:t>
      </w:r>
      <w:r w:rsidR="00F253E1">
        <w:t xml:space="preserve"> through tariff measures</w:t>
      </w:r>
      <w:r w:rsidR="001354A8">
        <w:t>.</w:t>
      </w:r>
      <w:r w:rsidR="009D470A">
        <w:t xml:space="preserve"> </w:t>
      </w:r>
      <w:r w:rsidR="009B0FEA">
        <w:t xml:space="preserve">This is precisely what occurred following the tariff announcement in 2018. </w:t>
      </w:r>
      <w:r w:rsidR="009B0FEA" w:rsidRPr="00092588">
        <w:t>N</w:t>
      </w:r>
      <w:r w:rsidR="00A27CA9" w:rsidRPr="00092588">
        <w:t xml:space="preserve">ews about US tariffs appreciated the dollar and depreciated the renminbi, with an impact on the renminbi more than twice as large as on the dollar. </w:t>
      </w:r>
      <w:r w:rsidR="009B0FEA" w:rsidRPr="00092588">
        <w:t>In contrast</w:t>
      </w:r>
      <w:r w:rsidR="00A27CA9" w:rsidRPr="00092588">
        <w:t>, news about Chinese tariffs did not have a statistically significant impact on the dollar or the renminbi</w:t>
      </w:r>
      <w:r w:rsidR="009B0FEA">
        <w:t xml:space="preserve">, implying that the domestic impact of China’s tariffs may have been more inflationary compared to the U.S. </w:t>
      </w:r>
      <w:r w:rsidR="00A27CA9">
        <w:t>(Olivier Jeanne, Jeongwon Son,  2024. To what extent are tariffs offset by exchange rates?, Journal of International Money and Finance, Volume 142, April 2024, 103015, ISSN 0261-5606, https://doi.org/10.1016/j.jimonfin.2024.103015</w:t>
      </w:r>
      <w:r w:rsidR="00ED2539">
        <w:t>)</w:t>
      </w:r>
      <w:r w:rsidR="00A27CA9">
        <w:t>.</w:t>
      </w:r>
    </w:p>
    <w:p w14:paraId="1DB36D12" w14:textId="17796810" w:rsidR="00AF5A18" w:rsidRDefault="00AA4CB6" w:rsidP="00AF5A18">
      <w:pPr>
        <w:jc w:val="both"/>
      </w:pPr>
      <w:r>
        <w:t>T</w:t>
      </w:r>
      <w:r w:rsidR="00F253E1">
        <w:t xml:space="preserve">he </w:t>
      </w:r>
      <w:r>
        <w:t xml:space="preserve">policy uncertainty </w:t>
      </w:r>
      <w:r w:rsidR="00F253E1">
        <w:t>created by trade wars can</w:t>
      </w:r>
      <w:r>
        <w:t xml:space="preserve"> have adverse effects on equity markets as well as on the </w:t>
      </w:r>
      <w:r w:rsidR="00F253E1">
        <w:t>F</w:t>
      </w:r>
      <w:r>
        <w:t xml:space="preserve">ederal reserve’s policy rate decisions. </w:t>
      </w:r>
      <w:r w:rsidR="00F253E1">
        <w:t xml:space="preserve">Indeed, among the reasons cited for the Fed’s pause on interest rate cuts was uncertainty about the administration’s tariff policy. </w:t>
      </w:r>
      <w:r>
        <w:t>The Dow Jones index</w:t>
      </w:r>
      <w:r w:rsidR="00F253E1">
        <w:t>,</w:t>
      </w:r>
      <w:r>
        <w:t xml:space="preserve"> for instance</w:t>
      </w:r>
      <w:r w:rsidR="00F253E1">
        <w:t>,</w:t>
      </w:r>
      <w:r>
        <w:t xml:space="preserve"> fell by over 600 points hours before the </w:t>
      </w:r>
      <w:r w:rsidR="00060B8C">
        <w:t>Trump administration p</w:t>
      </w:r>
      <w:r w:rsidR="00F253E1">
        <w:t>aused</w:t>
      </w:r>
      <w:r w:rsidR="00060B8C">
        <w:t xml:space="preserve"> its tariff on Mexico and Canada. </w:t>
      </w:r>
      <w:r w:rsidR="00A6016D">
        <w:t>To the extent that tariff hikes fuel inflationary expectations they contribute to higher interest rates</w:t>
      </w:r>
      <w:r w:rsidR="00121229">
        <w:t>,</w:t>
      </w:r>
      <w:r w:rsidR="00A6016D">
        <w:t xml:space="preserve"> currency appreciation</w:t>
      </w:r>
      <w:r w:rsidR="00121229">
        <w:t xml:space="preserve"> and a deterioration of the trade balance. In effect, deploying tariffs to address trade imbalances may be counterproductive.</w:t>
      </w:r>
    </w:p>
    <w:p w14:paraId="051CB96C" w14:textId="40A64FC9" w:rsidR="00121229" w:rsidRPr="00092588" w:rsidRDefault="00121229" w:rsidP="00AF5A18">
      <w:pPr>
        <w:jc w:val="both"/>
        <w:rPr>
          <w:b/>
          <w:bCs/>
        </w:rPr>
      </w:pPr>
      <w:r w:rsidRPr="00652703">
        <w:rPr>
          <w:b/>
          <w:bCs/>
        </w:rPr>
        <w:t>Conclusions</w:t>
      </w:r>
    </w:p>
    <w:p w14:paraId="2B39C663" w14:textId="0F5B1653" w:rsidR="00B45227" w:rsidRDefault="00101676" w:rsidP="00AF5A18">
      <w:pPr>
        <w:jc w:val="both"/>
      </w:pPr>
      <w:r>
        <w:t>R</w:t>
      </w:r>
      <w:r w:rsidR="00F71176">
        <w:t xml:space="preserve">ecent pronouncements by the Trump administration to impose tariffs on Mexico, China and Canada have raised concerns about a resurgence of protectionism, trade wars, and the potentially inflationary domestic impact of such policies. Notwithstanding the Administration’s stated objective of curbing the flow of Fentanyl and illegal migrants, it stands to reason that </w:t>
      </w:r>
      <w:r>
        <w:t xml:space="preserve">the </w:t>
      </w:r>
      <w:r w:rsidR="00F71176">
        <w:t>tariffs</w:t>
      </w:r>
      <w:r>
        <w:t xml:space="preserve"> are intended as a stick to induce re-shoring of manufacturing firms and close America’s huge </w:t>
      </w:r>
      <w:r w:rsidR="00F71176">
        <w:t xml:space="preserve">trade </w:t>
      </w:r>
      <w:r>
        <w:t>deficit particularly with China</w:t>
      </w:r>
      <w:r w:rsidR="00F71176">
        <w:t xml:space="preserve">. </w:t>
      </w:r>
      <w:r>
        <w:t xml:space="preserve">In theory, tariffs raise domestic prices when the higher import prices are passed on to consumers either directly through increases in the price of tariff-targeted finished products </w:t>
      </w:r>
      <w:r w:rsidR="00152577">
        <w:t xml:space="preserve">or indirectly through rising costs of tariff-targeted inputs such as steel. Tariff announcements also fuel uncertainty which can lead to volatility in equity markets. Inflationary expectations nurture interest rate hikes which in turn, results in an appreciation of the currency. However, a stronger dollar, for instance, </w:t>
      </w:r>
      <w:r w:rsidR="00B45227">
        <w:t xml:space="preserve">offsets (partially or fully) the effect of the tariff and worsens the trade balance by </w:t>
      </w:r>
      <w:r w:rsidR="00152577">
        <w:t>mak</w:t>
      </w:r>
      <w:r w:rsidR="00B45227">
        <w:t>ing</w:t>
      </w:r>
      <w:r w:rsidR="00152577">
        <w:t xml:space="preserve"> imports cheaper and exports more expensive.</w:t>
      </w:r>
      <w:r w:rsidR="00B45227">
        <w:t xml:space="preserve"> Furthermore</w:t>
      </w:r>
      <w:r w:rsidR="00092588">
        <w:t>,</w:t>
      </w:r>
      <w:r w:rsidR="00B45227">
        <w:t xml:space="preserve"> tariff measures lead to retaliatory measures and a diversion of trade activity to more tariff friendly countries, resulting in a loss of export markets by the tariff-initiating country.</w:t>
      </w:r>
    </w:p>
    <w:p w14:paraId="6D37179A" w14:textId="7316EE81" w:rsidR="00B053A4" w:rsidRDefault="00B45227" w:rsidP="00AF5A18">
      <w:pPr>
        <w:jc w:val="both"/>
      </w:pPr>
      <w:r>
        <w:t>These theoretical insights were evidenced during the 2018 tariff wars between the US on the one hand, and Canada, the EU, Mexico and China on the other hand.</w:t>
      </w:r>
      <w:r w:rsidR="00B053A4">
        <w:t xml:space="preserve"> </w:t>
      </w:r>
      <w:r w:rsidR="00B053A4" w:rsidRPr="00D10787">
        <w:t>The trade war contributed to slower economic growth and uncertainty in global markets. In the US, some agricultural sectors faced reduced demand due to Chinese tariffs. In China, export-driven industries felt the pressure. It also led to shifts in trade patterns, with both countries seeking alternative markets and suppliers</w:t>
      </w:r>
      <w:r w:rsidR="00B053A4">
        <w:t>.</w:t>
      </w:r>
      <w:r w:rsidR="00B053A4" w:rsidRPr="00B053A4">
        <w:t xml:space="preserve"> </w:t>
      </w:r>
      <w:r w:rsidR="00B053A4" w:rsidRPr="00D10787">
        <w:t>Overall, trade wars tend to increase costs for consumers and industries, disrupt global supply chains, and may slow economic growth. Involved countries often see changes in trade patterns, with attempts to find new markets or suppliers.</w:t>
      </w:r>
    </w:p>
    <w:p w14:paraId="5DFBA853" w14:textId="67BA1A0B" w:rsidR="00FF08C4" w:rsidRDefault="00FF08C4">
      <w:pPr>
        <w:rPr>
          <w:b/>
          <w:bCs/>
        </w:rPr>
      </w:pPr>
      <w:r>
        <w:rPr>
          <w:b/>
          <w:bCs/>
        </w:rPr>
        <w:br w:type="page"/>
      </w:r>
    </w:p>
    <w:p w14:paraId="422841D6" w14:textId="794EC580" w:rsidR="00E04F87" w:rsidRPr="00A27CA9" w:rsidRDefault="00E04F87" w:rsidP="00E04F87">
      <w:pPr>
        <w:jc w:val="center"/>
        <w:rPr>
          <w:b/>
          <w:bCs/>
        </w:rPr>
      </w:pPr>
      <w:r w:rsidRPr="00A27CA9">
        <w:rPr>
          <w:b/>
          <w:bCs/>
        </w:rPr>
        <w:lastRenderedPageBreak/>
        <w:t>References</w:t>
      </w:r>
    </w:p>
    <w:p w14:paraId="1D729399" w14:textId="77777777" w:rsidR="00E04F87" w:rsidRDefault="00E04F87" w:rsidP="00652703">
      <w:pPr>
        <w:pStyle w:val="ListParagraph"/>
        <w:numPr>
          <w:ilvl w:val="0"/>
          <w:numId w:val="5"/>
        </w:numPr>
      </w:pPr>
      <w:r w:rsidRPr="00D10787">
        <w:t>Amiti, M., Redding, S. J., &amp; Weinstein, D. E. (2019). "The Impact of the 2018 Trade War on U.S. Prices and Welfare." </w:t>
      </w:r>
      <w:r w:rsidRPr="00652703">
        <w:rPr>
          <w:i/>
          <w:iCs/>
        </w:rPr>
        <w:t>National Bureau of Economic Research</w:t>
      </w:r>
      <w:r w:rsidRPr="00D10787">
        <w:t xml:space="preserve"> Working Paper No. 25672. </w:t>
      </w:r>
    </w:p>
    <w:p w14:paraId="4F951ACA" w14:textId="77777777" w:rsidR="00E04F87" w:rsidRDefault="00E04F87" w:rsidP="00652703">
      <w:pPr>
        <w:pStyle w:val="ListParagraph"/>
        <w:numPr>
          <w:ilvl w:val="0"/>
          <w:numId w:val="5"/>
        </w:numPr>
      </w:pPr>
      <w:r>
        <w:t xml:space="preserve">Olivier Jeanne, Jeongwon Son, (2024). To what extent are tariffs offset by exchange rates?, Journal of International Money and Finance, Volume 142, April 2024, 103015, ISSN 0261-5606, </w:t>
      </w:r>
      <w:hyperlink r:id="rId8" w:history="1">
        <w:r w:rsidRPr="00F134E7">
          <w:rPr>
            <w:rStyle w:val="Hyperlink"/>
          </w:rPr>
          <w:t>https://doi.org/10.1016/j.jimonfin.2024.103015</w:t>
        </w:r>
      </w:hyperlink>
      <w:r>
        <w:t>.</w:t>
      </w:r>
    </w:p>
    <w:p w14:paraId="263198CB" w14:textId="77777777" w:rsidR="00E04F87" w:rsidRDefault="00E04F87" w:rsidP="00652703">
      <w:pPr>
        <w:pStyle w:val="ListParagraph"/>
        <w:numPr>
          <w:ilvl w:val="0"/>
          <w:numId w:val="5"/>
        </w:numPr>
      </w:pPr>
      <w:r w:rsidRPr="00D10787">
        <w:t>Bown, C. P. (2020). "How the United States is morphing into a new China, Export Controls with a Vengeance: The Long Arm of U.S. Law." </w:t>
      </w:r>
      <w:proofErr w:type="spellStart"/>
      <w:r w:rsidRPr="00652703">
        <w:rPr>
          <w:i/>
          <w:iCs/>
        </w:rPr>
        <w:t>Intereconomics</w:t>
      </w:r>
      <w:proofErr w:type="spellEnd"/>
      <w:r w:rsidRPr="00D10787">
        <w:t>, 55(4), 204-211.</w:t>
      </w:r>
    </w:p>
    <w:p w14:paraId="57BF5C51" w14:textId="77777777" w:rsidR="00E04F87" w:rsidRDefault="00E04F87" w:rsidP="00652703">
      <w:pPr>
        <w:pStyle w:val="ListParagraph"/>
        <w:numPr>
          <w:ilvl w:val="0"/>
          <w:numId w:val="5"/>
        </w:numPr>
      </w:pPr>
      <w:r w:rsidRPr="00D10787">
        <w:t>Carter, C. A., &amp; Steinbach, S. (2020). "The Impact of Retaliatory Tariffs on Agricultural and Food Exporters: A Focus on the US-China Trade War." </w:t>
      </w:r>
      <w:r w:rsidRPr="00652703">
        <w:rPr>
          <w:i/>
          <w:iCs/>
        </w:rPr>
        <w:t>Choices: The Magazine of Food, Farm &amp; Resource Issues</w:t>
      </w:r>
      <w:r w:rsidRPr="00D10787">
        <w:t>.</w:t>
      </w:r>
    </w:p>
    <w:p w14:paraId="63456E95" w14:textId="79B03E31" w:rsidR="00E04F87" w:rsidRDefault="00E04F87" w:rsidP="00652703">
      <w:pPr>
        <w:pStyle w:val="ListParagraph"/>
        <w:numPr>
          <w:ilvl w:val="0"/>
          <w:numId w:val="5"/>
        </w:numPr>
      </w:pPr>
      <w:r>
        <w:t xml:space="preserve">Olivier Jeanne, Jeongwon Son, 2024. To what extent are tariffs offset by exchange rates?, Journal of International Money and Finance, Volume 142, April 2024, 103015, ISSN 0261-5606, </w:t>
      </w:r>
      <w:hyperlink r:id="rId9" w:history="1">
        <w:r w:rsidRPr="00F134E7">
          <w:rPr>
            <w:rStyle w:val="Hyperlink"/>
          </w:rPr>
          <w:t>https://doi.org/10.1016/j.jimonfin.2024.103015</w:t>
        </w:r>
      </w:hyperlink>
      <w:r>
        <w:t>.</w:t>
      </w:r>
    </w:p>
    <w:p w14:paraId="3B3F9A0F" w14:textId="56166B88" w:rsidR="0076643E" w:rsidRDefault="00D10787" w:rsidP="00D10787">
      <w:r>
        <w:t>.</w:t>
      </w:r>
    </w:p>
    <w:sectPr w:rsidR="0076643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D7F0" w14:textId="77777777" w:rsidR="0094075D" w:rsidRDefault="0094075D" w:rsidP="001354A8">
      <w:pPr>
        <w:spacing w:after="0" w:line="240" w:lineRule="auto"/>
      </w:pPr>
      <w:r>
        <w:separator/>
      </w:r>
    </w:p>
  </w:endnote>
  <w:endnote w:type="continuationSeparator" w:id="0">
    <w:p w14:paraId="6E2A8059" w14:textId="77777777" w:rsidR="0094075D" w:rsidRDefault="0094075D" w:rsidP="00135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628675"/>
      <w:docPartObj>
        <w:docPartGallery w:val="Page Numbers (Bottom of Page)"/>
        <w:docPartUnique/>
      </w:docPartObj>
    </w:sdtPr>
    <w:sdtEndPr/>
    <w:sdtContent>
      <w:sdt>
        <w:sdtPr>
          <w:id w:val="1728636285"/>
          <w:docPartObj>
            <w:docPartGallery w:val="Page Numbers (Top of Page)"/>
            <w:docPartUnique/>
          </w:docPartObj>
        </w:sdtPr>
        <w:sdtEndPr/>
        <w:sdtContent>
          <w:p w14:paraId="51000020" w14:textId="114B6EB6" w:rsidR="001354A8" w:rsidRDefault="001354A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882DDC" w14:textId="77777777" w:rsidR="001354A8" w:rsidRDefault="00135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0E92" w14:textId="77777777" w:rsidR="0094075D" w:rsidRDefault="0094075D" w:rsidP="001354A8">
      <w:pPr>
        <w:spacing w:after="0" w:line="240" w:lineRule="auto"/>
      </w:pPr>
      <w:r>
        <w:separator/>
      </w:r>
    </w:p>
  </w:footnote>
  <w:footnote w:type="continuationSeparator" w:id="0">
    <w:p w14:paraId="10A3D810" w14:textId="77777777" w:rsidR="0094075D" w:rsidRDefault="0094075D" w:rsidP="00135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368"/>
    <w:multiLevelType w:val="multilevel"/>
    <w:tmpl w:val="2D42B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3BCB"/>
    <w:multiLevelType w:val="multilevel"/>
    <w:tmpl w:val="2ED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343CD"/>
    <w:multiLevelType w:val="multilevel"/>
    <w:tmpl w:val="C1F8F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C7684"/>
    <w:multiLevelType w:val="hybridMultilevel"/>
    <w:tmpl w:val="12E40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B0668"/>
    <w:multiLevelType w:val="multilevel"/>
    <w:tmpl w:val="C472E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547831">
    <w:abstractNumId w:val="0"/>
  </w:num>
  <w:num w:numId="2" w16cid:durableId="1731886045">
    <w:abstractNumId w:val="4"/>
  </w:num>
  <w:num w:numId="3" w16cid:durableId="1087842727">
    <w:abstractNumId w:val="2"/>
  </w:num>
  <w:num w:numId="4" w16cid:durableId="920337288">
    <w:abstractNumId w:val="1"/>
  </w:num>
  <w:num w:numId="5" w16cid:durableId="159135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C9"/>
    <w:rsid w:val="00013701"/>
    <w:rsid w:val="00013920"/>
    <w:rsid w:val="00014D7C"/>
    <w:rsid w:val="00027064"/>
    <w:rsid w:val="00050CC9"/>
    <w:rsid w:val="00060B8C"/>
    <w:rsid w:val="00092588"/>
    <w:rsid w:val="000C6169"/>
    <w:rsid w:val="000D6B1E"/>
    <w:rsid w:val="00101676"/>
    <w:rsid w:val="00121229"/>
    <w:rsid w:val="001354A8"/>
    <w:rsid w:val="00152577"/>
    <w:rsid w:val="0021244C"/>
    <w:rsid w:val="0025205F"/>
    <w:rsid w:val="0027104D"/>
    <w:rsid w:val="002B505C"/>
    <w:rsid w:val="002F1650"/>
    <w:rsid w:val="003320D2"/>
    <w:rsid w:val="00340B05"/>
    <w:rsid w:val="003523C4"/>
    <w:rsid w:val="00361B2D"/>
    <w:rsid w:val="00386CA8"/>
    <w:rsid w:val="003E171F"/>
    <w:rsid w:val="003F3028"/>
    <w:rsid w:val="00425520"/>
    <w:rsid w:val="00452A74"/>
    <w:rsid w:val="004E1076"/>
    <w:rsid w:val="00535E61"/>
    <w:rsid w:val="00542A50"/>
    <w:rsid w:val="005757FF"/>
    <w:rsid w:val="00584148"/>
    <w:rsid w:val="005937CD"/>
    <w:rsid w:val="00630D9C"/>
    <w:rsid w:val="006413B1"/>
    <w:rsid w:val="006509AD"/>
    <w:rsid w:val="00652703"/>
    <w:rsid w:val="00684344"/>
    <w:rsid w:val="00690E7D"/>
    <w:rsid w:val="007233FF"/>
    <w:rsid w:val="0076643E"/>
    <w:rsid w:val="007C1041"/>
    <w:rsid w:val="00873BDF"/>
    <w:rsid w:val="008B31FF"/>
    <w:rsid w:val="008C1533"/>
    <w:rsid w:val="0094075D"/>
    <w:rsid w:val="0094679C"/>
    <w:rsid w:val="009A2723"/>
    <w:rsid w:val="009A6363"/>
    <w:rsid w:val="009B0FEA"/>
    <w:rsid w:val="009D470A"/>
    <w:rsid w:val="00A26004"/>
    <w:rsid w:val="00A27CA9"/>
    <w:rsid w:val="00A45654"/>
    <w:rsid w:val="00A53C31"/>
    <w:rsid w:val="00A53C35"/>
    <w:rsid w:val="00A6016D"/>
    <w:rsid w:val="00A77A02"/>
    <w:rsid w:val="00AA4CB6"/>
    <w:rsid w:val="00AE6370"/>
    <w:rsid w:val="00AF5A18"/>
    <w:rsid w:val="00B053A4"/>
    <w:rsid w:val="00B4331C"/>
    <w:rsid w:val="00B45227"/>
    <w:rsid w:val="00B52DE1"/>
    <w:rsid w:val="00BA272A"/>
    <w:rsid w:val="00BC7E30"/>
    <w:rsid w:val="00BD3202"/>
    <w:rsid w:val="00C016DD"/>
    <w:rsid w:val="00CB209B"/>
    <w:rsid w:val="00CB50A1"/>
    <w:rsid w:val="00CB5137"/>
    <w:rsid w:val="00CB5231"/>
    <w:rsid w:val="00D10787"/>
    <w:rsid w:val="00D46857"/>
    <w:rsid w:val="00D50061"/>
    <w:rsid w:val="00D763C8"/>
    <w:rsid w:val="00D80A9F"/>
    <w:rsid w:val="00D90153"/>
    <w:rsid w:val="00DC7989"/>
    <w:rsid w:val="00DF18FD"/>
    <w:rsid w:val="00E04F87"/>
    <w:rsid w:val="00E445B4"/>
    <w:rsid w:val="00E66BA5"/>
    <w:rsid w:val="00ED2539"/>
    <w:rsid w:val="00ED7C28"/>
    <w:rsid w:val="00F1042E"/>
    <w:rsid w:val="00F253E1"/>
    <w:rsid w:val="00F50EB8"/>
    <w:rsid w:val="00F64B65"/>
    <w:rsid w:val="00F71176"/>
    <w:rsid w:val="00F82171"/>
    <w:rsid w:val="00F82569"/>
    <w:rsid w:val="00F86077"/>
    <w:rsid w:val="00FF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CD86"/>
  <w15:chartTrackingRefBased/>
  <w15:docId w15:val="{EF6A7DC0-8E59-4918-BBE0-CE1FE496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C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C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C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C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C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C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C9"/>
    <w:rPr>
      <w:rFonts w:eastAsiaTheme="majorEastAsia" w:cstheme="majorBidi"/>
      <w:color w:val="272727" w:themeColor="text1" w:themeTint="D8"/>
    </w:rPr>
  </w:style>
  <w:style w:type="paragraph" w:styleId="Title">
    <w:name w:val="Title"/>
    <w:basedOn w:val="Normal"/>
    <w:next w:val="Normal"/>
    <w:link w:val="TitleChar"/>
    <w:uiPriority w:val="10"/>
    <w:qFormat/>
    <w:rsid w:val="00050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C9"/>
    <w:pPr>
      <w:spacing w:before="160"/>
      <w:jc w:val="center"/>
    </w:pPr>
    <w:rPr>
      <w:i/>
      <w:iCs/>
      <w:color w:val="404040" w:themeColor="text1" w:themeTint="BF"/>
    </w:rPr>
  </w:style>
  <w:style w:type="character" w:customStyle="1" w:styleId="QuoteChar">
    <w:name w:val="Quote Char"/>
    <w:basedOn w:val="DefaultParagraphFont"/>
    <w:link w:val="Quote"/>
    <w:uiPriority w:val="29"/>
    <w:rsid w:val="00050CC9"/>
    <w:rPr>
      <w:i/>
      <w:iCs/>
      <w:color w:val="404040" w:themeColor="text1" w:themeTint="BF"/>
    </w:rPr>
  </w:style>
  <w:style w:type="paragraph" w:styleId="ListParagraph">
    <w:name w:val="List Paragraph"/>
    <w:basedOn w:val="Normal"/>
    <w:uiPriority w:val="34"/>
    <w:qFormat/>
    <w:rsid w:val="00050CC9"/>
    <w:pPr>
      <w:ind w:left="720"/>
      <w:contextualSpacing/>
    </w:pPr>
  </w:style>
  <w:style w:type="character" w:styleId="IntenseEmphasis">
    <w:name w:val="Intense Emphasis"/>
    <w:basedOn w:val="DefaultParagraphFont"/>
    <w:uiPriority w:val="21"/>
    <w:qFormat/>
    <w:rsid w:val="00050CC9"/>
    <w:rPr>
      <w:i/>
      <w:iCs/>
      <w:color w:val="2F5496" w:themeColor="accent1" w:themeShade="BF"/>
    </w:rPr>
  </w:style>
  <w:style w:type="paragraph" w:styleId="IntenseQuote">
    <w:name w:val="Intense Quote"/>
    <w:basedOn w:val="Normal"/>
    <w:next w:val="Normal"/>
    <w:link w:val="IntenseQuoteChar"/>
    <w:uiPriority w:val="30"/>
    <w:qFormat/>
    <w:rsid w:val="00050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CC9"/>
    <w:rPr>
      <w:i/>
      <w:iCs/>
      <w:color w:val="2F5496" w:themeColor="accent1" w:themeShade="BF"/>
    </w:rPr>
  </w:style>
  <w:style w:type="character" w:styleId="IntenseReference">
    <w:name w:val="Intense Reference"/>
    <w:basedOn w:val="DefaultParagraphFont"/>
    <w:uiPriority w:val="32"/>
    <w:qFormat/>
    <w:rsid w:val="00050CC9"/>
    <w:rPr>
      <w:b/>
      <w:bCs/>
      <w:smallCaps/>
      <w:color w:val="2F5496" w:themeColor="accent1" w:themeShade="BF"/>
      <w:spacing w:val="5"/>
    </w:rPr>
  </w:style>
  <w:style w:type="paragraph" w:styleId="Header">
    <w:name w:val="header"/>
    <w:basedOn w:val="Normal"/>
    <w:link w:val="HeaderChar"/>
    <w:uiPriority w:val="99"/>
    <w:unhideWhenUsed/>
    <w:rsid w:val="00135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4A8"/>
  </w:style>
  <w:style w:type="paragraph" w:styleId="Footer">
    <w:name w:val="footer"/>
    <w:basedOn w:val="Normal"/>
    <w:link w:val="FooterChar"/>
    <w:uiPriority w:val="99"/>
    <w:unhideWhenUsed/>
    <w:rsid w:val="00135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4A8"/>
  </w:style>
  <w:style w:type="character" w:styleId="Hyperlink">
    <w:name w:val="Hyperlink"/>
    <w:basedOn w:val="DefaultParagraphFont"/>
    <w:uiPriority w:val="99"/>
    <w:unhideWhenUsed/>
    <w:rsid w:val="00A27CA9"/>
    <w:rPr>
      <w:color w:val="0563C1" w:themeColor="hyperlink"/>
      <w:u w:val="single"/>
    </w:rPr>
  </w:style>
  <w:style w:type="character" w:styleId="UnresolvedMention">
    <w:name w:val="Unresolved Mention"/>
    <w:basedOn w:val="DefaultParagraphFont"/>
    <w:uiPriority w:val="99"/>
    <w:semiHidden/>
    <w:unhideWhenUsed/>
    <w:rsid w:val="00A2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3773">
      <w:bodyDiv w:val="1"/>
      <w:marLeft w:val="0"/>
      <w:marRight w:val="0"/>
      <w:marTop w:val="0"/>
      <w:marBottom w:val="0"/>
      <w:divBdr>
        <w:top w:val="none" w:sz="0" w:space="0" w:color="auto"/>
        <w:left w:val="none" w:sz="0" w:space="0" w:color="auto"/>
        <w:bottom w:val="none" w:sz="0" w:space="0" w:color="auto"/>
        <w:right w:val="none" w:sz="0" w:space="0" w:color="auto"/>
      </w:divBdr>
    </w:div>
    <w:div w:id="503934123">
      <w:bodyDiv w:val="1"/>
      <w:marLeft w:val="0"/>
      <w:marRight w:val="0"/>
      <w:marTop w:val="0"/>
      <w:marBottom w:val="0"/>
      <w:divBdr>
        <w:top w:val="none" w:sz="0" w:space="0" w:color="auto"/>
        <w:left w:val="none" w:sz="0" w:space="0" w:color="auto"/>
        <w:bottom w:val="none" w:sz="0" w:space="0" w:color="auto"/>
        <w:right w:val="none" w:sz="0" w:space="0" w:color="auto"/>
      </w:divBdr>
    </w:div>
    <w:div w:id="614405733">
      <w:bodyDiv w:val="1"/>
      <w:marLeft w:val="0"/>
      <w:marRight w:val="0"/>
      <w:marTop w:val="0"/>
      <w:marBottom w:val="0"/>
      <w:divBdr>
        <w:top w:val="none" w:sz="0" w:space="0" w:color="auto"/>
        <w:left w:val="none" w:sz="0" w:space="0" w:color="auto"/>
        <w:bottom w:val="none" w:sz="0" w:space="0" w:color="auto"/>
        <w:right w:val="none" w:sz="0" w:space="0" w:color="auto"/>
      </w:divBdr>
    </w:div>
    <w:div w:id="664629642">
      <w:bodyDiv w:val="1"/>
      <w:marLeft w:val="0"/>
      <w:marRight w:val="0"/>
      <w:marTop w:val="0"/>
      <w:marBottom w:val="0"/>
      <w:divBdr>
        <w:top w:val="none" w:sz="0" w:space="0" w:color="auto"/>
        <w:left w:val="none" w:sz="0" w:space="0" w:color="auto"/>
        <w:bottom w:val="none" w:sz="0" w:space="0" w:color="auto"/>
        <w:right w:val="none" w:sz="0" w:space="0" w:color="auto"/>
      </w:divBdr>
    </w:div>
    <w:div w:id="772938667">
      <w:bodyDiv w:val="1"/>
      <w:marLeft w:val="0"/>
      <w:marRight w:val="0"/>
      <w:marTop w:val="0"/>
      <w:marBottom w:val="0"/>
      <w:divBdr>
        <w:top w:val="none" w:sz="0" w:space="0" w:color="auto"/>
        <w:left w:val="none" w:sz="0" w:space="0" w:color="auto"/>
        <w:bottom w:val="none" w:sz="0" w:space="0" w:color="auto"/>
        <w:right w:val="none" w:sz="0" w:space="0" w:color="auto"/>
      </w:divBdr>
    </w:div>
    <w:div w:id="1203782601">
      <w:bodyDiv w:val="1"/>
      <w:marLeft w:val="0"/>
      <w:marRight w:val="0"/>
      <w:marTop w:val="0"/>
      <w:marBottom w:val="0"/>
      <w:divBdr>
        <w:top w:val="none" w:sz="0" w:space="0" w:color="auto"/>
        <w:left w:val="none" w:sz="0" w:space="0" w:color="auto"/>
        <w:bottom w:val="none" w:sz="0" w:space="0" w:color="auto"/>
        <w:right w:val="none" w:sz="0" w:space="0" w:color="auto"/>
      </w:divBdr>
    </w:div>
    <w:div w:id="1311787843">
      <w:bodyDiv w:val="1"/>
      <w:marLeft w:val="0"/>
      <w:marRight w:val="0"/>
      <w:marTop w:val="0"/>
      <w:marBottom w:val="0"/>
      <w:divBdr>
        <w:top w:val="none" w:sz="0" w:space="0" w:color="auto"/>
        <w:left w:val="none" w:sz="0" w:space="0" w:color="auto"/>
        <w:bottom w:val="none" w:sz="0" w:space="0" w:color="auto"/>
        <w:right w:val="none" w:sz="0" w:space="0" w:color="auto"/>
      </w:divBdr>
    </w:div>
    <w:div w:id="1341278632">
      <w:bodyDiv w:val="1"/>
      <w:marLeft w:val="0"/>
      <w:marRight w:val="0"/>
      <w:marTop w:val="0"/>
      <w:marBottom w:val="0"/>
      <w:divBdr>
        <w:top w:val="none" w:sz="0" w:space="0" w:color="auto"/>
        <w:left w:val="none" w:sz="0" w:space="0" w:color="auto"/>
        <w:bottom w:val="none" w:sz="0" w:space="0" w:color="auto"/>
        <w:right w:val="none" w:sz="0" w:space="0" w:color="auto"/>
      </w:divBdr>
      <w:divsChild>
        <w:div w:id="564099002">
          <w:marLeft w:val="0"/>
          <w:marRight w:val="0"/>
          <w:marTop w:val="0"/>
          <w:marBottom w:val="0"/>
          <w:divBdr>
            <w:top w:val="none" w:sz="0" w:space="0" w:color="auto"/>
            <w:left w:val="none" w:sz="0" w:space="0" w:color="auto"/>
            <w:bottom w:val="none" w:sz="0" w:space="0" w:color="auto"/>
            <w:right w:val="none" w:sz="0" w:space="0" w:color="auto"/>
          </w:divBdr>
        </w:div>
        <w:div w:id="1254044794">
          <w:marLeft w:val="0"/>
          <w:marRight w:val="0"/>
          <w:marTop w:val="0"/>
          <w:marBottom w:val="0"/>
          <w:divBdr>
            <w:top w:val="none" w:sz="0" w:space="0" w:color="auto"/>
            <w:left w:val="none" w:sz="0" w:space="0" w:color="auto"/>
            <w:bottom w:val="none" w:sz="0" w:space="0" w:color="auto"/>
            <w:right w:val="none" w:sz="0" w:space="0" w:color="auto"/>
          </w:divBdr>
        </w:div>
      </w:divsChild>
    </w:div>
    <w:div w:id="1637563636">
      <w:bodyDiv w:val="1"/>
      <w:marLeft w:val="0"/>
      <w:marRight w:val="0"/>
      <w:marTop w:val="0"/>
      <w:marBottom w:val="0"/>
      <w:divBdr>
        <w:top w:val="none" w:sz="0" w:space="0" w:color="auto"/>
        <w:left w:val="none" w:sz="0" w:space="0" w:color="auto"/>
        <w:bottom w:val="none" w:sz="0" w:space="0" w:color="auto"/>
        <w:right w:val="none" w:sz="0" w:space="0" w:color="auto"/>
      </w:divBdr>
      <w:divsChild>
        <w:div w:id="1100417981">
          <w:marLeft w:val="0"/>
          <w:marRight w:val="0"/>
          <w:marTop w:val="0"/>
          <w:marBottom w:val="0"/>
          <w:divBdr>
            <w:top w:val="none" w:sz="0" w:space="0" w:color="auto"/>
            <w:left w:val="none" w:sz="0" w:space="0" w:color="auto"/>
            <w:bottom w:val="none" w:sz="0" w:space="0" w:color="auto"/>
            <w:right w:val="none" w:sz="0" w:space="0" w:color="auto"/>
          </w:divBdr>
        </w:div>
        <w:div w:id="1711414572">
          <w:marLeft w:val="0"/>
          <w:marRight w:val="0"/>
          <w:marTop w:val="0"/>
          <w:marBottom w:val="0"/>
          <w:divBdr>
            <w:top w:val="none" w:sz="0" w:space="0" w:color="auto"/>
            <w:left w:val="none" w:sz="0" w:space="0" w:color="auto"/>
            <w:bottom w:val="none" w:sz="0" w:space="0" w:color="auto"/>
            <w:right w:val="none" w:sz="0" w:space="0" w:color="auto"/>
          </w:divBdr>
        </w:div>
      </w:divsChild>
    </w:div>
    <w:div w:id="177269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imonfin.2024.103015" TargetMode="External"/><Relationship Id="rId3" Type="http://schemas.openxmlformats.org/officeDocument/2006/relationships/settings" Target="settings.xml"/><Relationship Id="rId7" Type="http://schemas.openxmlformats.org/officeDocument/2006/relationships/hyperlink" Target="https://www.sciencedirect.com/science/article/pii/002219968990079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16/j.jimonfin.2024.103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1871</Words>
  <Characters>10368</Characters>
  <Application>Microsoft Office Word</Application>
  <DocSecurity>0</DocSecurity>
  <Lines>167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Bartholomew Armah</dc:creator>
  <cp:keywords/>
  <dc:description/>
  <cp:lastModifiedBy>Bartholomew Armah</cp:lastModifiedBy>
  <cp:revision>2</cp:revision>
  <dcterms:created xsi:type="dcterms:W3CDTF">2026-02-20T12:48:00Z</dcterms:created>
  <dcterms:modified xsi:type="dcterms:W3CDTF">2026-02-20T12:48:00Z</dcterms:modified>
</cp:coreProperties>
</file>