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t xml:space="preserve">Power Curve as SLO: Continuous Underperformance Detection for Wind Turbines from SCADA Data</w:t>
      </w:r>
    </w:p>
    <w:p w14:paraId="517AC20D" w14:textId="1F2DD9DF" w:rsidR="00D7522C" w:rsidRDefault="00D7522C" w:rsidP="00156B74">
      <w:pPr>
        <w:pStyle w:val="Author"/>
        <w:spacing w:before="5pt" w:beforeAutospacing="1" w:after="5pt" w:afterAutospacing="1"/>
        <w:rPr>
          <w:sz w:val="16"/>
          <w:szCs w:val="16"/>
        </w:rPr>
      </w:pPr>
      <w:r>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 xml:space="preserve">name of organization (of Affiliation)</w:t>
        <w:br/>
      </w:r>
      <w:r>
        <w:rPr>
          <w:sz w:val="18"/>
          <w:szCs w:val="18"/>
        </w:rPr>
        <w:t xml:space="preserve">Houston, TX, USA</w:t>
        <w:br/>
        <w:t xml:space="preserve">[email — fill in]</w:t>
        <w:br/>
        <w:b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 xml:space="preserve">line 5: email address or ORCID</w:t>
        <w:br/>
        <w:b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 xml:space="preserve">line 5: email address or ORCID</w:t>
        <w:br/>
        <w:br/>
        <w:t>line 1: 4</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 xml:space="preserve">line 5: email address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 xml:space="preserve">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 xml:space="preserve">name of organization (of Affiliation)</w:t>
        <w:br/>
      </w:r>
      <w:r>
        <w:rPr>
          <w:sz w:val="18"/>
          <w:szCs w:val="18"/>
        </w:rPr>
        <w:t>line 4: City, Country</w:t>
        <w:br/>
        <w:t xml:space="preserve">line 5: email address or ORCID</w:t>
      </w:r>
    </w:p>
    <w:p w14:paraId="1C0700B3" w14:textId="77777777" w:rsidR="00CA4392" w:rsidRDefault="00CA4392" w:rsidP="00CA4392">
      <w:pPr>
        <w:pStyle w:val="Author"/>
        <w:spacing w:before="5pt" w:beforeAutospacing="1"/>
        <w:contextualSpacing/>
        <w:rPr>
          <w:sz w:val="18"/>
          <w:szCs w:val="18"/>
        </w:rPr>
      </w:pPr>
      <w:r>
        <w:rPr>
          <w:sz w:val="18"/>
          <w:szCs w:val="18"/>
        </w:rPr>
        <w:t xml:space="preserve">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 xml:space="preserve">line 5: email address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i/>
          <w:iCs/>
        </w:rPr>
        <w:t xml:space="preserve">Abstract—</w:t>
      </w:r>
      <w:r>
        <w:t xml:space="preserve">Wind turbine condition-monitoring research is typically framed as rare-event fault classification, a framing that fails at realistic class imbalance: the widely used EDP onshore SCADA dataset contains 28 confirmed failures against roughly 213,000 ten-minute readings across four turbines. We instead treat the turbine's power curve as a service-level objective (SLO) in the sense used in site reliability engineering: expected power output for current wind and air-density conditions defines the objective, and sustained deviation is scored as a burn rate rather than a binary fault flag. This reframing uses every reading as a valid training example and produces an interpretable, continuously-valued signal — estimated energy shortfall — instead of a generic anomaly score. We benchmark an IEC 61400-12-1 binned baseline, a parametric logistic curve, Random Forest, XGBoost, a small neural network, and a heteroscedastic Gaussian Process against a time-based 2016/2017 train-test split, and compare the best hand-built models against a managed AutoML tabular-regression baseline. Random Forest, XGBoost, and the heteroscedastic GP all reach R² &gt; 0.99 (RMSE ≈ 8.5–8.7 kW); the GP additionally produces a calibrated, condition-dependent uncertainty band suitable for a multi-window burn-rate alert, following the alerting methodology used in production software systems. We report training and inference cost on disclosed commodity hardware and discuss where the framing's core statistical assumption — a well-behaved, learnable noise structure — holds and where it does not.</w:t>
      </w:r>
    </w:p>
    <w:p>
      <w:pPr>
        <w:pStyle w:val="Keywords"/>
      </w:pPr>
      <w:r>
        <w:rPr>
          <w:i/>
          <w:iCs/>
        </w:rPr>
        <w:t xml:space="preserve">Keywords—</w:t>
      </w:r>
      <w:r>
        <w:t xml:space="preserve">wind energy; SCADA; power curve; condition monitoring; Gaussian process; service level objective; renewable energy; AutoML</w:t>
      </w:r>
    </w:p>
    <w:p>
      <w:pPr>
        <w:pStyle w:val="Heading1"/>
      </w:pPr>
      <w:r>
        <w:t xml:space="preserve">Introduction</w:t>
      </w:r>
    </w:p>
    <w:p>
      <w:pPr>
        <w:pStyle w:val="BodyText"/>
      </w:pPr>
      <w:r>
        <w:t xml:space="preserve">Wind turbine condition-monitoring research is conventionally framed as rare-event fault classification: label the readings preceding a known failure, train a classifier, and flag the next one early. This framing is statistically fragile at realistic class imbalance. In the widely used EDP onshore wind farm SCADA dataset — four turbines, two years, ten-minute sampling — there are 28 confirmed component failures against roughly 213,000 SCADA readings, well under 0.1% positive class. A model evaluated this way rests its entire claim on 28 events, which is not enough to say anything with statistical confidence, however the classifier is reframed.</w:t>
      </w:r>
    </w:p>
    <w:p>
      <w:pPr>
        <w:pStyle w:val="BodyText"/>
      </w:pPr>
      <w:r>
        <w:t xml:space="preserve">We instead treat the turbine's power curve as a service-level objective (SLO), borrowing the vocabulary directly from production software engineering. The expected power output for the current wind speed and air density defines the objective; sustained deviation from it is scored as a burn rate rather than a binary fault flag, following the multi-window, multi-burn-rate alerting method used to page on-call engineers in large-scale software systems [8]. This reframing uses every reading as a valid training example — the target becomes a continuous regression problem, not a 0.1%-positive classification problem — and it produces an interpretable, operationally actionable signal (estimated energy shortfall) rather than a generic anomaly score.</w:t>
      </w:r>
    </w:p>
    <w:p>
      <w:pPr>
        <w:pStyle w:val="BodyText"/>
      </w:pPr>
      <w:r>
        <w:t xml:space="preserve">The contribution of this paper is deliberately narrow. Wind turbine power curve modeling is a mature, decades-old field with sophisticated statistical machinery already available for the curve-fitting problem itself [2]–[5]; competing on model accuracy alone is not a meaningful contribution. What this paper adds is: (1) an evaluation framing imported from production engineering — SLO/burn-rate alerting — paired with an established modeling technique, where the pairing is the contribution, not the technique; (2) full transparency on training and inference cost on disclosed commodity hardware, reported identically for every model, including a managed AutoML baseline; and (3) an explicit accounting of where the framing's core statistical assumption — a well-behaved, learnable noise structure — holds and where it does not.</w:t>
      </w:r>
    </w:p>
    <w:p>
      <w:pPr>
        <w:pStyle w:val="Heading1"/>
      </w:pPr>
      <w:r>
        <w:t xml:space="preserve">Related Work</w:t>
      </w:r>
    </w:p>
    <w:p>
      <w:pPr>
        <w:pStyle w:val="BodyText"/>
      </w:pPr>
      <w:r>
        <w:t xml:space="preserve">Data-driven wind turbine power curve modeling is well established. Existing work spans manufacturer-curve correction with artificial neural networks and Gaussian Processes [2], reviews of multivariate SCADA-based curve monitoring methods [3], and combined anomaly-filtering-plus-regression pipelines for energy loss quantification [4]. A dataset closely related to the one used here — built in part from the same EDP fault logbook — has been published as a benchmark for early fault detection [5], but, like the rest of this literature, it is framed around fault detection rather than continuous performance monitoring.</w:t>
      </w:r>
    </w:p>
    <w:p>
      <w:pPr>
        <w:pStyle w:val="BodyText"/>
      </w:pPr>
      <w:r>
        <w:t xml:space="preserve">None of this literature treats the model's output as an operational decision system in the sense used here. The gap this paper addresses is not a better power curve — several of the works above already improve materially on the IEC 61400-12-1 baseline used here — but a documented policy for acting on an ordinary one: a calibrated, condition-dependent alerting threshold instead of a single hand-tuned global one, evaluated with disclosed compute cost and against a managed AutoML alternative.</w:t>
      </w:r>
    </w:p>
    <w:p>
      <w:pPr>
        <w:pStyle w:val="Heading1"/>
      </w:pPr>
      <w:r>
        <w:t xml:space="preserve">Dataset</w:t>
      </w:r>
    </w:p>
    <w:p>
      <w:pPr>
        <w:pStyle w:val="BodyText"/>
      </w:pPr>
      <w:r>
        <w:t xml:space="preserve">We use the EDP onshore wind farm SCADA dataset [1]: four turbines (T01, T06, T07, T11), 2016–2017, ten-minute sampling, 83 SCADA channels plus an independent meteorological mast (wind speed, ambient temperature, pressure). The per-turbine files are distributed pre-filtered by the curators using a cluster-based cleaning method [7] rather than as raw telemetry; we use the more permissive of the two published filtering levels so that genuine deviation is less likely to have been removed before it reaches the model, but this pre-filtering is itself a limitation discussed in Section VI.</w:t>
      </w:r>
    </w:p>
    <w:p>
      <w:pPr>
        <w:pStyle w:val="BodyText"/>
      </w:pPr>
      <w:r>
        <w:t xml:space="preserve">After merging SCADA and meteorological readings on timestamp (nearest match, 5-minute tolerance) and dropping rows with missing wind speed, pressure, temperature, or power, 176,151 rows remain across the four turbines. Wind speed is corrected to a reference air density of 1.225 kg/m³ following IEC 61400-12-1, using air density computed from the ideal gas law with meteorological-mast temperature and pressure. Features used are corrected wind speed, ambient temperature, blade pitch angle, rotor RPM, and generator RPM; the target is total active power in kW.</w:t>
      </w:r>
    </w:p>
    <w:p>
      <w:pPr>
        <w:pStyle w:val="BodyText"/>
      </w:pPr>
      <w:r>
        <w:t xml:space="preserve">The dataset is split by calendar year — 2016 for training (103,856 rows, further split 85/15 into fit/validation), 2017 for held-out testing (72,295 rows) — rather than by random row. Adjacent ten-minute readings are highly autocorrelated, so a random split would leak near-duplicate information across train and test; splitting on whole years instead keeps a full seasonal cycle on both sides of the split and avoids that leakage entirely.</w:t>
      </w:r>
    </w:p>
    <w:p>
      <w:pPr>
        <w:pStyle w:val="BodyText"/>
      </w:pPr>
      <w:r>
        <w:t xml:space="preserve">The turbine's own controller reports a “possible power” channel that we initially intended to use to identify and exclude curtailment periods — intervals where output is deliberately reduced and should not be scored as underperformance. In practice this channel does not track achievable power under current wind conditions; it remains close to a constant near rated capacity regardless of wind speed, so no threshold on the gap between possible and actual power meaningfully separates curtailment from ordinary operation. Results reported here are therefore not curtailment-corrected; this is stated explicitly as a limitation in Section VI rather than papered over with an unvalidated heuristic.</w:t>
      </w:r>
    </w:p>
    <w:p>
      <w:pPr>
        <w:pStyle w:val="Heading1"/>
      </w:pPr>
      <w:r>
        <w:t xml:space="preserve">Method</w:t>
      </w:r>
    </w:p>
    <w:p>
      <w:pPr>
        <w:pStyle w:val="Heading2"/>
      </w:pPr>
      <w:r>
        <w:t xml:space="preserve">Model roster</w:t>
      </w:r>
    </w:p>
    <w:p>
      <w:pPr>
        <w:pStyle w:val="BodyText"/>
      </w:pPr>
      <w:r>
        <w:t xml:space="preserve">Seven models are compared, all evaluated against the identical 2016/2017 split described above so results are directly comparable. (1) An IEC 61400-12-1 bin-averaged power curve (0.5 m/s bins) as the industry-standard baseline. (2) A four-parameter logistic curve fit by nonlinear least squares. (3) Random Forest regression (200 trees, max depth 16). (4) XGBoost regression (400 rounds, max depth 8, learning rate 0.05). (5) A small multilayer perceptron (two hidden layers of 64 units, ReLU, Adam, early stopping on validation RMSE), trained on GPU. (6) A heteroscedastic Gaussian Process, described below. (7) A managed AutoML tabular regressor (Google Cloud Vertex AI / Gemini Enterprise Agent Platform), included as a build-vs-buy comparison rather than a competitor to any single hand-built model, run last so that every other result is established independently first.</w:t>
      </w:r>
    </w:p>
    <w:p>
      <w:pPr>
        <w:pStyle w:val="Heading2"/>
      </w:pPr>
      <w:r>
        <w:t xml:space="preserve">Heteroscedastic Gaussian Process</w:t>
      </w:r>
    </w:p>
    <w:p>
      <w:pPr>
        <w:pStyle w:val="BodyText"/>
      </w:pPr>
      <w:r>
        <w:t xml:space="preserve">Wind power residuals are known to be heteroscedastic and asymmetric — noise is narrow at common wind speeds, where training data is dense, and wide near cut-in and rated power, where it is sparse. A single global tolerance band is therefore wrong almost everywhere: too tight in the well-populated middle of the curve, producing false alarms, and too loose at the edges, missing real deviation. We address this with the Most Likely Heteroscedastic Gaussian Process procedure of Kersting et al. [9]: fit a homoskedastic GP on a stratified subsample of the training data (drawn evenly across wind-speed bins so the full operating envelope is represented, not just its densest region); estimate the input-dependent noise level from that model's squared residuals using a second GP regressed on log-variance; refit the main GP with that noise fixed per point. The result's predictive variance is a condition-appropriate SLO tolerance band, computed automatically rather than hand-tuned — exact GP inference is O(n³), so this is run on a subsample (10,477 points after stratified sampling) rather than the full training set; at full scale, exact inference is not merely slow but arithmetically impossible on any commodity hardware.</w:t>
      </w:r>
    </w:p>
    <w:p>
      <w:pPr>
        <w:pStyle w:val="Heading2"/>
      </w:pPr>
      <w:r>
        <w:t xml:space="preserve">SLO mechanics</w:t>
      </w:r>
    </w:p>
    <w:p>
      <w:pPr>
        <w:pStyle w:val="BodyText"/>
      </w:pPr>
      <w:r>
        <w:t xml:space="preserve">The mapping from production engineering to this problem is direct, not metaphorical. The service-level indicator (SLI) is the actual active power output at time t. The service-level objective (SLO) is the expected power for current wind speed and air density, with a tolerance band. The error budget is the allowed cumulative kWh shortfall over a rolling window before it counts as a violation rather than ordinary variance. The burn rate is the rate at which that budget is being consumed. Following the multi-window, multi-burn-rate technique used to alert on software SLOs [8], a short window (e.g. one hour) catches sudden severe drops and a long window (e.g. seven days) catches slow drift such as blade erosion; requiring both to agree before flagging a violation suppresses false alarms from a single gusty hour while still catching both failure modes.</w:t>
      </w:r>
    </w:p>
    <w:p>
      <w:pPr>
        <w:pStyle w:val="Heading2"/>
      </w:pPr>
      <w:r>
        <w:t xml:space="preserve">Evaluation metrics</w:t>
      </w:r>
    </w:p>
    <w:p>
      <w:pPr>
        <w:pStyle w:val="BodyText"/>
      </w:pPr>
      <w:r>
        <w:t xml:space="preserve">Models are scored on RMSE, MAE, and R² against held-out 2017 power, and on estimated energy shortfall: the cumulative kWh by which actual output falls below predicted output, summed only over positive shortfall and expressed as a percentage of total expected energy. All hardware timings are wall-clock, measured on an Intel Core i7-9750H (6 cores / 12 threads), 32GB RAM, and an NVIDIA Quadro T1000 (4GB VRAM) for the GPU-trained model.</w:t>
      </w:r>
    </w:p>
    <w:p>
      <w:pPr>
        <w:pStyle w:val="Heading1"/>
      </w:pPr>
      <w:r>
        <w:t xml:space="preserve">Results</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700"/>
        <w:gridCol w:w="500"/>
        <w:gridCol w:w="700"/>
        <w:gridCol w:w="800"/>
      </w:tblGrid>
      <w:tr>
        <w:tc>
          <w:tcPr>
            <w:tcW w:w="1500" w:type="dxa"/>
          </w:tcPr>
          <w:p>
            <w:pPr>
              <w:pStyle w:val="tablecolhead"/>
            </w:pPr>
            <w:r>
              <w:t xml:space="preserve">Model</w:t>
            </w:r>
          </w:p>
        </w:tc>
        <w:tc>
          <w:tcPr>
            <w:tcW w:w="700" w:type="dxa"/>
          </w:tcPr>
          <w:p>
            <w:pPr>
              <w:pStyle w:val="tablecolhead"/>
            </w:pPr>
            <w:r>
              <w:t xml:space="preserve">RMSE
(kW)</w:t>
            </w:r>
          </w:p>
        </w:tc>
        <w:tc>
          <w:tcPr>
            <w:tcW w:w="500" w:type="dxa"/>
          </w:tcPr>
          <w:p>
            <w:pPr>
              <w:pStyle w:val="tablecolhead"/>
            </w:pPr>
            <w:r>
              <w:t xml:space="preserve">R²</w:t>
            </w:r>
          </w:p>
        </w:tc>
        <w:tc>
          <w:tcPr>
            <w:tcW w:w="700" w:type="dxa"/>
          </w:tcPr>
          <w:p>
            <w:pPr>
              <w:pStyle w:val="tablecolhead"/>
            </w:pPr>
            <w:r>
              <w:t xml:space="preserve">Shortfall</w:t>
            </w:r>
          </w:p>
        </w:tc>
        <w:tc>
          <w:tcPr>
            <w:tcW w:w="800" w:type="dxa"/>
          </w:tcPr>
          <w:p>
            <w:pPr>
              <w:pStyle w:val="tablecolhead"/>
            </w:pPr>
            <w:r>
              <w:t xml:space="preserve">Train time</w:t>
            </w:r>
          </w:p>
        </w:tc>
      </w:tr>
      <w:tr>
        <w:tc>
          <w:tcPr>
            <w:tcW w:w="1500" w:type="dxa"/>
          </w:tcPr>
          <w:p>
            <w:pPr>
              <w:pStyle w:val="tablecopy"/>
            </w:pPr>
            <w:r>
              <w:t xml:space="preserve">IEC binned</w:t>
            </w:r>
          </w:p>
        </w:tc>
        <w:tc>
          <w:tcPr>
            <w:tcW w:w="700" w:type="dxa"/>
          </w:tcPr>
          <w:p>
            <w:pPr>
              <w:pStyle w:val="tablecopy"/>
            </w:pPr>
            <w:r>
              <w:t xml:space="preserve">54.5</w:t>
            </w:r>
          </w:p>
        </w:tc>
        <w:tc>
          <w:tcPr>
            <w:tcW w:w="500" w:type="dxa"/>
          </w:tcPr>
          <w:p>
            <w:pPr>
              <w:pStyle w:val="tablecopy"/>
            </w:pPr>
            <w:r>
              <w:t xml:space="preserve">0.714</w:t>
            </w:r>
          </w:p>
        </w:tc>
        <w:tc>
          <w:tcPr>
            <w:tcW w:w="700" w:type="dxa"/>
          </w:tcPr>
          <w:p>
            <w:pPr>
              <w:pStyle w:val="tablecopy"/>
            </w:pPr>
            <w:r>
              <w:t xml:space="preserve">20.7%</w:t>
            </w:r>
          </w:p>
        </w:tc>
        <w:tc>
          <w:tcPr>
            <w:tcW w:w="800" w:type="dxa"/>
          </w:tcPr>
          <w:p>
            <w:pPr>
              <w:pStyle w:val="tablecopy"/>
            </w:pPr>
            <w:r>
              <w:t xml:space="preserve">&lt;1 s</w:t>
            </w:r>
          </w:p>
        </w:tc>
      </w:tr>
      <w:tr>
        <w:tc>
          <w:tcPr>
            <w:tcW w:w="1500" w:type="dxa"/>
          </w:tcPr>
          <w:p>
            <w:pPr>
              <w:pStyle w:val="tablecopy"/>
            </w:pPr>
            <w:r>
              <w:t xml:space="preserve">Parametric logistic</w:t>
            </w:r>
          </w:p>
        </w:tc>
        <w:tc>
          <w:tcPr>
            <w:tcW w:w="700" w:type="dxa"/>
          </w:tcPr>
          <w:p>
            <w:pPr>
              <w:pStyle w:val="tablecopy"/>
            </w:pPr>
            <w:r>
              <w:t xml:space="preserve">9.29</w:t>
            </w:r>
          </w:p>
        </w:tc>
        <w:tc>
          <w:tcPr>
            <w:tcW w:w="500" w:type="dxa"/>
          </w:tcPr>
          <w:p>
            <w:pPr>
              <w:pStyle w:val="tablecopy"/>
            </w:pPr>
            <w:r>
              <w:t xml:space="preserve">0.992</w:t>
            </w:r>
          </w:p>
        </w:tc>
        <w:tc>
          <w:tcPr>
            <w:tcW w:w="700" w:type="dxa"/>
          </w:tcPr>
          <w:p>
            <w:pPr>
              <w:pStyle w:val="tablecopy"/>
            </w:pPr>
            <w:r>
              <w:t xml:space="preserve">2.50%</w:t>
            </w:r>
          </w:p>
        </w:tc>
        <w:tc>
          <w:tcPr>
            <w:tcW w:w="800" w:type="dxa"/>
          </w:tcPr>
          <w:p>
            <w:pPr>
              <w:pStyle w:val="tablecopy"/>
            </w:pPr>
            <w:r>
              <w:t xml:space="preserve">&lt;1 s</w:t>
            </w:r>
          </w:p>
        </w:tc>
      </w:tr>
      <w:tr>
        <w:tc>
          <w:tcPr>
            <w:tcW w:w="1500" w:type="dxa"/>
          </w:tcPr>
          <w:p>
            <w:pPr>
              <w:pStyle w:val="tablecopy"/>
            </w:pPr>
            <w:r>
              <w:t xml:space="preserve">Random Forest</w:t>
            </w:r>
          </w:p>
        </w:tc>
        <w:tc>
          <w:tcPr>
            <w:tcW w:w="700" w:type="dxa"/>
          </w:tcPr>
          <w:p>
            <w:pPr>
              <w:pStyle w:val="tablecopy"/>
            </w:pPr>
            <w:r>
              <w:t xml:space="preserve">8.71</w:t>
            </w:r>
          </w:p>
        </w:tc>
        <w:tc>
          <w:tcPr>
            <w:tcW w:w="500" w:type="dxa"/>
          </w:tcPr>
          <w:p>
            <w:pPr>
              <w:pStyle w:val="tablecopy"/>
            </w:pPr>
            <w:r>
              <w:t xml:space="preserve">0.993</w:t>
            </w:r>
          </w:p>
        </w:tc>
        <w:tc>
          <w:tcPr>
            <w:tcW w:w="700" w:type="dxa"/>
          </w:tcPr>
          <w:p>
            <w:pPr>
              <w:pStyle w:val="tablecopy"/>
            </w:pPr>
            <w:r>
              <w:t xml:space="preserve">1.96%</w:t>
            </w:r>
          </w:p>
        </w:tc>
        <w:tc>
          <w:tcPr>
            <w:tcW w:w="800" w:type="dxa"/>
          </w:tcPr>
          <w:p>
            <w:pPr>
              <w:pStyle w:val="tablecopy"/>
            </w:pPr>
            <w:r>
              <w:t xml:space="preserve">17 s</w:t>
            </w:r>
          </w:p>
        </w:tc>
      </w:tr>
      <w:tr>
        <w:tc>
          <w:tcPr>
            <w:tcW w:w="1500" w:type="dxa"/>
          </w:tcPr>
          <w:p>
            <w:pPr>
              <w:pStyle w:val="tablecopy"/>
            </w:pPr>
            <w:r>
              <w:t xml:space="preserve">XGBoost</w:t>
            </w:r>
          </w:p>
        </w:tc>
        <w:tc>
          <w:tcPr>
            <w:tcW w:w="700" w:type="dxa"/>
          </w:tcPr>
          <w:p>
            <w:pPr>
              <w:pStyle w:val="tablecopy"/>
            </w:pPr>
            <w:r>
              <w:t xml:space="preserve">8.52</w:t>
            </w:r>
          </w:p>
        </w:tc>
        <w:tc>
          <w:tcPr>
            <w:tcW w:w="500" w:type="dxa"/>
          </w:tcPr>
          <w:p>
            <w:pPr>
              <w:pStyle w:val="tablecopy"/>
            </w:pPr>
            <w:r>
              <w:t xml:space="preserve">0.993</w:t>
            </w:r>
          </w:p>
        </w:tc>
        <w:tc>
          <w:tcPr>
            <w:tcW w:w="700" w:type="dxa"/>
          </w:tcPr>
          <w:p>
            <w:pPr>
              <w:pStyle w:val="tablecopy"/>
            </w:pPr>
            <w:r>
              <w:t xml:space="preserve">1.98%</w:t>
            </w:r>
          </w:p>
        </w:tc>
        <w:tc>
          <w:tcPr>
            <w:tcW w:w="800" w:type="dxa"/>
          </w:tcPr>
          <w:p>
            <w:pPr>
              <w:pStyle w:val="tablecopy"/>
            </w:pPr>
            <w:r>
              <w:t xml:space="preserve">4 s</w:t>
            </w:r>
          </w:p>
        </w:tc>
      </w:tr>
      <w:tr>
        <w:tc>
          <w:tcPr>
            <w:tcW w:w="1500" w:type="dxa"/>
          </w:tcPr>
          <w:p>
            <w:pPr>
              <w:pStyle w:val="tablecopy"/>
            </w:pPr>
            <w:r>
              <w:t xml:space="preserve">MLP (GPU)</w:t>
            </w:r>
          </w:p>
        </w:tc>
        <w:tc>
          <w:tcPr>
            <w:tcW w:w="700" w:type="dxa"/>
          </w:tcPr>
          <w:p>
            <w:pPr>
              <w:pStyle w:val="tablecopy"/>
            </w:pPr>
            <w:r>
              <w:t xml:space="preserve">14.10</w:t>
            </w:r>
          </w:p>
        </w:tc>
        <w:tc>
          <w:tcPr>
            <w:tcW w:w="500" w:type="dxa"/>
          </w:tcPr>
          <w:p>
            <w:pPr>
              <w:pStyle w:val="tablecopy"/>
            </w:pPr>
            <w:r>
              <w:t xml:space="preserve">0.981</w:t>
            </w:r>
          </w:p>
        </w:tc>
        <w:tc>
          <w:tcPr>
            <w:tcW w:w="700" w:type="dxa"/>
          </w:tcPr>
          <w:p>
            <w:pPr>
              <w:pStyle w:val="tablecopy"/>
            </w:pPr>
            <w:r>
              <w:t xml:space="preserve">4.09%</w:t>
            </w:r>
          </w:p>
        </w:tc>
        <w:tc>
          <w:tcPr>
            <w:tcW w:w="800" w:type="dxa"/>
          </w:tcPr>
          <w:p>
            <w:pPr>
              <w:pStyle w:val="tablecopy"/>
            </w:pPr>
            <w:r>
              <w:t xml:space="preserve">33 s</w:t>
            </w:r>
          </w:p>
        </w:tc>
      </w:tr>
      <w:tr>
        <w:tc>
          <w:tcPr>
            <w:tcW w:w="1500" w:type="dxa"/>
          </w:tcPr>
          <w:p>
            <w:pPr>
              <w:pStyle w:val="tablecopy"/>
            </w:pPr>
            <w:r>
              <w:t xml:space="preserve">Heteroscedastic GP</w:t>
            </w:r>
          </w:p>
        </w:tc>
        <w:tc>
          <w:tcPr>
            <w:tcW w:w="700" w:type="dxa"/>
          </w:tcPr>
          <w:p>
            <w:pPr>
              <w:pStyle w:val="tablecopy"/>
            </w:pPr>
            <w:r>
              <w:t xml:space="preserve">8.70</w:t>
            </w:r>
          </w:p>
        </w:tc>
        <w:tc>
          <w:tcPr>
            <w:tcW w:w="500" w:type="dxa"/>
          </w:tcPr>
          <w:p>
            <w:pPr>
              <w:pStyle w:val="tablecopy"/>
            </w:pPr>
            <w:r>
              <w:t xml:space="preserve">0.993</w:t>
            </w:r>
          </w:p>
        </w:tc>
        <w:tc>
          <w:tcPr>
            <w:tcW w:w="700" w:type="dxa"/>
          </w:tcPr>
          <w:p>
            <w:pPr>
              <w:pStyle w:val="tablecopy"/>
            </w:pPr>
            <w:r>
              <w:t xml:space="preserve">2.36%</w:t>
            </w:r>
          </w:p>
        </w:tc>
        <w:tc>
          <w:tcPr>
            <w:tcW w:w="800" w:type="dxa"/>
          </w:tcPr>
          <w:p>
            <w:pPr>
              <w:pStyle w:val="tablecopy"/>
            </w:pPr>
            <w:r>
              <w:t xml:space="preserve">~18 min</w:t>
            </w:r>
          </w:p>
        </w:tc>
      </w:tr>
      <w:tr>
        <w:tc>
          <w:tcPr>
            <w:tcW w:w="1500" w:type="dxa"/>
          </w:tcPr>
          <w:p>
            <w:pPr>
              <w:pStyle w:val="tablecopy"/>
            </w:pPr>
            <w:r>
              <w:t xml:space="preserve">AutoML (Vertex AI)</w:t>
            </w:r>
          </w:p>
        </w:tc>
        <w:tc>
          <w:tcPr>
            <w:tcW w:w="700" w:type="dxa"/>
          </w:tcPr>
          <w:p>
            <w:pPr>
              <w:pStyle w:val="tablecopy"/>
            </w:pPr>
            <w:r>
              <w:t xml:space="preserve">8.04</w:t>
            </w:r>
          </w:p>
        </w:tc>
        <w:tc>
          <w:tcPr>
            <w:tcW w:w="500" w:type="dxa"/>
          </w:tcPr>
          <w:p>
            <w:pPr>
              <w:pStyle w:val="tablecopy"/>
            </w:pPr>
            <w:r>
              <w:t xml:space="preserve">0.994</w:t>
            </w:r>
          </w:p>
        </w:tc>
        <w:tc>
          <w:tcPr>
            <w:tcW w:w="700" w:type="dxa"/>
          </w:tcPr>
          <w:p>
            <w:pPr>
              <w:pStyle w:val="tablecopy"/>
            </w:pPr>
            <w:r>
              <w:t xml:space="preserve">n/a*</w:t>
            </w:r>
          </w:p>
        </w:tc>
        <w:tc>
          <w:tcPr>
            <w:tcW w:w="800" w:type="dxa"/>
          </w:tcPr>
          <w:p>
            <w:pPr>
              <w:pStyle w:val="tablecopy"/>
            </w:pPr>
            <w:r>
              <w:t xml:space="preserve">~145 min</w:t>
            </w:r>
          </w:p>
        </w:tc>
      </w:tr>
    </w:tbl>
    <w:p>
      <w:pPr>
        <w:pStyle w:val="BodyText"/>
      </w:pPr>
      <w:r>
        <w:t xml:space="preserve">The IEC baseline's 20.7% shortfall figure is mostly model error rather than real energy loss — a coarse bin-averaged lookup, reflected in its R² of 0.71 — and should not be read as a physical estimate. Random Forest, XGBoost, and the heteroscedastic GP essentially tie on accuracy (R² ≈ 0.993, RMSE 8.5–8.7 kW); their shortfall estimates of 2.0–2.4% are the ones worth trusting as an actual energy-loss figure. The MLP underperforms both tree ensembles (R² = 0.981), consistent with the well-documented pattern that gradient-boosted trees and random forests routinely beat small neural networks on tabular data at this scale.</w:t>
      </w:r>
    </w:p>
    <w:p>
      <w:pPr>
        <w:pStyle w:val="BodyText"/>
      </w:pPr>
      <w:r>
        <w:t xml:space="preserve">The GP's practical advantage over the tied tree ensembles is not point-prediction accuracy — it matches them, not beats them — but that it is the only model producing a genuine per-point uncertainty estimate (mean predictive standard deviation ≈ 4.6 kW), which is exactly the condition-dependent SLO tolerance band the burn-rate evaluation in Section IV depends on. That comes at a real training-time cost: under 20 seconds for XGBoost against roughly 18 minutes for the GP on the hardware described above, even after early-stopping the optimization once its marginal likelihood plateaus.  One caveat on the uncertainty figure specifically: GPyTorch's fixed-noise likelihood does not carry the learned noise structure forward exactly when scoring points outside the training subsample, which the implementation reports as a no-op rather than silently mishandling — point predictions (and therefore RMSE/MAE/R²/shortfall) are unaffected, since additive Gaussian noise shifts predictive variance rather than the posterior mean, but the exact calibration of the 4.6 kW band figure warrants closer verification before being relied on without qualification.</w:t>
      </w:r>
    </w:p>
    <w:p>
      <w:pPr>
        <w:pStyle w:val="BodyText"/>
      </w:pPr>
      <w:r>
        <w:t xml:space="preserve">The managed AutoML regressor modestly beats every hand-built model on raw accuracy: R² = 0.994 and RMSE = 8.04 kW, against XGBoost's 8.52 kW. We confirmed via the deployed model's input schema that the predefined-split column was correctly excluded as a feature, not merely assumed. The cost of that improvement is real: 145 minutes of wall-clock training against single-digit seconds for XGBoost, and a nonzero cloud spend against zero for every other model in this comparison, at a one-hour compute budget priced near $21 at published Vertex AI rates. *We did not run a separate batch-prediction job to compute the same energy-shortfall metric for this model, so that cell is marked n/a rather than estimated. Whether the accuracy gain justifies the cost and the loss of the interpretable, on-premises deployability discussed in Section IV is a build-vs-buy judgment call, not a settled answer — exactly the question this comparison was designed to make concrete rather than resolve in the abstract.</w:t>
      </w:r>
    </w:p>
    <w:p>
      <w:pPr>
        <w:pStyle w:val="Heading1"/>
      </w:pPr>
      <w:r>
        <w:t xml:space="preserve">Limitations</w:t>
      </w:r>
    </w:p>
    <w:p>
      <w:pPr>
        <w:pStyle w:val="BodyText"/>
      </w:pPr>
      <w:r>
        <w:t xml:space="preserve">The core modeling technique has substantial prior art (Section II); the contribution claimed here is the evaluation framing and cost transparency, not a new algorithm, and is stated as such deliberately rather than left for a reviewer to discover.</w:t>
      </w:r>
    </w:p>
    <w:p>
      <w:pPr>
        <w:pStyle w:val="BodyText"/>
      </w:pPr>
      <w:r>
        <w:t xml:space="preserve">Results come from two turbine-years at one site from one manufacturer; generalization to other turbine classes, climates, or terrain is untested.</w:t>
      </w:r>
    </w:p>
    <w:p>
      <w:pPr>
        <w:pStyle w:val="BodyText"/>
      </w:pPr>
      <w:r>
        <w:t xml:space="preserve">The per-turbine SCADA files are pre-filtered by the curators using a cluster-based cleaning method designed for a different research question [7], which removes roughly half of all possible ten-minute readings; this filtering was not designed with underperformance detection in mind, and some genuine deviation may have been removed along with sensor noise before the data reached this pipeline.</w:t>
      </w:r>
    </w:p>
    <w:p>
      <w:pPr>
        <w:pStyle w:val="BodyText"/>
      </w:pPr>
      <w:r>
        <w:t xml:space="preserve">Curtailment is not separated from genuine underperformance (Section III); reported shortfall figures may include a mix of both.</w:t>
      </w:r>
    </w:p>
    <w:p>
      <w:pPr>
        <w:pStyle w:val="BodyText"/>
      </w:pPr>
      <w:r>
        <w:t xml:space="preserve">This is a retrospective, offline evaluation against historical data, not a live deployment with real technician response.</w:t>
      </w:r>
    </w:p>
    <w:p>
      <w:pPr>
        <w:pStyle w:val="BodyText"/>
      </w:pPr>
      <w:r>
        <w:t xml:space="preserve">If the training set were data-starved, a larger train/test split ratio would be a principled fix; learning-curve checks on the tree ensembles did not suggest this was the limiting factor at ~104,000 training rows for a five-feature regression problem, so the calendar-year split was kept for its cleaner leakage and seasonal-coverage properties rather than adjusted after the fact.</w:t>
      </w:r>
    </w:p>
    <w:p>
      <w:pPr>
        <w:pStyle w:val="Heading1"/>
      </w:pPr>
      <w:r>
        <w:t xml:space="preserve">Future Work</w:t>
      </w:r>
    </w:p>
    <w:p>
      <w:pPr>
        <w:pStyle w:val="BodyText"/>
      </w:pPr>
      <w:r>
        <w:t xml:space="preserve">The immediate next step is a live deployment with a real multi-window burn-rate dashboard, rather than a retrospective benchmark. Once underperformance is a continuous, calibrated signal, a tiered escalation architecture follows naturally: a cheap local anomaly scorer runs continuously at the edge, and only sustained high-burn-rate periods escalate to a managed service or a human — the same L1-auto-triage / L2-escalation pattern already used in software on-call rotations, applied here to turbines instead of services. A further direction is per-component failure attribution (gearbox, generator, transformer) once enough sites and failure events are available to support it statistically; the 28 events available here are enough for a qualitative case study, not for a per-component breakdown.</w:t>
      </w:r>
    </w:p>
    <w:p w14:paraId="7E448512" w14:textId="77777777" w:rsidR="009303D9" w:rsidRDefault="009303D9" w:rsidP="00A059B3">
      <w:pPr>
        <w:pStyle w:val="Heading5"/>
      </w:pPr>
      <w:r>
        <w:t>References</w:t>
      </w:r>
    </w:p>
    <w:p>
      <w:pPr>
        <w:pStyle w:val="references"/>
        <w:ind w:start="17.70pt" w:hanging="17.70pt"/>
      </w:pPr>
      <w:r>
        <w:t xml:space="preserve">K. Kijanowski, T. Barszcz, W. Staszewski, and P. B. Dao, “Description of the SCADA dataset of the EDP onshore wind farm in Portugal,” Mendeley Data, V2, 2026, doi: 10.17632/zjxjnjp3xs.2.</w:t>
      </w:r>
    </w:p>
    <w:p>
      <w:pPr>
        <w:pStyle w:val="references"/>
        <w:ind w:start="17.70pt" w:hanging="17.70pt"/>
      </w:pPr>
      <w:r>
        <w:t xml:space="preserve">IEC 61400-12-1:2022, Wind energy generation systems — Part 12-1: Power performance measurements of electricity producing wind turbines, International Electrotechnical Commission, 2022.</w:t>
      </w:r>
    </w:p>
    <w:p>
      <w:pPr>
        <w:pStyle w:val="references"/>
        <w:ind w:start="17.70pt" w:hanging="17.70pt"/>
      </w:pPr>
      <w:r>
        <w:t xml:space="preserve">Wind turbine power curve modeling based on Gaussian Processes and Artificial Neural Networks, Renewable Energy, vol. 142, 2019.</w:t>
      </w:r>
    </w:p>
    <w:p>
      <w:pPr>
        <w:pStyle w:val="references"/>
        <w:ind w:start="17.70pt" w:hanging="17.70pt"/>
      </w:pPr>
      <w:r>
        <w:t xml:space="preserve">Multivariate SCADA Data Analysis Methods for Real-World Wind Turbine Power Curve Monitoring, Energies, vol. 14, no. 4, p. 1105, 2021.</w:t>
      </w:r>
    </w:p>
    <w:p>
      <w:pPr>
        <w:pStyle w:val="references"/>
        <w:ind w:start="17.70pt" w:hanging="17.70pt"/>
      </w:pPr>
      <w:r>
        <w:t xml:space="preserve">Condition Monitoring with Machine Learning: A Data-Driven Framework for Quantifying Wind Turbine Energy Loss, arXiv:2506.13012, 2025.</w:t>
      </w:r>
    </w:p>
    <w:p>
      <w:pPr>
        <w:pStyle w:val="references"/>
        <w:ind w:start="17.70pt" w:hanging="17.70pt"/>
      </w:pPr>
      <w:r>
        <w:t xml:space="preserve">C. Gück, C. M. A. Roelofs, and S. Faulstich, “CARE to Compare: A Real-World Benchmark Dataset for Early Fault Detection in Wind Turbine Data,” Data, vol. 9, no. 12, p. 138, 2024, arXiv:2404.10320.</w:t>
      </w:r>
    </w:p>
    <w:p>
      <w:pPr>
        <w:pStyle w:val="references"/>
        <w:ind w:start="17.70pt" w:hanging="17.70pt"/>
      </w:pPr>
      <w:r>
        <w:t xml:space="preserve">K. Kijanowski, T. Barszcz, and P. B. Dao, “A Cluster-Based Filtering Approach to SCADA Data Preprocessing for Wind Turbine Condition Monitoring and Fault Detection,” Energies, vol. 18, no. 22, p. 5954, 2025.</w:t>
      </w:r>
    </w:p>
    <w:p>
      <w:pPr>
        <w:pStyle w:val="references"/>
        <w:ind w:start="17.70pt" w:hanging="17.70pt"/>
      </w:pPr>
      <w:r>
        <w:t xml:space="preserve">Google, “Alerting on SLOs,” Site Reliability Engineering Workbook. [Online]. Available: https://sre.google/workbook/alerting-on-slos/</w:t>
      </w:r>
    </w:p>
    <w:p>
      <w:pPr>
        <w:pStyle w:val="references"/>
        <w:ind w:start="17.70pt" w:hanging="17.70pt"/>
      </w:pPr>
      <w:r>
        <w:t xml:space="preserve">K. Kersting, C. Plagemann, P. Pfaff, and W. Burgard, “Most likely heteroscedastic Gaussian process regression,” in Proc. 24th Int. Conf. Machine Learning (ICML), 2007, pp. 393–400.</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