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DFD1" w14:textId="77777777" w:rsidR="00AF378A" w:rsidRDefault="002F6A8A">
      <w:pPr>
        <w:pStyle w:val="a4"/>
      </w:pPr>
      <w:r>
        <w:t>Лаб.8 Модель конкуренции двух фирм</w:t>
      </w:r>
    </w:p>
    <w:p w14:paraId="2D2F5AAD" w14:textId="61AFBA51" w:rsidR="00AF378A" w:rsidRDefault="003F194A">
      <w:pPr>
        <w:pStyle w:val="Author"/>
      </w:pPr>
      <w:r>
        <w:t>Поздняков Данила Романович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93877339"/>
        <w:docPartObj>
          <w:docPartGallery w:val="Table of Contents"/>
          <w:docPartUnique/>
        </w:docPartObj>
      </w:sdtPr>
      <w:sdtEndPr/>
      <w:sdtContent>
        <w:p w14:paraId="0CB65B2B" w14:textId="77777777" w:rsidR="00AF378A" w:rsidRDefault="002F6A8A">
          <w:pPr>
            <w:pStyle w:val="ae"/>
          </w:pPr>
          <w:r>
            <w:t>Содержание</w:t>
          </w:r>
        </w:p>
        <w:p w14:paraId="5D1B64F0" w14:textId="79C4CDC7" w:rsidR="00BF06EF" w:rsidRDefault="002F6A8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F6F20">
            <w:fldChar w:fldCharType="separate"/>
          </w:r>
          <w:hyperlink w:anchor="_Toc101797316" w:history="1">
            <w:r w:rsidR="00BF06EF" w:rsidRPr="000B0CB2">
              <w:rPr>
                <w:rStyle w:val="ad"/>
                <w:noProof/>
              </w:rPr>
              <w:t>Цель работы</w:t>
            </w:r>
            <w:r w:rsidR="00BF06EF">
              <w:rPr>
                <w:noProof/>
                <w:webHidden/>
              </w:rPr>
              <w:tab/>
            </w:r>
            <w:r w:rsidR="00BF06EF">
              <w:rPr>
                <w:noProof/>
                <w:webHidden/>
              </w:rPr>
              <w:fldChar w:fldCharType="begin"/>
            </w:r>
            <w:r w:rsidR="00BF06EF">
              <w:rPr>
                <w:noProof/>
                <w:webHidden/>
              </w:rPr>
              <w:instrText xml:space="preserve"> PAGEREF _Toc101797316 \h </w:instrText>
            </w:r>
            <w:r w:rsidR="00BF06EF">
              <w:rPr>
                <w:noProof/>
                <w:webHidden/>
              </w:rPr>
            </w:r>
            <w:r w:rsidR="00BF06EF">
              <w:rPr>
                <w:noProof/>
                <w:webHidden/>
              </w:rPr>
              <w:fldChar w:fldCharType="separate"/>
            </w:r>
            <w:r w:rsidR="00BF06EF">
              <w:rPr>
                <w:noProof/>
                <w:webHidden/>
              </w:rPr>
              <w:t>1</w:t>
            </w:r>
            <w:r w:rsidR="00BF06EF">
              <w:rPr>
                <w:noProof/>
                <w:webHidden/>
              </w:rPr>
              <w:fldChar w:fldCharType="end"/>
            </w:r>
          </w:hyperlink>
        </w:p>
        <w:p w14:paraId="7EFC4265" w14:textId="44D77E6A" w:rsidR="00BF06EF" w:rsidRDefault="00BF06E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317" w:history="1">
            <w:r w:rsidRPr="000B0CB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1C85" w14:textId="5A03B0BE" w:rsidR="00BF06EF" w:rsidRDefault="00BF06E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7318" w:history="1">
            <w:r w:rsidRPr="000B0CB2">
              <w:rPr>
                <w:rStyle w:val="ad"/>
                <w:noProof/>
              </w:rPr>
              <w:t>Вариант 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EFA9" w14:textId="4897B3B5" w:rsidR="00BF06EF" w:rsidRDefault="00BF06E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319" w:history="1">
            <w:r w:rsidRPr="000B0CB2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CFBF7" w14:textId="4B56A9C9" w:rsidR="00BF06EF" w:rsidRDefault="00BF06E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320" w:history="1">
            <w:r w:rsidRPr="000B0CB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AF6D8" w14:textId="49581993" w:rsidR="00BF06EF" w:rsidRDefault="00BF06E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7321" w:history="1">
            <w:r w:rsidRPr="000B0CB2">
              <w:rPr>
                <w:rStyle w:val="ad"/>
                <w:noProof/>
              </w:rPr>
              <w:t>Построение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7437" w14:textId="3D75D7F4" w:rsidR="00BF06EF" w:rsidRDefault="00BF06E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7322" w:history="1">
            <w:r w:rsidRPr="000B0CB2">
              <w:rPr>
                <w:rStyle w:val="ad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34137" w14:textId="4B32C65D" w:rsidR="00BF06EF" w:rsidRDefault="00BF06E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323" w:history="1">
            <w:r w:rsidRPr="000B0CB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3C90" w14:textId="3759AFBA" w:rsidR="00AF378A" w:rsidRDefault="002F6A8A">
          <w:r>
            <w:fldChar w:fldCharType="end"/>
          </w:r>
        </w:p>
      </w:sdtContent>
    </w:sdt>
    <w:p w14:paraId="4B244624" w14:textId="77777777" w:rsidR="00AF378A" w:rsidRDefault="002F6A8A">
      <w:pPr>
        <w:pStyle w:val="1"/>
      </w:pPr>
      <w:bookmarkStart w:id="0" w:name="цель-работы"/>
      <w:bookmarkStart w:id="1" w:name="_Toc101797316"/>
      <w:r>
        <w:t>Цель работы</w:t>
      </w:r>
      <w:bookmarkEnd w:id="1"/>
    </w:p>
    <w:p w14:paraId="49A3A726" w14:textId="77777777" w:rsidR="00AF378A" w:rsidRDefault="002F6A8A">
      <w:pPr>
        <w:pStyle w:val="FirstParagraph"/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двух случаев.</w:t>
      </w:r>
    </w:p>
    <w:p w14:paraId="26502F01" w14:textId="77777777" w:rsidR="00AF378A" w:rsidRDefault="002F6A8A">
      <w:pPr>
        <w:pStyle w:val="1"/>
      </w:pPr>
      <w:bookmarkStart w:id="2" w:name="задание"/>
      <w:bookmarkStart w:id="3" w:name="_Toc101797317"/>
      <w:bookmarkEnd w:id="0"/>
      <w:r>
        <w:t>Задание</w:t>
      </w:r>
      <w:bookmarkEnd w:id="3"/>
    </w:p>
    <w:p w14:paraId="6D27F6CD" w14:textId="7C1DFC81" w:rsidR="00AF378A" w:rsidRDefault="002F6A8A">
      <w:pPr>
        <w:pStyle w:val="2"/>
      </w:pPr>
      <w:bookmarkStart w:id="4" w:name="вариант-26"/>
      <w:bookmarkStart w:id="5" w:name="_Toc101797318"/>
      <w:r>
        <w:t xml:space="preserve">Вариант </w:t>
      </w:r>
      <w:r w:rsidR="00BF06EF">
        <w:t>41</w:t>
      </w:r>
      <w:bookmarkEnd w:id="5"/>
    </w:p>
    <w:p w14:paraId="31341494" w14:textId="77777777" w:rsidR="00AF378A" w:rsidRDefault="002F6A8A">
      <w:pPr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 w14:paraId="36064037" w14:textId="77777777" w:rsidR="00AF378A" w:rsidRDefault="002F6A8A">
      <w:pPr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2.</w:t>
      </w:r>
    </w:p>
    <w:p w14:paraId="28DA5EA4" w14:textId="77777777" w:rsidR="00AF378A" w:rsidRDefault="002F6A8A">
      <w:pPr>
        <w:pStyle w:val="1"/>
      </w:pPr>
      <w:bookmarkStart w:id="6" w:name="теоретическое-введение"/>
      <w:bookmarkStart w:id="7" w:name="_Toc101797319"/>
      <w:bookmarkEnd w:id="2"/>
      <w:bookmarkEnd w:id="4"/>
      <w:r>
        <w:t>Теоретическое введение</w:t>
      </w:r>
      <w:bookmarkEnd w:id="7"/>
    </w:p>
    <w:p w14:paraId="5C6D7931" w14:textId="77777777" w:rsidR="00AF378A" w:rsidRDefault="002F6A8A">
      <w:pPr>
        <w:pStyle w:val="FirstParagraph"/>
      </w:pPr>
      <w:r>
        <w:t>Случай 1.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14:paraId="6ECF2ECE" w14:textId="77777777" w:rsidR="00AF378A" w:rsidRDefault="00FF6F20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F6A8A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1D438528" w14:textId="77777777" w:rsidR="00AF378A" w:rsidRDefault="002F6A8A">
      <w:pPr>
        <w:pStyle w:val="a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 2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 2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 2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 2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 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 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 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 </m:t>
                </m:r>
              </m:sup>
            </m:sSubSup>
          </m:den>
        </m:f>
      </m:oMath>
    </w:p>
    <w:p w14:paraId="42580DCC" w14:textId="77777777" w:rsidR="00AF378A" w:rsidRDefault="002F6A8A">
      <w:pPr>
        <w:pStyle w:val="a0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</w:p>
    <w:p w14:paraId="471622C6" w14:textId="77777777" w:rsidR="00AF378A" w:rsidRDefault="002F6A8A">
      <w:pPr>
        <w:pStyle w:val="a0"/>
      </w:pPr>
      <w:r>
        <w:t xml:space="preserve">Случай 2. Рассмотрим модель, когда, помимо экономического фактора влияния (изменение себестоимости, производственного цикла, использование кредита и </w:t>
      </w:r>
      <w:proofErr w:type="gramStart"/>
      <w:r>
        <w:t>т.п.</w:t>
      </w:r>
      <w:proofErr w:type="gramEnd"/>
      <w:r>
        <w:t xml:space="preserve">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 w14:paraId="3740F3B3" w14:textId="77777777" w:rsidR="00AF378A" w:rsidRDefault="00FF6F20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0.00016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F6A8A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1D1F7D6" w14:textId="77777777" w:rsidR="00AF378A" w:rsidRDefault="002F6A8A">
      <w:pPr>
        <w:pStyle w:val="a0"/>
      </w:pPr>
      <w:r>
        <w:t xml:space="preserve">Для обоих случаев рассмотрим задачу со следующими начальными условиями и параметрами: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7.5</m:t>
        </m:r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8.5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</m:t>
        </m:r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 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9.5</m:t>
        </m:r>
      </m:oMath>
    </w:p>
    <w:p w14:paraId="7F1DB676" w14:textId="77777777" w:rsidR="00AF378A" w:rsidRDefault="002F6A8A">
      <w:pPr>
        <w:pStyle w:val="a0"/>
      </w:pPr>
      <w:r>
        <w:t xml:space="preserve">Замечание: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 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</m:oMath>
      <w:r>
        <w:t xml:space="preserve"> указаны в тысячах единиц, 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указаны в </w:t>
      </w:r>
      <w:proofErr w:type="gramStart"/>
      <w:r>
        <w:t>млн.</w:t>
      </w:r>
      <w:proofErr w:type="gramEnd"/>
      <w:r>
        <w:t xml:space="preserve"> единиц.</w:t>
      </w:r>
    </w:p>
    <w:p w14:paraId="31EDD863" w14:textId="77777777" w:rsidR="00AF378A" w:rsidRDefault="002F6A8A">
      <w:pPr>
        <w:pStyle w:val="a0"/>
      </w:pPr>
      <w:r>
        <w:t>Обозначения:</w:t>
      </w:r>
    </w:p>
    <w:p w14:paraId="0C9309D6" w14:textId="77777777" w:rsidR="00AF378A" w:rsidRDefault="002F6A8A">
      <w:pPr>
        <w:pStyle w:val="a0"/>
      </w:pPr>
      <w:r>
        <w:t>N –- число потребителей производимого продукта.</w:t>
      </w:r>
    </w:p>
    <w:p w14:paraId="7FED0F3C" w14:textId="77777777" w:rsidR="00AF378A" w:rsidRDefault="002F6A8A">
      <w:pPr>
        <w:pStyle w:val="a0"/>
      </w:pPr>
      <m:oMath>
        <m:r>
          <w:rPr>
            <w:rFonts w:ascii="Cambria Math" w:hAnsi="Cambria Math"/>
          </w:rPr>
          <m:t>τ</m:t>
        </m:r>
      </m:oMath>
      <w:r>
        <w:t xml:space="preserve"> – длительность производственного цикла</w:t>
      </w:r>
    </w:p>
    <w:p w14:paraId="446E6F5A" w14:textId="77777777" w:rsidR="00AF378A" w:rsidRDefault="002F6A8A">
      <w:pPr>
        <w:pStyle w:val="a0"/>
      </w:pPr>
      <w:r>
        <w:t>p – рыночная цена товара</w:t>
      </w:r>
    </w:p>
    <w:p w14:paraId="5BB2A197" w14:textId="77777777" w:rsidR="00AF378A" w:rsidRDefault="00FF6F20">
      <w:pPr>
        <w:pStyle w:val="a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 </m:t>
            </m:r>
          </m:sup>
        </m:sSup>
      </m:oMath>
      <w:r w:rsidR="002F6A8A">
        <w:t xml:space="preserve"> – себестоимость продукта, то есть переменные издержки на производство единицы продукции.</w:t>
      </w:r>
    </w:p>
    <w:p w14:paraId="6EEE0C26" w14:textId="77777777" w:rsidR="00AF378A" w:rsidRDefault="002F6A8A">
      <w:pPr>
        <w:pStyle w:val="a0"/>
      </w:pPr>
      <w:r>
        <w:t>q – максимальная потребность одного человека в продукте в единицу времени</w:t>
      </w:r>
    </w:p>
    <w:p w14:paraId="3D54F608" w14:textId="77777777" w:rsidR="00AF378A" w:rsidRDefault="002F6A8A">
      <w:pPr>
        <w:pStyle w:val="a0"/>
      </w:pP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– безразмерное время</w:t>
      </w:r>
    </w:p>
    <w:p w14:paraId="7F6F5DDB" w14:textId="77777777" w:rsidR="00AF378A" w:rsidRDefault="002F6A8A">
      <w:pPr>
        <w:pStyle w:val="1"/>
      </w:pPr>
      <w:bookmarkStart w:id="8" w:name="выполнение-лабораторной-работы"/>
      <w:bookmarkStart w:id="9" w:name="_Toc101797320"/>
      <w:bookmarkEnd w:id="6"/>
      <w:r>
        <w:lastRenderedPageBreak/>
        <w:t>Выполнение лабораторной работы</w:t>
      </w:r>
      <w:bookmarkEnd w:id="9"/>
    </w:p>
    <w:p w14:paraId="6E70894D" w14:textId="77777777" w:rsidR="00AF378A" w:rsidRDefault="002F6A8A">
      <w:pPr>
        <w:pStyle w:val="2"/>
      </w:pPr>
      <w:bookmarkStart w:id="10" w:name="построение-графиков"/>
      <w:bookmarkStart w:id="11" w:name="_Toc101797321"/>
      <w:r>
        <w:t>Построение графиков</w:t>
      </w:r>
      <w:bookmarkEnd w:id="11"/>
    </w:p>
    <w:p w14:paraId="6E503ACB" w14:textId="77777777" w:rsidR="00AF378A" w:rsidRDefault="002F6A8A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51EA0722" wp14:editId="1A207BD8">
            <wp:extent cx="5334000" cy="2136862"/>
            <wp:effectExtent l="0" t="0" r="0" b="0"/>
            <wp:docPr id="25" name="Picture" descr="График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g8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6EC6646" w14:textId="77777777" w:rsidR="00AF378A" w:rsidRDefault="002F6A8A">
      <w:pPr>
        <w:pStyle w:val="ImageCaption"/>
      </w:pPr>
      <w:r>
        <w:t>График для случая 1</w:t>
      </w:r>
    </w:p>
    <w:p w14:paraId="061C4DE5" w14:textId="77777777" w:rsidR="00AF378A" w:rsidRDefault="002F6A8A">
      <w:pPr>
        <w:pStyle w:val="CaptionedFigure"/>
      </w:pPr>
      <w:bookmarkStart w:id="13" w:name="fig:002"/>
      <w:r>
        <w:rPr>
          <w:noProof/>
        </w:rPr>
        <w:drawing>
          <wp:inline distT="0" distB="0" distL="0" distR="0" wp14:anchorId="6B3BD4CC" wp14:editId="715F9350">
            <wp:extent cx="5334000" cy="2100876"/>
            <wp:effectExtent l="0" t="0" r="0" b="0"/>
            <wp:docPr id="29" name="Picture" descr="График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g8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06E50217" w14:textId="77777777" w:rsidR="00AF378A" w:rsidRDefault="002F6A8A">
      <w:pPr>
        <w:pStyle w:val="ImageCaption"/>
      </w:pPr>
      <w:r>
        <w:t>График для случая 2</w:t>
      </w:r>
    </w:p>
    <w:p w14:paraId="1A8DF32A" w14:textId="77777777" w:rsidR="00AF378A" w:rsidRDefault="002F6A8A">
      <w:pPr>
        <w:pStyle w:val="2"/>
      </w:pPr>
      <w:bookmarkStart w:id="14" w:name="код-программы"/>
      <w:bookmarkStart w:id="15" w:name="_Toc101797322"/>
      <w:bookmarkEnd w:id="10"/>
      <w:r>
        <w:lastRenderedPageBreak/>
        <w:t>Код программы</w:t>
      </w:r>
      <w:bookmarkEnd w:id="15"/>
    </w:p>
    <w:p w14:paraId="52B65EAF" w14:textId="77777777" w:rsidR="00AF378A" w:rsidRDefault="002F6A8A">
      <w:pPr>
        <w:pStyle w:val="CaptionedFigure"/>
      </w:pPr>
      <w:bookmarkStart w:id="16" w:name="fig:003"/>
      <w:r>
        <w:rPr>
          <w:noProof/>
        </w:rPr>
        <w:drawing>
          <wp:inline distT="0" distB="0" distL="0" distR="0" wp14:anchorId="7AA351FB" wp14:editId="668CF601">
            <wp:extent cx="5334000" cy="3584863"/>
            <wp:effectExtent l="0" t="0" r="0" b="0"/>
            <wp:docPr id="34" name="Picture" descr="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g8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395B43E7" w14:textId="77777777" w:rsidR="00AF378A" w:rsidRDefault="002F6A8A">
      <w:pPr>
        <w:pStyle w:val="ImageCaption"/>
      </w:pPr>
      <w:r>
        <w:t>код программы</w:t>
      </w:r>
    </w:p>
    <w:p w14:paraId="7D48D712" w14:textId="77777777" w:rsidR="00AF378A" w:rsidRDefault="002F6A8A">
      <w:pPr>
        <w:pStyle w:val="1"/>
      </w:pPr>
      <w:bookmarkStart w:id="17" w:name="выводы"/>
      <w:bookmarkStart w:id="18" w:name="_Toc101797323"/>
      <w:bookmarkEnd w:id="8"/>
      <w:bookmarkEnd w:id="14"/>
      <w:r>
        <w:t>Выводы</w:t>
      </w:r>
      <w:bookmarkEnd w:id="18"/>
    </w:p>
    <w:p w14:paraId="6E6FCBCA" w14:textId="77777777" w:rsidR="00AF378A" w:rsidRDefault="002F6A8A">
      <w:pPr>
        <w:pStyle w:val="FirstParagraph"/>
      </w:pPr>
      <w:proofErr w:type="gramStart"/>
      <w:r>
        <w:t>Рассмотрели</w:t>
      </w:r>
      <w:proofErr w:type="gramEnd"/>
      <w:r>
        <w:t xml:space="preserve"> как будет протекать эпидемия в 2ух случаях.</w:t>
      </w:r>
      <w:bookmarkEnd w:id="17"/>
    </w:p>
    <w:sectPr w:rsidR="00AF378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2C65" w14:textId="77777777" w:rsidR="00FF6F20" w:rsidRDefault="00FF6F20">
      <w:pPr>
        <w:spacing w:after="0"/>
      </w:pPr>
      <w:r>
        <w:separator/>
      </w:r>
    </w:p>
  </w:endnote>
  <w:endnote w:type="continuationSeparator" w:id="0">
    <w:p w14:paraId="1DED1B6F" w14:textId="77777777" w:rsidR="00FF6F20" w:rsidRDefault="00FF6F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8CBA8" w14:textId="77777777" w:rsidR="00FF6F20" w:rsidRDefault="00FF6F20">
      <w:r>
        <w:separator/>
      </w:r>
    </w:p>
  </w:footnote>
  <w:footnote w:type="continuationSeparator" w:id="0">
    <w:p w14:paraId="4E928556" w14:textId="77777777" w:rsidR="00FF6F20" w:rsidRDefault="00FF6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FF29A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884CE1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78A"/>
    <w:rsid w:val="002F6A8A"/>
    <w:rsid w:val="003F194A"/>
    <w:rsid w:val="00AF378A"/>
    <w:rsid w:val="00BF06EF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F899"/>
  <w15:docId w15:val="{987F77B7-291E-4D23-9516-E57B095F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F06E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F06E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Лаб.8 Модель конкуренции двух фирм</dc:title>
  <dc:creator>Поляков Иван Андреевич</dc:creator>
  <cp:keywords/>
  <cp:lastModifiedBy>Поздняков Данила Романович</cp:lastModifiedBy>
  <cp:revision>3</cp:revision>
  <dcterms:created xsi:type="dcterms:W3CDTF">2022-04-02T15:24:00Z</dcterms:created>
  <dcterms:modified xsi:type="dcterms:W3CDTF">2022-04-25T13:41:00Z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