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EXCEPTION MANAGEMENT POLICY AND REGISTER</w:t>
      </w:r>
    </w:p>
    <w:p>
      <w:pPr>
        <w:shd w:fill="1B2A4A" w:val="clear"/>
        <w:spacing w:before="40" w:after="0"/>
        <w:ind w:left="1440"/>
      </w:pPr>
      <w:r>
        <w:rPr>
          <w:rFonts w:ascii="Arial" w:cs="Arial" w:eastAsia="Arial" w:hAnsi="Arial"/>
          <w:i/>
          <w:iCs/>
          <w:color w:val="D6E4F7"/>
          <w:sz w:val="24"/>
          <w:szCs w:val="24"/>
        </w:rPr>
        <w:t xml:space="preserve">EXC-001  |  Governance-Level Companion Document  |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EXC-001</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Security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Governance-level companion document — sits at the same level as IMF-001, RACI-001, and REG-001. Applies across all IMF policies simultaneously.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Chief Information Security Officer (CISO)</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ISO/IEC 27001:2022 (A.5.36); 21 CFR Part 11; EU Annex 11; SOX; GDPR Art. 5(2) (accountability); ICH Q10 (CAPA)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This document contains both the policy (Sections 1–9) and the live Exception Register (Section 10). The Register is a controlled document — entries must be made and closed by authorised individuals only. Unauthorised entries are a governance failure. All entries are subject to ISSG review at each quarterly meeting.</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document establishes [Company Name]'s policy for managing exceptions to the requirements of the Information Management Framework — the body of policies, SOPs, and standards issued under IMF-001. An exception is a formal, time-bounded, risk-assessed, and approved deviation from a mandatory requirement of any IMF policy.</w:t>
      </w:r>
    </w:p>
    <w:p>
      <w:pPr>
        <w:spacing w:before="60" w:after="0"/>
      </w:pPr>
      <w:r>
        <w:t xml:space="preserve"/>
      </w:r>
    </w:p>
    <w:p>
      <w:pPr>
        <w:spacing w:before="80" w:after="80"/>
      </w:pPr>
      <w:r>
        <w:rPr>
          <w:rFonts w:ascii="Arial" w:cs="Arial" w:eastAsia="Arial" w:hAnsi="Arial"/>
          <w:color w:val="333333"/>
          <w:sz w:val="22"/>
          <w:szCs w:val="22"/>
        </w:rPr>
        <w:t xml:space="preserve">Exceptions exist because the real world is not perfectly accommodated by policy. A legacy system may be technically incapable of meeting a new control requirement before a remediation project is complete. A business-critical process may require a temporary deviation during a transition period. A third-party constraint may make immediate compliance impossible. In each case, the organisation faces a choice: operate with an undocumented, uncontrolled deviation — an invisible risk — or operate with a documented, approved, compensating-controlled, time-bounded exception — a managed risk.</w:t>
      </w:r>
    </w:p>
    <w:p>
      <w:pPr>
        <w:spacing w:before="60" w:after="0"/>
      </w:pPr>
      <w:r>
        <w:t xml:space="preserve"/>
      </w:r>
    </w:p>
    <w:p>
      <w:pPr>
        <w:spacing w:before="80" w:after="80"/>
      </w:pPr>
      <w:r>
        <w:rPr>
          <w:rFonts w:ascii="Arial" w:cs="Arial" w:eastAsia="Arial" w:hAnsi="Arial"/>
          <w:color w:val="333333"/>
          <w:sz w:val="22"/>
          <w:szCs w:val="22"/>
        </w:rPr>
        <w:t xml:space="preserve">This policy mandates the latter. An undocumented deviation from an IMF policy requirement is not an exception — it is a non-compliance. Non-compliance is a disciplinary matter; an approved exception is a managed risk with a clear remediation path. The distinction matters to regulators, auditors, and the organisation's own governance programme.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An exception approved under this policy does not reduce [Company Name]'s regulatory obligations. GDPR, GxP regulations, SOX, and HIPAA do not provide for internal exception processes. An exception to an IMF policy requirement that reflects a regulatory obligation means [Company Name] is operating with a known regulatory gap — this must be reflected in the risk assessment, and the remediation timeline must be aggressive. Certain exception types described in Section 5 are close to non-approvable for this reason.</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 all exceptions to requirements of IMF-governed documents — specifically:</w:t>
      </w:r>
    </w:p>
    <w:p>
      <w:pPr>
        <w:pStyle w:val="ListParagraph"/>
        <w:numPr>
          <w:ilvl w:val="0"/>
          <w:numId w:val="2"/>
        </w:numPr>
        <w:spacing w:before="60" w:after="60"/>
      </w:pPr>
      <w:r>
        <w:rPr>
          <w:rFonts w:ascii="Arial" w:cs="Arial" w:eastAsia="Arial" w:hAnsi="Arial"/>
          <w:color w:val="333333"/>
          <w:sz w:val="22"/>
          <w:szCs w:val="22"/>
        </w:rPr>
        <w:t xml:space="preserve">All numbered policies (POL-001 through POL-015) and their SOPs</w:t>
      </w:r>
    </w:p>
    <w:p>
      <w:pPr>
        <w:pStyle w:val="ListParagraph"/>
        <w:numPr>
          <w:ilvl w:val="0"/>
          <w:numId w:val="2"/>
        </w:numPr>
        <w:spacing w:before="60" w:after="60"/>
      </w:pPr>
      <w:r>
        <w:rPr>
          <w:rFonts w:ascii="Arial" w:cs="Arial" w:eastAsia="Arial" w:hAnsi="Arial"/>
          <w:color w:val="333333"/>
          <w:sz w:val="22"/>
          <w:szCs w:val="22"/>
        </w:rPr>
        <w:t xml:space="preserve">All requirements specified in companion governance documents (IMF-001, RACI-001, REG-001)</w:t>
      </w:r>
    </w:p>
    <w:p>
      <w:pPr>
        <w:spacing w:before="60" w:after="0"/>
      </w:pPr>
      <w:r>
        <w:t xml:space="preserve"/>
      </w:r>
    </w:p>
    <w:p>
      <w:pPr>
        <w:spacing w:before="80" w:after="80"/>
      </w:pPr>
      <w:r>
        <w:rPr>
          <w:rFonts w:ascii="Arial" w:cs="Arial" w:eastAsia="Arial" w:hAnsi="Arial"/>
          <w:color w:val="333333"/>
          <w:sz w:val="22"/>
          <w:szCs w:val="22"/>
        </w:rPr>
        <w:t xml:space="preserve">The following are explicitly outside scope and are not managed as exceptions under this policy:</w:t>
      </w:r>
    </w:p>
    <w:p>
      <w:pPr>
        <w:pStyle w:val="ListParagraph"/>
        <w:numPr>
          <w:ilvl w:val="0"/>
          <w:numId w:val="2"/>
        </w:numPr>
        <w:spacing w:before="60" w:after="60"/>
      </w:pPr>
      <w:r>
        <w:rPr>
          <w:rFonts w:ascii="Arial" w:cs="Arial" w:eastAsia="Arial" w:hAnsi="Arial"/>
          <w:color w:val="333333"/>
          <w:sz w:val="22"/>
          <w:szCs w:val="22"/>
        </w:rPr>
        <w:t xml:space="preserve">Deviations from non-mandatory guidance or recommendations within IMF documents — these do not require exception approval</w:t>
      </w:r>
    </w:p>
    <w:p>
      <w:pPr>
        <w:pStyle w:val="ListParagraph"/>
        <w:numPr>
          <w:ilvl w:val="0"/>
          <w:numId w:val="2"/>
        </w:numPr>
        <w:spacing w:before="60" w:after="60"/>
      </w:pPr>
      <w:r>
        <w:rPr>
          <w:rFonts w:ascii="Arial" w:cs="Arial" w:eastAsia="Arial" w:hAnsi="Arial"/>
          <w:color w:val="333333"/>
          <w:sz w:val="22"/>
          <w:szCs w:val="22"/>
        </w:rPr>
        <w:t xml:space="preserve">Changes to policy requirements — a requirement that is genuinely wrong or no longer appropriate should be amended via the IMF document review process under IMF-001, not worked around via exceptions</w:t>
      </w:r>
    </w:p>
    <w:p>
      <w:pPr>
        <w:pStyle w:val="ListParagraph"/>
        <w:numPr>
          <w:ilvl w:val="0"/>
          <w:numId w:val="2"/>
        </w:numPr>
        <w:spacing w:before="60" w:after="60"/>
      </w:pPr>
      <w:r>
        <w:rPr>
          <w:rFonts w:ascii="Arial" w:cs="Arial" w:eastAsia="Arial" w:hAnsi="Arial"/>
          <w:color w:val="333333"/>
          <w:sz w:val="22"/>
          <w:szCs w:val="22"/>
        </w:rPr>
        <w:t xml:space="preserve">GxP deviations from validated system configurations or batch record requirements — these are governed by the quality management system CAPA process, not this policy; they may additionally require an IMF exception if an information management policy is also implicated</w:t>
      </w:r>
    </w:p>
    <w:p>
      <w:pPr>
        <w:pStyle w:val="ListParagraph"/>
        <w:numPr>
          <w:ilvl w:val="0"/>
          <w:numId w:val="2"/>
        </w:numPr>
        <w:spacing w:before="60" w:after="60"/>
      </w:pPr>
      <w:r>
        <w:rPr>
          <w:rFonts w:ascii="Arial" w:cs="Arial" w:eastAsia="Arial" w:hAnsi="Arial"/>
          <w:color w:val="333333"/>
          <w:sz w:val="22"/>
          <w:szCs w:val="22"/>
        </w:rPr>
        <w:t xml:space="preserve">Planned maintenance or scheduled downtime approved under POL-007 — these are not exceptions to availability requirements; they are approved operational events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Exception Categories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Exceptions are categorised by the IMF policy domain they relate to. The category determines the minimum approval authority, the maximum permitted duration, and the involvement of specialist reviewers. Where a single exception implicates multiple policy domains, the most restrictive requirements apply.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200"/>
        <w:gridCol w:w="2360"/>
      </w:tblGrid>
      <w:tr>
        <w:trPr>
          <w:tblHeader/>
        </w:trPr>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Implicated Policies</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Specialist Reviewer Required</w:t>
            </w:r>
          </w:p>
        </w:tc>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Max Duration</w:t>
            </w:r>
          </w:p>
        </w:tc>
        <w:tc>
          <w:tcPr>
            <w:tcW w:type="dxa" w:w="2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&amp; Handling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 POL-002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12 months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Exceptions to data retention periods require Legal review where statutory retention obligations are implicated.</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(GxP)</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 SOP-003</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(mandatory). DIO (mandatory).</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 months</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Exceptions in this category directly implicate ALCOA+ regulatory compliance. ISSG notification required for all approved exceptions. See Section 5 — certain data integrity exceptions are non-approvable.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POL-004, SOP-004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(mandatory for any exception affecting personal data processing)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 months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Exceptions that result in personal data being processed without an adequate legal basis are non-approvable. DPO must assess whether GDPR supervisory authority notification is required.</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&amp; Validation</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 SOP-005, POL-006</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(mandatory for GxP systems). Information Security.</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 months (GxP); 12 months (non-GxP)</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Exceptions to validation requirements for GxP systems must be entered in the VMF. Compliance / QA must assess whether the exception creates a non-compliant validated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Compliance / QA (GxP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months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Short maximum duration — change management exceptions tend to normalise undisciplined practice if left open. Exceptions enabling uncontrolled changes to GxP systems are non-approvable.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&amp; Privileged Access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 POL-009</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(mandatory). CISO for Tier 1 / GxP systems.</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 months</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Short maximum duration — excessive access exceptions create accumulating risk. Exceptions enabling shared accounts on GxP systems (ALCOA+ Attributable violation) are non-approvable.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(mandatory). CISO.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12 months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acceptance under POL-010 is the normal mechanism for residual risks — this is distinct from an exception. An exception here means a procedural requirement of the risk management process cannot be followed.</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&amp; DR</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CIO.</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 months</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Exceptions to RTO/RPO targets must be compensated by enhanced monitoring and manual workaround procedures.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 POL-015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(mandatory). CISO.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months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Exceptions to incident notification SLAs require Board awareness if they affect regulatory breach notification capability.</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&amp; Vendor</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Legal. DPO (if personal data involved).</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 months</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Exceptions allowing vendor access before full assessment completion are high-risk and require CISO approval plus enhanced monitoring as a compensating control.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&amp; 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(mandatory). DIO (mandatory for GxP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months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most restricted category. See Section 5 — exceptions to audit trail immutability and the requirement that audit trails cannot be disabled are non-approvable. Any approved exception requires immediate ISSG notification and Board awareness.</w:t>
            </w:r>
          </w:p>
        </w:tc>
      </w:tr>
    </w:tbl>
    <w:p>
      <w:r>
        <w:br w:type="page"/>
      </w:r>
    </w:p>
    <w:p>
      <w:pPr>
        <w:pStyle w:val="Heading1"/>
        <w:spacing w:before="360" w:after="120"/>
      </w:pPr>
      <w:r>
        <w:rPr>
          <w:rFonts w:ascii="Arial" w:cs="Arial" w:eastAsia="Arial" w:hAnsi="Arial"/>
          <w:b/>
          <w:bCs/>
          <w:color w:val="1B2A4A"/>
          <w:sz w:val="36"/>
          <w:szCs w:val="36"/>
        </w:rPr>
        <w:t xml:space="preserve">4.  Risk Assessment and Approval Authority</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Every exception request must include a risk assessment using the same 5×5 likelihood × impact matrix as POL-010, SOP-003 (DIRA), and SOP-004 (DPIA). This ensures residual risk from exceptions is directly comparable to other IS risks in the organisational risk register.</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4.1  Risk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Likelihood</w:t>
            </w:r>
          </w:p>
        </w:tc>
        <w:tc>
          <w:tcPr>
            <w:tcW w:type="dxa" w:w="5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 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Rare — less than once in 5 years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Negligible: no regulatory, financial, or reputational consequence</w:t>
            </w:r>
          </w:p>
        </w:tc>
      </w:tr>
      <w:tr>
        <w:tc>
          <w:tcPr>
            <w:tcW w:type="dxa" w:w="1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Unlikely — once in 2–5 years</w:t>
            </w:r>
          </w:p>
        </w:tc>
        <w:tc>
          <w:tcPr>
            <w:tcW w:type="dxa" w:w="5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Minor: limited consequence, containable without external notification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Possible — once per year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Moderate: material but manageable consequence; possible regulatory notification</w:t>
            </w:r>
          </w:p>
        </w:tc>
      </w:tr>
      <w:tr>
        <w:tc>
          <w:tcPr>
            <w:tcW w:type="dxa" w:w="1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Likely — several times per year</w:t>
            </w:r>
          </w:p>
        </w:tc>
        <w:tc>
          <w:tcPr>
            <w:tcW w:type="dxa" w:w="5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Significant: regulatory finding, financial loss, or reputational damage likely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Almost certain — monthly or more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Severe: critical regulatory finding, major financial loss, or significant reputational damage</w:t>
            </w:r>
          </w:p>
        </w:tc>
      </w:tr>
    </w:tbl>
    <w:p>
      <w:pPr>
        <w:spacing w:before="60" w:after="0"/>
      </w:pPr>
      <w:r>
        <w:t xml:space="preserve"/>
      </w:r>
    </w:p>
    <w:p>
      <w:pPr>
        <w:spacing w:before="80" w:after="80"/>
      </w:pPr>
      <w:r>
        <w:rPr>
          <w:rFonts w:ascii="Arial" w:cs="Arial" w:eastAsia="Arial" w:hAnsi="Arial"/>
          <w:color w:val="333333"/>
          <w:sz w:val="22"/>
          <w:szCs w:val="22"/>
        </w:rPr>
        <w:t xml:space="preserve">Exception risk score = Likelihood × Impact. The score determines approval authority and mandatory compensating controls. The requester provides the initial assessment; Information Security reviews and may revise it.</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4.2  Approval Authority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2400"/>
        <w:gridCol w:w="15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Score</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Level</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Approval Authority</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ISSG Notification</w:t>
            </w:r>
          </w:p>
        </w:tc>
        <w:tc>
          <w:tcPr>
            <w:tcW w:type="dxa" w:w="1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Board Notification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5–9</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At next quarterly ISSG meeting</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CIO + Compliance / QA (GxP) or DPO (privacy) or CFO (SOX ITGC) as applicable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5 business days of approval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If exception remains open &gt; 6 months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15–25</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CIO + CEO + applicable specialist reviewer</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2 business days</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Required — within 5 business days of approval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Critical-scored exceptions (15–25) are approved in name only — they are formal acknowledgements that a serious unmitigated risk exists, with a commitment to remediate it urgently. Approval of a Critical exception does not constitute acceptance that this risk level is tolerable indefinitely. The remediation plan must have executive sponsorship and a target date within the exception duration.</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Non-Approvable Exceptions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Certain deviations cannot be approved as exceptions under any circumstances because they would create regulatory non-compliance that [Company Name] cannot manage through compensating controls. These are not refusals based on risk appetite — they are absolute limits reflecting hard regulatory requirements.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Non-Approvable Deviation</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Governing Requirement</w:t>
            </w:r>
          </w:p>
        </w:tc>
        <w:tc>
          <w:tcPr>
            <w:tcW w:type="dxa" w:w="4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Disabling or technically allowing modification of audit trail records on a GxP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 Section 4; 21 CFR Part 11 §11.10(e); EU Annex 11 §9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GxP system whose audit trail can be altered or disabled is not operating in a validated state under 21 CFR Part 11 or EU Annex 11. No compensating control substitutes for audit trail immutability in a regulated context. This is a Critical regulatory finding regardless of whether the capability has been exploited.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Use of shared or generic accounts for GxP data entry or modification</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 Section 4; POL-003 Section 3 (ALCOA+ Attributable); Part 11 §11.10(d)</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Records created or modified under a shared account are not attributable to an individual — this is a fundamental ALCOA+ failure. Shared accounts for GxP activities are a regulatory non-compliance, not a compensable risk. Individual named accounts with individual credentials are a non-negotiable regulatory 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Processing of personal data without a valid legal basis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POL-004; GDPR Art. 6, 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There is no internal exception process for GDPR legal basis. Processing without a legal basis is unlawful. The correct action is to cease the processing or establish a valid legal basis, not to document the unlawful processing as an approved exception.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Transfer of personal data to a third country without an adequate transfer mechanism</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 Section 8; GDPR Art. 44–49</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International transfers without an adequacy decision or valid transfer mechanism are unlawful under GDPR. An exception process does not create a transfer mechanism.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Operating a GxP computer system that has never been validated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 EU Annex 11 §4; 21 CFR Part 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 unvalidated computer system used for GxP activities is non-compliant regardless of any internal exception approval. If a system cannot be validated before use, it cannot be used for GxP regulated activities. A roadmap to validation does not substitute for validation itself.</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Disabling change management controls on a GxP system</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 EU Annex 11 §10</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 exception to the requirement for controlled changes on a GxP system would permit uncontrolled changes — immediately placing the system outside its validated state and into regulatory non-compliance.</w:t>
            </w:r>
          </w:p>
        </w:tc>
      </w:tr>
    </w:tbl>
    <w:p>
      <w:pPr>
        <w:spacing w:before="80" w:after="0"/>
      </w:pPr>
      <w:r>
        <w:t xml:space="preserve"/>
      </w:r>
    </w:p>
    <w:p>
      <w:pPr>
        <w:spacing w:before="80" w:after="80"/>
      </w:pPr>
      <w:r>
        <w:rPr>
          <w:rFonts w:ascii="Arial" w:cs="Arial" w:eastAsia="Arial" w:hAnsi="Arial"/>
          <w:color w:val="333333"/>
          <w:sz w:val="22"/>
          <w:szCs w:val="22"/>
        </w:rPr>
        <w:t xml:space="preserve">Where a deviation that would be non-approvable as an exception already exists — for example, a legacy system found to have a modifiable audit trail — this must be treated as an open finding in the IS Risk Register (POL-010) with a mandatory remediation plan and timeline, not documented as an exception. The existence of such a finding must be escalated to ISSG and, for GxP systems, to Compliance / QA for assessment of regulatory notification obligations.</w:t>
      </w:r>
    </w:p>
    <w:p>
      <w:r>
        <w:br w:type="page"/>
      </w:r>
    </w:p>
    <w:p>
      <w:pPr>
        <w:pStyle w:val="Heading1"/>
        <w:spacing w:before="360" w:after="120"/>
      </w:pPr>
      <w:r>
        <w:rPr>
          <w:rFonts w:ascii="Arial" w:cs="Arial" w:eastAsia="Arial" w:hAnsi="Arial"/>
          <w:b/>
          <w:bCs/>
          <w:color w:val="1B2A4A"/>
          <w:sz w:val="36"/>
          <w:szCs w:val="36"/>
        </w:rPr>
        <w:t xml:space="preserve">6.  Exception Lifecycle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Every exception follows a defined lifecycle from request through to closure. No stage may be skipped. Exceptions that are not actively managed — not reviewed, not renewed, not closed — automatically lapse and the underlying deviation becomes non-compliance.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Exception Request</w:t>
            </w:r>
          </w:p>
          <w:p>
            <w:pPr>
              <w:spacing w:before="0" w:after="0"/>
            </w:pPr>
            <w:r>
              <w:rPr>
                <w:rFonts w:ascii="Arial" w:cs="Arial" w:eastAsia="Arial" w:hAnsi="Arial"/>
                <w:color w:val="444444"/>
                <w:sz w:val="20"/>
                <w:szCs w:val="20"/>
              </w:rPr>
              <w:t xml:space="preserve">The Requester (the System Owner, process owner, or team lead responsible for the area where the deviation exists) submits an Exception Request covering: (1) the specific policy requirement being deviated from, with the document ID and section; (2) the nature of the deviation — what is not being met and why; (3) the business or technical reason the requirement cannot currently be met; (4) the proposed compensating controls; (5) the proposed exception duration; (6) the proposed remediation plan — the steps and timeline to achieve full compliance.
Exception requests are submitted to Information Security via the designated exception management channel. A request that does not include all required fields is returned to the requester without assessment.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Requester / System Owner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Risk Assessment</w:t>
            </w:r>
          </w:p>
          <w:p>
            <w:pPr>
              <w:spacing w:before="0" w:after="0"/>
            </w:pPr>
            <w:r>
              <w:rPr>
                <w:rFonts w:ascii="Arial" w:cs="Arial" w:eastAsia="Arial" w:hAnsi="Arial"/>
                <w:color w:val="444444"/>
                <w:sz w:val="20"/>
                <w:szCs w:val="20"/>
              </w:rPr>
              <w:t xml:space="preserve">Information Security conducts an independent risk assessment of the proposed exception using the 5×5 matrix in Section 4.1. The assessment considers: (1) the severity of the requirement being deviated from; (2) the adequacy of the proposed compensating controls; (3) the realism of the proposed remediation timeline; (4) the regulatory implication — does this deviation create a regulatory gap?
Information Security may request additional information, revise the risk score upward if the compensating controls are inadequate, or identify the deviation as non-approvable per Section 5.
For GxP exceptions: Compliance / QA reviews the risk assessment and confirms whether the deviation creates a validated state impact requiring VMF documentation.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Compliance / QA (GxP)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Approval</w:t>
            </w:r>
          </w:p>
          <w:p>
            <w:pPr>
              <w:spacing w:before="0" w:after="0"/>
            </w:pPr>
            <w:r>
              <w:rPr>
                <w:rFonts w:ascii="Arial" w:cs="Arial" w:eastAsia="Arial" w:hAnsi="Arial"/>
                <w:color w:val="444444"/>
                <w:sz w:val="20"/>
                <w:szCs w:val="20"/>
              </w:rPr>
              <w:t xml:space="preserve">The exception is submitted to the approval authority per Section 4.2. Approval requires: (1) the approver(s) are satisfied the compensating controls reduce residual risk to an acceptable level; (2) the remediation plan is credible and has an executive sponsor; (3) the exception duration is the minimum necessary — not the maximum permitted; (4) the ISSG and Board notification requirements per Section 4.2 are confirmed.
Approval must be in writing (email, system workflow, or signed exception record). Verbal approval is not valid. Conditional approval — 'approved provided compensating control X is implemented by date Y' — is permitted and conditions must be tracked.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Approval Authority per Section 4.2</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Register Entry and Compensating Control Implementation</w:t>
            </w:r>
          </w:p>
          <w:p>
            <w:pPr>
              <w:spacing w:before="0" w:after="0"/>
            </w:pPr>
            <w:r>
              <w:rPr>
                <w:rFonts w:ascii="Arial" w:cs="Arial" w:eastAsia="Arial" w:hAnsi="Arial"/>
                <w:color w:val="444444"/>
                <w:sz w:val="20"/>
                <w:szCs w:val="20"/>
              </w:rPr>
              <w:t xml:space="preserve">On approval: the exception is entered in the Exception Register (Section 10) within 2 business days. The entry records all fields in the Register template.
The compensating controls committed to in the exception request must be implemented before the exception is treated as active. Information Security confirms implementation. If compensating controls cannot be implemented within 10 business days of approval, the exception is suspended and the deviation treated as open non-compliance pending re-approval.</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Requester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Ongoing Monitoring and Review</w:t>
            </w:r>
          </w:p>
          <w:p>
            <w:pPr>
              <w:spacing w:before="0" w:after="0"/>
            </w:pPr>
            <w:r>
              <w:rPr>
                <w:rFonts w:ascii="Arial" w:cs="Arial" w:eastAsia="Arial" w:hAnsi="Arial"/>
                <w:color w:val="444444"/>
                <w:sz w:val="20"/>
                <w:szCs w:val="20"/>
              </w:rPr>
              <w:t xml:space="preserve">Each open exception is reviewed at the ISSG quarterly meeting. The review confirms: (1) the compensating controls remain in place and effective; (2) the remediation plan is on track; (3) the exception duration has not expired.
For exceptions with a duration of 6 months or more: the Requester provides a written progress update on the remediation plan 30 days before the exception expiry date.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Requester / ISSG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Renewal or Closure</w:t>
            </w:r>
          </w:p>
          <w:p>
            <w:pPr>
              <w:spacing w:before="0" w:after="0"/>
            </w:pPr>
            <w:r>
              <w:rPr>
                <w:rFonts w:ascii="Arial" w:cs="Arial" w:eastAsia="Arial" w:hAnsi="Arial"/>
                <w:color w:val="444444"/>
                <w:sz w:val="20"/>
                <w:szCs w:val="20"/>
              </w:rPr>
              <w:t xml:space="preserve">At expiry: the exception is either closed (compliance achieved) or renewed. Renewal requires a fresh risk assessment and re-approval at the same or higher authority level as the original. A renewal that does not demonstrate meaningful progress toward the remediation goal will not be approved — the ongoing inability to meet a policy requirement without progress is a systemic risk management failure, not an exception condition.
Closure: when the underlying non-compliance is remediated and the policy requirement is fully met, the Requester notifies Information Security. Information Security confirms compliance and closes the Register entry. The closed entry is retained in the Register for audit purposes.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Requester / Information Security / Approval Authority</w:t>
            </w:r>
          </w:p>
        </w:tc>
      </w:tr>
    </w:tbl>
    <w:p>
      <w:r>
        <w:br w:type="page"/>
      </w:r>
    </w:p>
    <w:p>
      <w:pPr>
        <w:pStyle w:val="Heading1"/>
        <w:spacing w:before="360" w:after="120"/>
      </w:pPr>
      <w:r>
        <w:rPr>
          <w:rFonts w:ascii="Arial" w:cs="Arial" w:eastAsia="Arial" w:hAnsi="Arial"/>
          <w:b/>
          <w:bCs/>
          <w:color w:val="1B2A4A"/>
          <w:sz w:val="36"/>
          <w:szCs w:val="36"/>
        </w:rPr>
        <w:t xml:space="preserve">7.  Compensating Controls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Compensating controls are the alternative or supplementary measures that reduce the risk created by the policy deviation for the duration of the exception. They are not optional additions to an exception request — they are the primary basis on which the approval authority assesses whether the residual risk is acceptable.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Deviation Type</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Compensating Control Examples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unable to meet audit trail immutability requirement (non-GxP only — GxP version is non-approvable)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Export audit trail records to an external immutable store at least daily; implement cryptographic hash verification on log exports; restrict system audit trail configuration to a named two-person process with CISO approval for any change; increase monitoring frequency to detect anomalies; accept no changes to the system other than via the most restrictive change process.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unable to enforce MFA</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Compensate with network-level controls restricting access to known IP ranges only; implement enhanced monitoring for authentication events; reduce access provisioning to the absolute minimum required; require manual access review monthly rather than quarterly; implement privileged access management overlay (PAM) for all accounts even if the system itself does not natively support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validation overdue (e.g., major version upgrade requiring re-qualification not yet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Continue to operate the system at the last validated version pending re-qualification; restrict all changes to emergency only under POL-007; increase audit trail review frequency to weekly; document the gap in the VMF; Compliance / QA confirms no GxP activities that depend on the new functionality proceed until re-qualification is complete.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access not yet fully assessed (Tier A vendor, assessment in progress)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Restrict vendor access to the minimum scope required for the activity; supervise all vendor sessions in real-time; revoke access immediately after each session (JIT access model); Information Security monitors all vendor sessions in SIEM; access limited to non-production or non-GxP systems until assessment is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period cannot be met (e.g., technical limitation preventing deletion)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Place a data access restriction on the over-retained data immediately; document and justify the over-retention; notify DPO for GDPR assessment; implement delete capability as part of the remediation plan with a specific target date.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RTO/RPO target cannot currently be met for a Tier 1 system</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 manual workaround procedures for the system's critical functions; increase the frequency of backup verification tests; ensure operations team is trained on manual procedures; notify key stakeholders of the current DR capability gap; implement enhanced monitoring to reduce detection-to-response time.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Reporting and Governance</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Report</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Audience</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3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Register summary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ISSG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(at each ISSG meeting)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Number of open exceptions by category and risk level; new exceptions since last meeting; exceptions due for renewal; exceptions where remediation is behind plan; closed exceptions.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 Critical exception notification</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CIO, CEO (Critical)</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2–5 business days of approval per Section 4.2</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ID, policy domain, risk score, compensating controls, remediation plan, approval authority.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exception notification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Director, DIO, ISSG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5 business days of any GxP-category exception approval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details, VMF reference, assessment of validated state impact, regulatory notification assessment.</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Board exception report</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Board / Audit Committee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Annually, or immediately for Critical exceptions</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Open Critical and High exceptions; exceptions open &gt; 12 months; exceptions where remediation has not progressed; trend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notification assessment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Compliance / QA / Legal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 approval of any exception implicating GDPR, HIPAA, or GxP regulatory obligations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Assessment of whether the exception creates a regulatory notification obligation; conclusion and rationale.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 owner. Approves Medium and above exceptions. Ensures exception register is maintained. Presents exception summary to ISSG. Escalates Critical exceptions to CEO and Board.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Administers the exception process. Conducts risk assessments. Maintains the Exception Register. Monitors open exceptions. Reviews compensating control implementation. Alerts CISO to overdue renewals or remediation slippage.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reviewer for all GxP-category exceptions. Assesses validated state impact. Confirms VMF documentation requirement. Assesses regulatory notification for GxP exceptions.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reviewer for all privacy-category exceptions and any exception affecting personal data processing. Assesses GDPR supervisory authority notification obligation for exceptions creating regulatory gaps.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Co-approver for High and Critical exceptions. Accountable for remediating infrastructure and operational exceptions within the committed timelines.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CEO</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Co-approver for Critical exceptions. Informed of all Board-notifiable exceptions.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Requester / System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Submits the exception request. Implements and maintains compensating controls. Owns the remediation plan. Provides progress updates on request and before renewal.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ISSG</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exception register summary quarterly. Challenges exceptions where compensating controls appear inadequate or remediation is not progressing. Recommends escalation to Board where appropriate.</w:t>
            </w:r>
          </w:p>
        </w:tc>
      </w:tr>
    </w:tbl>
    <w:p>
      <w:r>
        <w:br w:type="page"/>
      </w:r>
    </w:p>
    <w:p>
      <w:pPr>
        <w:pStyle w:val="Heading1"/>
        <w:spacing w:before="360" w:after="120"/>
      </w:pPr>
      <w:r>
        <w:rPr>
          <w:rFonts w:ascii="Arial" w:cs="Arial" w:eastAsia="Arial" w:hAnsi="Arial"/>
          <w:b/>
          <w:bCs/>
          <w:color w:val="1B2A4A"/>
          <w:sz w:val="36"/>
          <w:szCs w:val="36"/>
        </w:rPr>
        <w:t xml:space="preserve">10.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 — EXC-001 is the cross-cutting exception governance mechanism for all IMF-issued documents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exception management governance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 Document Register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register is tracked in EXC-001; the register of all IMF documents is maintained in REG-001</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exception process references this document; exception sections in each policy are governed by EXC-001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and Disposal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Retention period exceptions require DPO and Legal review; statutory retention obligations may make certain retention exceptions non-approvable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data integrity exceptions are Category 2 (most restricted approvable category); exceptions to ALCOA+ attributable and complete requirements for GxP systems are non-approvable per Section 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exceptions require mandatory DPO involvement; processing without a legal basis is non-approvable; GDPR supervisory authority notification assessment required for approved exceptions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exceptions affect downstream risk tier and control requirements across multiple policies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validation exceptions require VMF documentation; operating an unvalidated GxP system is non-approvable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exceptions have a 3-month maximum duration; exceptions enabling uncontrolled GxP changes are non-approvable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exceptions limited to 3 months; shared accounts on GxP systems are non-approvable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exceptions are high-risk; exception to PAM session recording for Tier 1/GxP systems requires CISO approval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acceptance under POL-010 for residual risks is distinct from an exception; the exception risk scoring matrix is identical to enable direct comparison; High/Critical exceptions feed the IS Risk Register</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RTO/RPO exceptions require enhanced manual workaround procedures as compensating controls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Exceptions to incident notification SLAs affecting regulatory breach notification require Board awareness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engagement before full assessment exceptions are high-risk; require CISO approval and real-time session supervision as compensating controls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Most restricted exception category; audit trail immutability and the ability to disable audit trails on GxP systems are non-approvable; any approved exception requires immediate ISSG notification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and Operational Incident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incident response exceptions governed under this policy</w:t>
            </w:r>
          </w:p>
        </w:tc>
      </w:tr>
    </w:tbl>
    <w:p>
      <w:r>
        <w:br w:type="page"/>
      </w:r>
    </w:p>
    <w:p>
      <w:pPr>
        <w:pStyle w:val="Heading1"/>
        <w:spacing w:before="360" w:after="120"/>
      </w:pPr>
      <w:r>
        <w:rPr>
          <w:rFonts w:ascii="Arial" w:cs="Arial" w:eastAsia="Arial" w:hAnsi="Arial"/>
          <w:b/>
          <w:bCs/>
          <w:color w:val="1B2A4A"/>
          <w:sz w:val="36"/>
          <w:szCs w:val="36"/>
        </w:rPr>
        <w:t xml:space="preserve">11.  Exception Register</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Exception Register is the authoritative record of all active and recently closed exceptions to IMF policy requirements. It is maintained by Information Security and reviewed at each ISSG quarterly meeting. All fields are mandatory. Entries are numbered sequentially: EXC-001-001, EXC-001-002, etc.</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Exception Register is a controlled document. Entries must be made and updated only by Information Security or the designated exception administrator. Unauthorised modifications to the register are a governance failure and a potential data integrity incident under POL-003 / POL-012. The register is retained for 7 years from the date each entry is closed.</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11.1  Register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6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Sequential unique identifier: EXC-001-[NNN]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Open (Active) | Open (Pending Compensating Controls) | Open (Renewal Pending) | Closed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 Reference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 and Section of the specific requirement being deviated from (e.g., 'POL-008 §4.3 — MFA requirement')</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Category</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category per Section 3 of this policy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 Process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specific system(s) or process(es) affected by the exception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Flags</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 SOX / GDPR / HIPAA — flags from the affected system's POL-005 classification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Deviation 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Precise description of what requirement is not being met and why</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Score</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Likelihood × Impact using Section 4.1 matrix. Format: L[n] × I[n] = [score] ([level])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Compensating Controls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Description of each compensating control, implementation date, and verification method</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Remediation Plan</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Specific steps to achieve full compliance, with target dates and named owner for each step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Requester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 and role of the individual who submitted the exception request</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Approval Authority</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individuals who approved the exception, with dates of approval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VMF Reference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VMF entry reference for GxP exceptions (or 'N/A')</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Date</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formal approval was granted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Expiry 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the exception expires — maximum per category in Section 3</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ISSG Notified</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ISSG was notified (or 'N/A' for Low-risk exceptions not requiring notification)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Board Notified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Board was notified (or 'N/A' where not required)</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Last Review Date</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of the most recent ISSG review of this exception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Closed 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the exception was closed, and closing reason (compliance achieved / not renewed / superseded)</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Closure Confirmed By</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 and role of the Information Security reviewer who confirmed compliance on closure</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11.2  Active Exception Register</w:t>
      </w:r>
    </w:p>
    <w:p>
      <w:pPr>
        <w:spacing w:before="80" w:after="80"/>
      </w:pPr>
      <w:r>
        <w:rPr>
          <w:rFonts w:ascii="Arial" w:cs="Arial" w:eastAsia="Arial" w:hAnsi="Arial"/>
          <w:color w:val="333333"/>
          <w:sz w:val="22"/>
          <w:szCs w:val="22"/>
        </w:rPr>
        <w:t xml:space="preserve">No exceptions are currently recorded. This register is populated as exceptions are approved. The register is presented at each ISSG meeting in summarised and full-detail form.</w:t>
      </w:r>
    </w:p>
    <w:p>
      <w:pPr>
        <w:spacing w:before="60" w:after="0"/>
      </w:pPr>
      <w:r>
        <w:t xml:space="preserve"/>
      </w:r>
    </w:p>
    <w:tbl>
      <w:tblPr>
        <w:tblW w:type="dxa" w:w="15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000"/>
        <w:gridCol w:w="1200"/>
        <w:gridCol w:w="1800"/>
        <w:gridCol w:w="1200"/>
        <w:gridCol w:w="4560"/>
      </w:tblGrid>
      <w:tr>
        <w:trPr>
          <w:tblHeader/>
        </w:trPr>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Exception ID</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Policy Ref</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 Process</w:t>
            </w:r>
          </w:p>
        </w:tc>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Score</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Expiry Date</w:t>
            </w:r>
          </w:p>
        </w:tc>
        <w:tc>
          <w:tcPr>
            <w:tcW w:type="dxa" w:w="4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Remediation Summary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active exceptions at document issue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11.3  Closed Exception Register</w:t>
      </w:r>
    </w:p>
    <w:p>
      <w:pPr>
        <w:spacing w:before="80" w:after="80"/>
      </w:pPr>
      <w:r>
        <w:rPr>
          <w:rFonts w:ascii="Arial" w:cs="Arial" w:eastAsia="Arial" w:hAnsi="Arial"/>
          <w:color w:val="333333"/>
          <w:sz w:val="22"/>
          <w:szCs w:val="22"/>
        </w:rPr>
        <w:t xml:space="preserve">Closed exceptions are retained below for audit purposes. Retention period: 7 years from closure date.</w:t>
      </w:r>
    </w:p>
    <w:p>
      <w:pPr>
        <w:spacing w:before="60" w:after="0"/>
      </w:pPr>
      <w:r>
        <w:t xml:space="preserve"/>
      </w:r>
    </w:p>
    <w:tbl>
      <w:tblPr>
        <w:tblW w:type="dxa" w:w="15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000"/>
        <w:gridCol w:w="1600"/>
        <w:gridCol w:w="1600"/>
        <w:gridCol w:w="5560"/>
      </w:tblGrid>
      <w:tr>
        <w:trPr>
          <w:tblHeader/>
        </w:trPr>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Exception ID</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Policy Ref</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 Process</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Approved Date</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Closed Date</w:t>
            </w:r>
          </w:p>
        </w:tc>
        <w:tc>
          <w:tcPr>
            <w:tcW w:type="dxa" w:w="5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Closing Reason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closed exceptions at document issue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12.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Compensating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 alternative or supplementary security or compliance measure that reduces the risk created by a policy deviation for the duration of an approved exception.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formal, time-bounded, risk-assessed, and approved deviation from a mandatory requirement of an IMF-governed document.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Non-Approvable Deviation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deviation from a mandatory requirement that cannot be approved as an exception because it would create an irreducible regulatory non-compliance regardless of compensating controls. See Section 5.</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Non-Compliance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 unapproved deviation from a mandatory IMF policy requirement. Non-compliance is a disciplinary matter and must be remediated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Remediation 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documented steps and timeline by which the Requester commits to achieving full compliance with the requirement from which the exception was granted.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Requester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System Owner, process owner, or team lead responsible for the area where the deviation exists and who submits the exception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Residual Risk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risk that remains after compensating controls have been applied to an approved exception.</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EXC-001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EXCEPTION MANAGEMENT POLICY AND REGISTER  |  EXC-001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2026-03-07T19:09:17.354Z</dcterms:created>
  <dcterms:modified xsi:type="dcterms:W3CDTF">2026-03-07T19:09:17.355Z</dcterms:modified>
</cp:coreProperties>
</file>

<file path=docProps/custom.xml><?xml version="1.0" encoding="utf-8"?>
<Properties xmlns="http://schemas.openxmlformats.org/officeDocument/2006/custom-properties" xmlns:vt="http://schemas.openxmlformats.org/officeDocument/2006/docPropsVTypes"/>
</file>